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right="2100" w:hanging="332"/>
        <w:spacing w:after="0" w:line="282" w:lineRule="auto"/>
        <w:tabs>
          <w:tab w:leader="none" w:pos="2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July 2, 2016.</w:t>
      </w:r>
    </w:p>
    <w:p>
      <w:pPr>
        <w:spacing w:after="0" w:line="16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40"/>
        <w:spacing w:after="0"/>
        <w:tabs>
          <w:tab w:leader="none" w:pos="4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-10160</wp:posOffset>
            </wp:positionV>
            <wp:extent cx="2826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6385" cy="8890"/>
                    </a:xfrm>
                    <a:prstGeom prst="rect">
                      <a:avLst/>
                    </a:prstGeom>
                    <a:noFill/>
                  </pic:spPr>
                </pic:pic>
              </a:graphicData>
            </a:graphic>
          </wp:anchor>
        </w:drawing>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1-7685</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AVERY DENNISON CORPORATION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3180" w:type="dxa"/>
        <w:tblCellMar>
          <w:top w:w="0" w:type="dxa"/>
          <w:left w:w="0" w:type="dxa"/>
          <w:bottom w:w="0" w:type="dxa"/>
          <w:right w:w="0" w:type="dxa"/>
        </w:tblCellMar>
      </w:tblP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539"/>
              <w:spacing w:after="0"/>
              <w:rPr>
                <w:sz w:val="20"/>
                <w:szCs w:val="20"/>
                <w:color w:val="auto"/>
              </w:rPr>
            </w:pPr>
            <w:r>
              <w:rPr>
                <w:rFonts w:ascii="Arial" w:cs="Arial" w:eastAsia="Arial" w:hAnsi="Arial"/>
                <w:sz w:val="18"/>
                <w:szCs w:val="18"/>
                <w:b w:val="1"/>
                <w:bCs w:val="1"/>
                <w:color w:val="auto"/>
              </w:rPr>
              <w:t>95-1492269</w:t>
            </w:r>
          </w:p>
        </w:tc>
      </w:tr>
      <w:tr>
        <w:trPr>
          <w:trHeight w:val="149"/>
        </w:trPr>
        <w:tc>
          <w:tcPr>
            <w:tcW w:w="3080" w:type="dxa"/>
            <w:vAlign w:val="bottom"/>
          </w:tcPr>
          <w:p>
            <w:pPr>
              <w:jc w:val="center"/>
              <w:ind w:right="639"/>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20" w:type="dxa"/>
            <w:vAlign w:val="bottom"/>
          </w:tcPr>
          <w:p>
            <w:pPr>
              <w:jc w:val="center"/>
              <w:ind w:left="6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4"/>
              </w:rPr>
              <w:t>incorporation or organization)</w:t>
            </w:r>
          </w:p>
        </w:tc>
        <w:tc>
          <w:tcPr>
            <w:tcW w:w="2820" w:type="dxa"/>
            <w:vAlign w:val="bottom"/>
          </w:tcPr>
          <w:p>
            <w:pPr>
              <w:spacing w:after="0"/>
              <w:rPr>
                <w:sz w:val="15"/>
                <w:szCs w:val="15"/>
                <w:color w:val="auto"/>
              </w:rPr>
            </w:pPr>
          </w:p>
        </w:tc>
      </w:tr>
      <w:tr>
        <w:trPr>
          <w:trHeight w:val="399"/>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88"/>
              </w:rPr>
              <w:t>207 Goode Avenue</w:t>
            </w:r>
          </w:p>
        </w:tc>
        <w:tc>
          <w:tcPr>
            <w:tcW w:w="2820" w:type="dxa"/>
            <w:vAlign w:val="bottom"/>
          </w:tcPr>
          <w:p>
            <w:pPr>
              <w:spacing w:after="0"/>
              <w:rPr>
                <w:sz w:val="24"/>
                <w:szCs w:val="24"/>
                <w:color w:val="auto"/>
              </w:rPr>
            </w:pPr>
          </w:p>
        </w:tc>
      </w:t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2"/>
              </w:rPr>
              <w:t>Glendale, California</w:t>
            </w:r>
          </w:p>
        </w:tc>
        <w:tc>
          <w:tcPr>
            <w:tcW w:w="2820" w:type="dxa"/>
            <w:vAlign w:val="bottom"/>
          </w:tcPr>
          <w:p>
            <w:pPr>
              <w:jc w:val="right"/>
              <w:ind w:right="739"/>
              <w:spacing w:after="0"/>
              <w:rPr>
                <w:sz w:val="20"/>
                <w:szCs w:val="20"/>
                <w:color w:val="auto"/>
              </w:rPr>
            </w:pPr>
            <w:r>
              <w:rPr>
                <w:rFonts w:ascii="Arial" w:cs="Arial" w:eastAsia="Arial" w:hAnsi="Arial"/>
                <w:sz w:val="18"/>
                <w:szCs w:val="18"/>
                <w:b w:val="1"/>
                <w:bCs w:val="1"/>
                <w:color w:val="auto"/>
              </w:rPr>
              <w:t>91203</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jc w:val="center"/>
              <w:ind w:left="639"/>
              <w:spacing w:after="0"/>
              <w:rPr>
                <w:sz w:val="20"/>
                <w:szCs w:val="20"/>
                <w:color w:val="auto"/>
              </w:rPr>
            </w:pPr>
            <w:r>
              <w:rPr>
                <w:rFonts w:ascii="Arial" w:cs="Arial" w:eastAsia="Arial" w:hAnsi="Arial"/>
                <w:sz w:val="14"/>
                <w:szCs w:val="14"/>
                <w:color w:val="auto"/>
                <w:w w:val="93"/>
              </w:rPr>
              <w:t>(Zip Code)</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(626) 304-2000</w:t>
      </w:r>
    </w:p>
    <w:p>
      <w:pPr>
        <w:spacing w:after="0" w:line="225"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6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6"/>
          </w:tcPr>
          <w:p>
            <w:pPr>
              <w:ind w:left="20"/>
              <w:spacing w:after="0" w:line="198" w:lineRule="exact"/>
              <w:rPr>
                <w:sz w:val="20"/>
                <w:szCs w:val="20"/>
                <w:color w:val="auto"/>
              </w:rPr>
            </w:pPr>
            <w:r>
              <w:rPr>
                <w:rFonts w:ascii="Arial" w:cs="Arial" w:eastAsia="Arial" w:hAnsi="Arial"/>
                <w:sz w:val="18"/>
                <w:szCs w:val="18"/>
                <w:color w:val="auto"/>
              </w:rPr>
              <w:t>x Large accelerated filer</w:t>
            </w:r>
          </w:p>
        </w:tc>
        <w:tc>
          <w:tcPr>
            <w:tcW w:w="260" w:type="dxa"/>
            <w:vAlign w:val="bottom"/>
          </w:tcPr>
          <w:p>
            <w:pPr>
              <w:spacing w:after="0"/>
              <w:rPr>
                <w:sz w:val="17"/>
                <w:szCs w:val="17"/>
                <w:color w:val="auto"/>
              </w:rPr>
            </w:pPr>
          </w:p>
        </w:tc>
        <w:tc>
          <w:tcPr>
            <w:tcW w:w="3340" w:type="dxa"/>
            <w:vAlign w:val="bottom"/>
            <w:gridSpan w:val="9"/>
          </w:tcPr>
          <w:p>
            <w:pPr>
              <w:ind w:left="800"/>
              <w:spacing w:after="0" w:line="198" w:lineRule="exact"/>
              <w:rPr>
                <w:sz w:val="20"/>
                <w:szCs w:val="20"/>
                <w:color w:val="auto"/>
              </w:rPr>
            </w:pPr>
            <w:r>
              <w:rPr>
                <w:rFonts w:ascii="Arial" w:cs="Arial" w:eastAsia="Arial" w:hAnsi="Arial"/>
                <w:sz w:val="18"/>
                <w:szCs w:val="18"/>
                <w:color w:val="auto"/>
              </w:rPr>
              <w:t>o Accelerated filer</w:t>
            </w:r>
          </w:p>
        </w:tc>
        <w:tc>
          <w:tcPr>
            <w:tcW w:w="2700" w:type="dxa"/>
            <w:vAlign w:val="bottom"/>
          </w:tcPr>
          <w:p>
            <w:pPr>
              <w:ind w:left="160"/>
              <w:spacing w:after="0" w:line="198" w:lineRule="exact"/>
              <w:rPr>
                <w:sz w:val="20"/>
                <w:szCs w:val="20"/>
                <w:color w:val="auto"/>
              </w:rPr>
            </w:pPr>
            <w:r>
              <w:rPr>
                <w:rFonts w:ascii="Arial" w:cs="Arial" w:eastAsia="Arial" w:hAnsi="Arial"/>
                <w:sz w:val="18"/>
                <w:szCs w:val="18"/>
                <w:color w:val="auto"/>
              </w:rPr>
              <w:t>o Non-accelerated filer</w:t>
            </w:r>
          </w:p>
        </w:tc>
        <w:tc>
          <w:tcPr>
            <w:tcW w:w="2600" w:type="dxa"/>
            <w:vAlign w:val="bottom"/>
            <w:gridSpan w:val="3"/>
          </w:tcPr>
          <w:p>
            <w:pPr>
              <w:jc w:val="right"/>
              <w:ind w:right="420"/>
              <w:spacing w:after="0" w:line="198" w:lineRule="exact"/>
              <w:rPr>
                <w:sz w:val="20"/>
                <w:szCs w:val="20"/>
                <w:color w:val="auto"/>
              </w:rPr>
            </w:pPr>
            <w:r>
              <w:rPr>
                <w:rFonts w:ascii="Arial" w:cs="Arial" w:eastAsia="Arial" w:hAnsi="Arial"/>
                <w:sz w:val="18"/>
                <w:szCs w:val="18"/>
                <w:color w:val="auto"/>
                <w:w w:val="93"/>
              </w:rPr>
              <w:t>o Smaller reporting company</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7"/>
          </w:tcPr>
          <w:p>
            <w:pPr>
              <w:jc w:val="center"/>
              <w:ind w:right="1670"/>
              <w:spacing w:after="0"/>
              <w:rPr>
                <w:sz w:val="20"/>
                <w:szCs w:val="20"/>
                <w:color w:val="auto"/>
              </w:rPr>
            </w:pPr>
            <w:r>
              <w:rPr>
                <w:rFonts w:ascii="Arial" w:cs="Arial" w:eastAsia="Arial" w:hAnsi="Arial"/>
                <w:sz w:val="14"/>
                <w:szCs w:val="14"/>
                <w:color w:val="auto"/>
                <w:w w:val="94"/>
              </w:rPr>
              <w:t>(Do not check if a smaller reporting company)</w:t>
            </w:r>
          </w:p>
        </w:tc>
        <w:tc>
          <w:tcPr>
            <w:tcW w:w="2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11460" w:type="dxa"/>
            <w:vAlign w:val="bottom"/>
            <w:gridSpan w:val="22"/>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tc>
        <w:tc>
          <w:tcPr>
            <w:tcW w:w="0" w:type="dxa"/>
            <w:vAlign w:val="bottom"/>
          </w:tcPr>
          <w:p>
            <w:pPr>
              <w:spacing w:after="0"/>
              <w:rPr>
                <w:sz w:val="1"/>
                <w:szCs w:val="1"/>
                <w:color w:val="auto"/>
              </w:rPr>
            </w:pPr>
          </w:p>
        </w:tc>
      </w:tr>
      <w:tr>
        <w:trPr>
          <w:trHeight w:val="432"/>
        </w:trPr>
        <w:tc>
          <w:tcPr>
            <w:tcW w:w="8860" w:type="dxa"/>
            <w:vAlign w:val="bottom"/>
            <w:gridSpan w:val="19"/>
          </w:tcPr>
          <w:p>
            <w:pPr>
              <w:spacing w:after="0"/>
              <w:rPr>
                <w:sz w:val="20"/>
                <w:szCs w:val="20"/>
                <w:color w:val="auto"/>
              </w:rPr>
            </w:pPr>
            <w:r>
              <w:rPr>
                <w:rFonts w:ascii="Arial" w:cs="Arial" w:eastAsia="Arial" w:hAnsi="Arial"/>
                <w:sz w:val="18"/>
                <w:szCs w:val="18"/>
                <w:color w:val="auto"/>
              </w:rPr>
              <w:t>Number of shares of $1 par value common stock outstanding as of July 30, 2016: 88,857,084</w:t>
            </w: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gridSpan w:val="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560" w:type="dxa"/>
            <w:vAlign w:val="bottom"/>
            <w:gridSpan w:val="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00" w:type="dxa"/>
            <w:vAlign w:val="bottom"/>
            <w:gridSpan w:val="9"/>
          </w:tcPr>
          <w:p>
            <w:pPr>
              <w:jc w:val="center"/>
              <w:ind w:right="1290"/>
              <w:spacing w:after="0"/>
              <w:rPr>
                <w:sz w:val="20"/>
                <w:szCs w:val="20"/>
                <w:color w:val="auto"/>
              </w:rPr>
            </w:pPr>
            <w:r>
              <w:rPr>
                <w:rFonts w:ascii="Arial" w:cs="Arial" w:eastAsia="Arial" w:hAnsi="Arial"/>
                <w:sz w:val="18"/>
                <w:szCs w:val="18"/>
                <w:b w:val="1"/>
                <w:bCs w:val="1"/>
                <w:color w:val="auto"/>
                <w:w w:val="99"/>
              </w:rPr>
              <w:t>AVERY DENNISON CORPORATION</w:t>
            </w: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8"/>
              </w:rPr>
              <w:t>FISCAL SECOND QUARTER 2016 QUARTERLY REPORT ON FORM 10-Q</w:t>
            </w: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7"/>
          </w:tcPr>
          <w:p>
            <w:pPr>
              <w:jc w:val="center"/>
              <w:ind w:right="1670"/>
              <w:spacing w:after="0"/>
              <w:rPr>
                <w:sz w:val="20"/>
                <w:szCs w:val="20"/>
                <w:color w:val="auto"/>
              </w:rPr>
            </w:pPr>
            <w:r>
              <w:rPr>
                <w:rFonts w:ascii="Arial" w:cs="Arial" w:eastAsia="Arial" w:hAnsi="Arial"/>
                <w:sz w:val="18"/>
                <w:szCs w:val="18"/>
                <w:b w:val="1"/>
                <w:bCs w:val="1"/>
                <w:color w:val="auto"/>
                <w:w w:val="98"/>
              </w:rPr>
              <w:t>TABLE OF CONTENTS</w:t>
            </w: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7"/>
            <w:vMerge w:val="restart"/>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SAFE HARBOR STATEMENT</w:t>
              </w:r>
            </w:hyperlink>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7"/>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616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 (UNAUDITED)</w:t>
              </w:r>
            </w:hyperlink>
          </w:p>
        </w:tc>
        <w:tc>
          <w:tcPr>
            <w:tcW w:w="2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1500" w:type="dxa"/>
            <w:vAlign w:val="bottom"/>
            <w:tcBorders>
              <w:top w:val="single" w:sz="8" w:color="0000EE"/>
            </w:tcBorders>
            <w:gridSpan w:val="2"/>
          </w:tcPr>
          <w:p>
            <w:pPr>
              <w:spacing w:after="0"/>
              <w:rPr>
                <w:sz w:val="24"/>
                <w:szCs w:val="24"/>
                <w:color w:val="auto"/>
              </w:rPr>
            </w:pPr>
          </w:p>
        </w:tc>
        <w:tc>
          <w:tcPr>
            <w:tcW w:w="1840" w:type="dxa"/>
            <w:vAlign w:val="bottom"/>
            <w:gridSpan w:val="7"/>
          </w:tcPr>
          <w:p>
            <w:pPr>
              <w:spacing w:after="0"/>
              <w:rPr>
                <w:sz w:val="24"/>
                <w:szCs w:val="24"/>
                <w:color w:val="auto"/>
              </w:rPr>
            </w:pPr>
          </w:p>
        </w:tc>
        <w:tc>
          <w:tcPr>
            <w:tcW w:w="2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gridSpan w:val="1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w:t>
              </w:r>
            </w:hyperlink>
          </w:p>
        </w:tc>
        <w:tc>
          <w:tcPr>
            <w:tcW w:w="2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July 2, 2016 and January 2, 2016</w:t>
              </w:r>
            </w:hyperlink>
          </w:p>
        </w:tc>
        <w:tc>
          <w:tcPr>
            <w:tcW w:w="380" w:type="dxa"/>
            <w:vAlign w:val="bottom"/>
            <w:tcBorders>
              <w:top w:val="single" w:sz="8" w:color="0000EE"/>
            </w:tcBorders>
            <w:gridSpan w:val="2"/>
          </w:tcPr>
          <w:p>
            <w:pPr>
              <w:spacing w:after="0"/>
              <w:rPr>
                <w:sz w:val="17"/>
                <w:szCs w:val="17"/>
                <w:color w:val="auto"/>
              </w:rPr>
            </w:pPr>
          </w:p>
        </w:tc>
        <w:tc>
          <w:tcPr>
            <w:tcW w:w="1820" w:type="dxa"/>
            <w:vAlign w:val="bottom"/>
            <w:gridSpan w:val="6"/>
          </w:tcPr>
          <w:p>
            <w:pPr>
              <w:spacing w:after="0"/>
              <w:rPr>
                <w:sz w:val="17"/>
                <w:szCs w:val="17"/>
                <w:color w:val="auto"/>
              </w:rPr>
            </w:pPr>
          </w:p>
        </w:tc>
        <w:tc>
          <w:tcPr>
            <w:tcW w:w="2700" w:type="dxa"/>
            <w:vAlign w:val="bottom"/>
          </w:tcPr>
          <w:p>
            <w:pPr>
              <w:spacing w:after="0"/>
              <w:rPr>
                <w:sz w:val="17"/>
                <w:szCs w:val="17"/>
                <w:color w:val="auto"/>
              </w:rPr>
            </w:pPr>
          </w:p>
        </w:tc>
        <w:tc>
          <w:tcPr>
            <w:tcW w:w="260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Income</w:t>
              </w:r>
            </w:hyperlink>
          </w:p>
        </w:tc>
        <w:tc>
          <w:tcPr>
            <w:tcW w:w="1340" w:type="dxa"/>
            <w:vAlign w:val="bottom"/>
            <w:gridSpan w:val="5"/>
          </w:tcPr>
          <w:p>
            <w:pPr>
              <w:spacing w:after="0"/>
              <w:rPr>
                <w:sz w:val="17"/>
                <w:szCs w:val="17"/>
                <w:color w:val="auto"/>
              </w:rPr>
            </w:pPr>
          </w:p>
        </w:tc>
        <w:tc>
          <w:tcPr>
            <w:tcW w:w="2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Three and Six Months ended July 2, 2016 and July 4, 2015</w:t>
              </w:r>
            </w:hyperlink>
          </w:p>
        </w:tc>
        <w:tc>
          <w:tcPr>
            <w:tcW w:w="320" w:type="dxa"/>
            <w:vAlign w:val="bottom"/>
            <w:gridSpan w:val="2"/>
          </w:tcPr>
          <w:p>
            <w:pPr>
              <w:spacing w:after="0"/>
              <w:rPr>
                <w:sz w:val="17"/>
                <w:szCs w:val="17"/>
                <w:color w:val="auto"/>
              </w:rPr>
            </w:pPr>
          </w:p>
        </w:tc>
        <w:tc>
          <w:tcPr>
            <w:tcW w:w="2700" w:type="dxa"/>
            <w:vAlign w:val="bottom"/>
          </w:tcPr>
          <w:p>
            <w:pPr>
              <w:spacing w:after="0"/>
              <w:rPr>
                <w:sz w:val="17"/>
                <w:szCs w:val="17"/>
                <w:color w:val="auto"/>
              </w:rPr>
            </w:pPr>
          </w:p>
        </w:tc>
        <w:tc>
          <w:tcPr>
            <w:tcW w:w="260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w:t>
              </w:r>
            </w:hyperlink>
          </w:p>
        </w:tc>
        <w:tc>
          <w:tcPr>
            <w:tcW w:w="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Three and Six Months ended July 2, 2016 and July 4, 2015</w:t>
              </w:r>
            </w:hyperlink>
          </w:p>
        </w:tc>
        <w:tc>
          <w:tcPr>
            <w:tcW w:w="340" w:type="dxa"/>
            <w:vAlign w:val="bottom"/>
            <w:gridSpan w:val="3"/>
          </w:tcPr>
          <w:p>
            <w:pPr>
              <w:spacing w:after="0"/>
              <w:rPr>
                <w:sz w:val="17"/>
                <w:szCs w:val="17"/>
                <w:color w:val="auto"/>
              </w:rPr>
            </w:pPr>
          </w:p>
        </w:tc>
        <w:tc>
          <w:tcPr>
            <w:tcW w:w="2700" w:type="dxa"/>
            <w:vAlign w:val="bottom"/>
          </w:tcPr>
          <w:p>
            <w:pPr>
              <w:spacing w:after="0"/>
              <w:rPr>
                <w:sz w:val="17"/>
                <w:szCs w:val="17"/>
                <w:color w:val="auto"/>
              </w:rPr>
            </w:pPr>
          </w:p>
        </w:tc>
        <w:tc>
          <w:tcPr>
            <w:tcW w:w="260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w:t>
              </w:r>
            </w:hyperlink>
          </w:p>
        </w:tc>
        <w:tc>
          <w:tcPr>
            <w:tcW w:w="2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40" w:type="dxa"/>
            <w:vAlign w:val="bottom"/>
            <w:gridSpan w:val="8"/>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Three and Six Months ended July 2, 2016 and July 4, 2015</w:t>
              </w:r>
            </w:hyperlink>
          </w:p>
        </w:tc>
        <w:tc>
          <w:tcPr>
            <w:tcW w:w="320" w:type="dxa"/>
            <w:vAlign w:val="bottom"/>
            <w:gridSpan w:val="2"/>
          </w:tcPr>
          <w:p>
            <w:pPr>
              <w:spacing w:after="0"/>
              <w:rPr>
                <w:sz w:val="17"/>
                <w:szCs w:val="17"/>
                <w:color w:val="auto"/>
              </w:rPr>
            </w:pPr>
          </w:p>
        </w:tc>
        <w:tc>
          <w:tcPr>
            <w:tcW w:w="2700" w:type="dxa"/>
            <w:vAlign w:val="bottom"/>
          </w:tcPr>
          <w:p>
            <w:pPr>
              <w:spacing w:after="0"/>
              <w:rPr>
                <w:sz w:val="17"/>
                <w:szCs w:val="17"/>
                <w:color w:val="auto"/>
              </w:rPr>
            </w:pPr>
          </w:p>
        </w:tc>
        <w:tc>
          <w:tcPr>
            <w:tcW w:w="260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-3217545</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-3217545</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3280" w:type="dxa"/>
            <w:vAlign w:val="bottom"/>
            <w:gridSpan w:val="4"/>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Non-GAAP Financial Measures</w:t>
              </w:r>
            </w:hyperlink>
          </w:p>
        </w:tc>
        <w:tc>
          <w:tcPr>
            <w:tcW w:w="4000" w:type="dxa"/>
            <w:vAlign w:val="bottom"/>
            <w:tcBorders>
              <w:top w:val="single" w:sz="8" w:color="0000EE"/>
            </w:tcBorders>
            <w:gridSpan w:val="8"/>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Overview and Outlook</w:t>
              </w:r>
            </w:hyperlink>
          </w:p>
        </w:tc>
        <w:tc>
          <w:tcPr>
            <w:tcW w:w="6420" w:type="dxa"/>
            <w:vAlign w:val="bottom"/>
            <w:gridSpan w:val="11"/>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gridSpan w:val="1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Analysis of Results of Operations for the Second Quarter</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gridSpan w:val="1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Results of Operations by Reportable Segment for the Second Quarter</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Analysis of Results of Operations for the Six Months Year-to-Date</w:t>
              </w:r>
            </w:hyperlink>
          </w:p>
        </w:tc>
        <w:tc>
          <w:tcPr>
            <w:tcW w:w="310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Results of Operations by Reportable Segment for the Six Months Year-to-Date</w:t>
              </w:r>
            </w:hyperlink>
          </w:p>
        </w:tc>
        <w:tc>
          <w:tcPr>
            <w:tcW w:w="240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Financial Condition</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Recent Accounting Requirements</w:t>
              </w:r>
            </w:hyperlink>
          </w:p>
        </w:tc>
        <w:tc>
          <w:tcPr>
            <w:tcW w:w="5640" w:type="dxa"/>
            <w:vAlign w:val="bottom"/>
            <w:gridSpan w:val="8"/>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3840" w:type="dxa"/>
            <w:vAlign w:val="bottom"/>
            <w:gridSpan w:val="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6440" w:type="dxa"/>
            <w:vAlign w:val="bottom"/>
            <w:gridSpan w:val="1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412"/>
        </w:trPr>
        <w:tc>
          <w:tcPr>
            <w:tcW w:w="284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6640" w:type="dxa"/>
            <w:vAlign w:val="bottom"/>
            <w:gridSpan w:val="13"/>
          </w:tcPr>
          <w:p>
            <w:pPr>
              <w:spacing w:after="0"/>
              <w:rPr>
                <w:sz w:val="24"/>
                <w:szCs w:val="24"/>
                <w:color w:val="auto"/>
              </w:rPr>
            </w:pPr>
          </w:p>
        </w:tc>
        <w:tc>
          <w:tcPr>
            <w:tcW w:w="1980" w:type="dxa"/>
            <w:vAlign w:val="bottom"/>
          </w:tcPr>
          <w:p>
            <w:pPr>
              <w:spacing w:after="0"/>
              <w:rPr>
                <w:sz w:val="24"/>
                <w:szCs w:val="24"/>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1.</w:t>
              </w:r>
            </w:hyperlink>
          </w:p>
        </w:tc>
        <w:tc>
          <w:tcPr>
            <w:tcW w:w="4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880" w:type="dxa"/>
            <w:vAlign w:val="bottom"/>
            <w:gridSpan w:val="1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8460" w:type="dxa"/>
            <w:vAlign w:val="bottom"/>
            <w:gridSpan w:val="20"/>
          </w:tcPr>
          <w:p>
            <w:pPr>
              <w:ind w:left="24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3860" w:type="dxa"/>
            <w:vAlign w:val="bottom"/>
            <w:gridSpan w:val="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3.</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900" w:type="dxa"/>
            <w:vAlign w:val="bottom"/>
            <w:gridSpan w:val="10"/>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5.</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6900" w:type="dxa"/>
            <w:vAlign w:val="bottom"/>
            <w:gridSpan w:val="1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6.</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37"/>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color w:val="auto"/>
        </w:rPr>
        <w:t>Certain risks and uncertainties are discussed in more detail under “Risk Factors” and “Management’s Discussion and Analysis of Financial Condition and Results of Operations” in our Annual Report on Form 10-K for the fiscal year ended January 2, 2016, and subsequent quarterly reports on Form 10-Q, and include, but are not limited to, risks and uncertainties relating to the following: fluctuations in demand affecting sales to customers; worldwide and local economic conditions; fluctuations in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timely development and market acceptance of new products, including sustainable or sustainably-sourced products; investment in development activities and new production facilities; integration of acquisitions and completion of potential dispositions;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and uncertainties associated with interpretations of such laws and regulations; outcome of tax audits; fluctuations in pension, insurance, and employee benefit costs; the impact of legal and regulatory proceedings, including with respect to environmental, health and safety; changes in governmental laws and regulations; protection and infringement of intellectual property; changes in political conditions; the impact of epidemiological events on the economy and our customers and suppliers; acts of war, terrorism, and natural disasters; and other factors.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believe that the most significant risk factors that could affect our financial performance in the near-term include: (1) the impacts of economic conditions on underlying demand for our products and foreign currency fluctuations; (2) competitors’ actions, including pricing, expansion in key markets, and product offerings; and (3) the degree to which higher costs can be offset with productivity measures and/or passed on to customers through selling price increases, without a significant loss of volume.</w:t>
      </w:r>
    </w:p>
    <w:p>
      <w:pPr>
        <w:spacing w:after="0" w:line="18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70" w:lineRule="exact"/>
        <w:rPr>
          <w:sz w:val="20"/>
          <w:szCs w:val="20"/>
          <w:color w:val="auto"/>
        </w:rPr>
      </w:pPr>
    </w:p>
    <w:p>
      <w:pPr>
        <w:ind w:left="11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amount)</w:t>
            </w:r>
          </w:p>
        </w:tc>
        <w:tc>
          <w:tcPr>
            <w:tcW w:w="66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w w:val="92"/>
              </w:rPr>
              <w:t>July 2, 2016</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January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216.1</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tcPr>
          <w:p>
            <w:pPr>
              <w:ind w:left="160"/>
              <w:spacing w:after="0" w:line="201" w:lineRule="exact"/>
              <w:rPr>
                <w:sz w:val="20"/>
                <w:szCs w:val="20"/>
                <w:color w:val="auto"/>
              </w:rPr>
            </w:pPr>
            <w:r>
              <w:rPr>
                <w:rFonts w:ascii="Arial" w:cs="Arial" w:eastAsia="Arial" w:hAnsi="Arial"/>
                <w:sz w:val="18"/>
                <w:szCs w:val="18"/>
                <w:color w:val="auto"/>
                <w:w w:val="98"/>
              </w:rPr>
              <w:t>Trade accounts receivable, less allowances of $34.2 and $31.5 at July 2, 2016 and January 2,</w:t>
            </w:r>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2016, respectively</w:t>
            </w:r>
          </w:p>
        </w:tc>
        <w:tc>
          <w:tcPr>
            <w:tcW w:w="66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1,028.3</w:t>
            </w:r>
          </w:p>
        </w:tc>
        <w:tc>
          <w:tcPr>
            <w:tcW w:w="8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524.1</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66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6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169.6</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66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1,942.5</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2,600.8</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w:t>
            </w:r>
          </w:p>
        </w:tc>
        <w:tc>
          <w:tcPr>
            <w:tcW w:w="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(1,762.1)</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838.7</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691.0</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resulting from business acquisitions, net</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36.4</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Non-current deferred income taxes</w:t>
            </w:r>
          </w:p>
        </w:tc>
        <w:tc>
          <w:tcPr>
            <w:tcW w:w="66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390.4</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395.8</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4,294.8</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199.0</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867.9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current liabilities</w:t>
            </w:r>
          </w:p>
        </w:tc>
        <w:tc>
          <w:tcPr>
            <w:tcW w:w="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525.3</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1,592.2</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Long-term debt and capital leases</w:t>
            </w:r>
          </w:p>
        </w:tc>
        <w:tc>
          <w:tcPr>
            <w:tcW w:w="66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962.9</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Long-term retirement benefits and other liabilities</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674.5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Non-current deferred and payable income taxes</w:t>
            </w:r>
          </w:p>
        </w:tc>
        <w:tc>
          <w:tcPr>
            <w:tcW w:w="66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108.7</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15)</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Shareholders’ equity:</w:t>
            </w: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Common stock, $1 par value per share, authorized — 400,000,000 shares at July 2, 2016 and</w:t>
            </w:r>
          </w:p>
        </w:tc>
        <w:tc>
          <w:tcPr>
            <w:tcW w:w="6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January 2, 2016; issued — 124,126,624 shares at July 2, 2016 and January 2, 2016;</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outstanding — 88,927,397 shares and 89,967,697 shares at July 2, 2016 and January 2, 2016,</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6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124.1</w:t>
            </w:r>
          </w:p>
        </w:tc>
        <w:tc>
          <w:tcPr>
            <w:tcW w:w="8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66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834.4</w:t>
            </w:r>
          </w:p>
        </w:tc>
        <w:tc>
          <w:tcPr>
            <w:tcW w:w="8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2,385.5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tcPr>
          <w:p>
            <w:pPr>
              <w:ind w:left="160"/>
              <w:spacing w:after="0" w:line="201" w:lineRule="exact"/>
              <w:rPr>
                <w:sz w:val="20"/>
                <w:szCs w:val="20"/>
                <w:color w:val="auto"/>
              </w:rPr>
            </w:pPr>
            <w:r>
              <w:rPr>
                <w:rFonts w:ascii="Arial" w:cs="Arial" w:eastAsia="Arial" w:hAnsi="Arial"/>
                <w:sz w:val="18"/>
                <w:szCs w:val="18"/>
                <w:color w:val="auto"/>
                <w:w w:val="96"/>
              </w:rPr>
              <w:t>Treasury stock at cost, 35,199,227 shares and 34,158,927 shares at July 2, 2016 and January 2,</w:t>
            </w:r>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2016, respectively</w:t>
            </w:r>
          </w:p>
        </w:tc>
        <w:tc>
          <w:tcPr>
            <w:tcW w:w="66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(1,698.7)</w:t>
            </w:r>
          </w:p>
        </w:tc>
        <w:tc>
          <w:tcPr>
            <w:tcW w:w="8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6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(688.8)</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shareholders’ equity</w:t>
            </w:r>
          </w:p>
        </w:tc>
        <w:tc>
          <w:tcPr>
            <w:tcW w:w="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956.5</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4,294.8</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Three Months Ended</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8"/>
              </w:rPr>
              <w:t>Six Months Ended</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4"/>
                <w:szCs w:val="14"/>
                <w:color w:val="auto"/>
              </w:rPr>
              <w:t>(In millions, except per share amounts)</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July 2, 2016</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July 4, 2015</w:t>
            </w:r>
          </w:p>
        </w:tc>
        <w:tc>
          <w:tcPr>
            <w:tcW w:w="120" w:type="dxa"/>
            <w:vAlign w:val="bottom"/>
          </w:tcPr>
          <w:p>
            <w:pPr>
              <w:spacing w:after="0"/>
              <w:rPr>
                <w:sz w:val="18"/>
                <w:szCs w:val="18"/>
                <w:color w:val="auto"/>
              </w:rPr>
            </w:pPr>
          </w:p>
        </w:tc>
        <w:tc>
          <w:tcPr>
            <w:tcW w:w="16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July 2, 2016</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1,541.5</w:t>
            </w:r>
          </w:p>
        </w:tc>
        <w:tc>
          <w:tcPr>
            <w:tcW w:w="7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1,516.0</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3,027.0</w:t>
            </w:r>
          </w:p>
        </w:tc>
        <w:tc>
          <w:tcPr>
            <w:tcW w:w="6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1,107.4</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1,098.4</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2,170.3</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434.1</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417.6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856.7</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6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269.2</w:t>
            </w:r>
          </w:p>
        </w:tc>
        <w:tc>
          <w:tcPr>
            <w:tcW w:w="7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547.4</w:t>
            </w:r>
          </w:p>
        </w:tc>
        <w:tc>
          <w:tcPr>
            <w:tcW w:w="6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15.4</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30.7</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50.2</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55.8</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 before taxes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99.3</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222.8</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19.3</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53.2</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80.0</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169.6</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from discontinued operations</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80.0</w:t>
            </w: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169.6</w:t>
            </w: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1.90</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Discontinued operations</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.90</w:t>
            </w: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.70</w:t>
            </w:r>
          </w:p>
        </w:tc>
        <w:tc>
          <w:tcPr>
            <w:tcW w:w="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1.90</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(loss) per common share, assuming dilution:</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.88</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1.87</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Discontinued operations</w:t>
            </w:r>
          </w:p>
        </w:tc>
        <w:tc>
          <w:tcPr>
            <w:tcW w:w="10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.88</w:t>
            </w: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.68</w:t>
            </w:r>
          </w:p>
        </w:tc>
        <w:tc>
          <w:tcPr>
            <w:tcW w:w="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1.87</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per common share</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.78</w:t>
            </w: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89.1</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91.2</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89.3</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Common shares, assuming dilution</w:t>
            </w:r>
          </w:p>
        </w:tc>
        <w:tc>
          <w:tcPr>
            <w:tcW w:w="10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90.7</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93.0</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90.9</w:t>
            </w: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color w:val="auto"/>
        </w:rPr>
        <w:t>CONDENSED CONSOLIDATED STATEMENTS OF COMPREHENSIVE INCOME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In millions</w:t>
            </w: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Six Months Ended</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July 2, 2016</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4, 2015</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July 2, 2016</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80.0</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169.6</w:t>
            </w:r>
          </w:p>
        </w:tc>
        <w:tc>
          <w:tcPr>
            <w:tcW w:w="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(13.3)</w:t>
            </w:r>
          </w:p>
        </w:tc>
        <w:tc>
          <w:tcPr>
            <w:tcW w:w="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58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(15.5)</w:t>
            </w:r>
          </w:p>
        </w:tc>
        <w:tc>
          <w:tcPr>
            <w:tcW w:w="7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(11.3)</w:t>
            </w:r>
          </w:p>
        </w:tc>
        <w:tc>
          <w:tcPr>
            <w:tcW w:w="6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w:t>
            </w:r>
          </w:p>
        </w:tc>
        <w:tc>
          <w:tcPr>
            <w:tcW w:w="7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(27.6)</w:t>
            </w: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10.2</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(5.8)</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52.4</w:t>
            </w: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163.8</w:t>
            </w:r>
          </w:p>
        </w:tc>
        <w:tc>
          <w:tcPr>
            <w:tcW w:w="6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jc w:val="right"/>
              <w:ind w:right="890"/>
              <w:spacing w:after="0"/>
              <w:rPr>
                <w:sz w:val="20"/>
                <w:szCs w:val="20"/>
                <w:color w:val="auto"/>
              </w:rPr>
            </w:pPr>
            <w:r>
              <w:rPr>
                <w:rFonts w:ascii="Arial" w:cs="Arial" w:eastAsia="Arial" w:hAnsi="Arial"/>
                <w:sz w:val="18"/>
                <w:szCs w:val="18"/>
                <w:b w:val="1"/>
                <w:bCs w:val="1"/>
                <w:color w:val="auto"/>
                <w:w w:val="88"/>
              </w:rPr>
              <w:t>July 2, 2016</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July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169.6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18"/>
                <w:szCs w:val="18"/>
                <w:color w:val="auto"/>
              </w:rPr>
            </w:pP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Provision for doubtful accounts and sales returns</w:t>
            </w:r>
          </w:p>
        </w:tc>
        <w:tc>
          <w:tcPr>
            <w:tcW w:w="900" w:type="dxa"/>
            <w:vAlign w:val="bottom"/>
          </w:tcPr>
          <w:p>
            <w:pPr>
              <w:spacing w:after="0"/>
              <w:rPr>
                <w:sz w:val="18"/>
                <w:szCs w:val="18"/>
                <w:color w:val="auto"/>
              </w:rPr>
            </w:pP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 from asset impairments and sales/disposals of assets</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8"/>
                <w:szCs w:val="18"/>
                <w:color w:val="auto"/>
              </w:rPr>
            </w:pP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settlement of pension obligations</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Other non-cash expense and loss</w:t>
            </w:r>
          </w:p>
        </w:tc>
        <w:tc>
          <w:tcPr>
            <w:tcW w:w="900" w:type="dxa"/>
            <w:vAlign w:val="bottom"/>
          </w:tcPr>
          <w:p>
            <w:pPr>
              <w:spacing w:after="0"/>
              <w:rPr>
                <w:sz w:val="18"/>
                <w:szCs w:val="18"/>
                <w:color w:val="auto"/>
              </w:rPr>
            </w:pP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9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(147.1)</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216.0</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software and other deferred charges</w:t>
            </w:r>
          </w:p>
        </w:tc>
        <w:tc>
          <w:tcPr>
            <w:tcW w:w="900" w:type="dxa"/>
            <w:vAlign w:val="bottom"/>
          </w:tcPr>
          <w:p>
            <w:pPr>
              <w:spacing w:after="0"/>
              <w:rPr>
                <w:sz w:val="18"/>
                <w:szCs w:val="18"/>
                <w:color w:val="auto"/>
              </w:rPr>
            </w:pPr>
          </w:p>
        </w:tc>
        <w:tc>
          <w:tcPr>
            <w:tcW w:w="1900" w:type="dxa"/>
            <w:vAlign w:val="bottom"/>
          </w:tcPr>
          <w:p>
            <w:pPr>
              <w:jc w:val="right"/>
              <w:ind w:right="83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investments, net</w:t>
            </w:r>
          </w:p>
        </w:tc>
        <w:tc>
          <w:tcPr>
            <w:tcW w:w="900" w:type="dxa"/>
            <w:vAlign w:val="bottom"/>
          </w:tcPr>
          <w:p>
            <w:pPr>
              <w:spacing w:after="0"/>
              <w:rPr>
                <w:sz w:val="18"/>
                <w:szCs w:val="18"/>
                <w:color w:val="auto"/>
              </w:rPr>
            </w:pP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(64.2)</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borrowings (maturities of 3 months or less)</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104.6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Payments of debt (maturities greater than 3 months)</w:t>
            </w:r>
          </w:p>
        </w:tc>
        <w:tc>
          <w:tcPr>
            <w:tcW w:w="900" w:type="dxa"/>
            <w:vAlign w:val="bottom"/>
          </w:tcPr>
          <w:p>
            <w:pPr>
              <w:spacing w:after="0"/>
              <w:rPr>
                <w:sz w:val="18"/>
                <w:szCs w:val="18"/>
                <w:color w:val="auto"/>
              </w:rPr>
            </w:pPr>
          </w:p>
        </w:tc>
        <w:tc>
          <w:tcPr>
            <w:tcW w:w="1900" w:type="dxa"/>
            <w:vAlign w:val="bottom"/>
          </w:tcPr>
          <w:p>
            <w:pPr>
              <w:jc w:val="right"/>
              <w:ind w:right="8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Share repurchases</w:t>
            </w:r>
          </w:p>
        </w:tc>
        <w:tc>
          <w:tcPr>
            <w:tcW w:w="900" w:type="dxa"/>
            <w:vAlign w:val="bottom"/>
          </w:tcPr>
          <w:p>
            <w:pPr>
              <w:spacing w:after="0"/>
              <w:rPr>
                <w:sz w:val="18"/>
                <w:szCs w:val="18"/>
                <w:color w:val="auto"/>
              </w:rPr>
            </w:pPr>
          </w:p>
        </w:tc>
        <w:tc>
          <w:tcPr>
            <w:tcW w:w="1900" w:type="dxa"/>
            <w:vAlign w:val="bottom"/>
          </w:tcPr>
          <w:p>
            <w:pPr>
              <w:jc w:val="right"/>
              <w:ind w:right="830"/>
              <w:spacing w:after="0"/>
              <w:rPr>
                <w:sz w:val="20"/>
                <w:szCs w:val="20"/>
                <w:color w:val="auto"/>
              </w:rPr>
            </w:pPr>
            <w:r>
              <w:rPr>
                <w:rFonts w:ascii="Arial" w:cs="Arial" w:eastAsia="Arial" w:hAnsi="Arial"/>
                <w:sz w:val="18"/>
                <w:szCs w:val="18"/>
                <w:color w:val="auto"/>
              </w:rPr>
              <w:t>(160.1)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exercises of stock options, net</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(8.4)</w:t>
            </w:r>
          </w:p>
        </w:tc>
        <w:tc>
          <w:tcPr>
            <w:tcW w:w="8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(93.3)</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 on cash balances</w:t>
            </w:r>
          </w:p>
        </w:tc>
        <w:tc>
          <w:tcPr>
            <w:tcW w:w="2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(1.2)</w:t>
            </w:r>
          </w:p>
        </w:tc>
        <w:tc>
          <w:tcPr>
            <w:tcW w:w="8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480" w:type="dxa"/>
            <w:vAlign w:val="bottom"/>
          </w:tcPr>
          <w:p>
            <w:pPr>
              <w:spacing w:after="0"/>
              <w:rPr>
                <w:sz w:val="18"/>
                <w:szCs w:val="18"/>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57.3</w:t>
            </w:r>
          </w:p>
        </w:tc>
        <w:tc>
          <w:tcPr>
            <w:tcW w:w="8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158.8</w:t>
            </w:r>
          </w:p>
        </w:tc>
        <w:tc>
          <w:tcPr>
            <w:tcW w:w="8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period</w:t>
            </w:r>
          </w:p>
        </w:tc>
        <w:tc>
          <w:tcPr>
            <w:tcW w:w="2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216.1</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Condensed Consolidated Financial Statements and notes in this Quarterly Report on Form 10-Q are presented as permitted by Article 10 of Regulation S-X and do not contain certain information included in the audited Consolidated Financial Statements and notes thereto in our 2015 Annual Report on Form 10-K, which should be read in conjunction with this Quarterly Report on Form 10-Q. The accompanying unaudited Condensed Consolidated Financial Statements include normal recurring adjustments necessary for a fair statement of our interim results. Interim results of operations are not necessarily indicative of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Periods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second quarters of 2016 and 2015 consisted of thirteen-week periods ending July 2, 2016 and July 4, 2015, respectively. The six months ended July 2, 2016 and July 4, 2015 each consisted of twenty-six-week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Financial Statement Revision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2015, we determined that certain of our benefit plans (that were frozen between 1994 and 2003) were not properly accounted for since their inception between 1984 and 1988. This resulted in an understatement of long-term retirement benefits and other liabilities and the cumulative historical expenses related to these benefit plans. Additionally, we identified certain liquid short-term bank drafts with maturities greater than three months that were improperly classified as cash and cash equivalents instead of other current assets, which resulted in an overstatement of operating cash flows, and tax effects related to certain foreign pension plans that were not properly accounted for on our consolidated financial statements.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assessed the materiality of these errors on our financial statements for prior periods in accordance with United States Securities and Exchange Commission (“SEC”) Staff Accounting Bulletin (“SAB”)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codified in Accounting Standards Codification (“ASC”) 250, </w:t>
      </w:r>
      <w:r>
        <w:rPr>
          <w:rFonts w:ascii="Arial" w:cs="Arial" w:eastAsia="Arial" w:hAnsi="Arial"/>
          <w:sz w:val="18"/>
          <w:szCs w:val="18"/>
          <w:i w:val="1"/>
          <w:iCs w:val="1"/>
          <w:color w:val="auto"/>
        </w:rPr>
        <w:t>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 and concluded that they were not material to any prior annual or interim periods. However, the aggregate amount of the prior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revisions of approximately $24 million would have been material to our Condensed Consolidated Statements of Income in the period that the errors were identified. Consequently, in accordance with ASC 250 (SAB No. 108, </w:t>
      </w:r>
      <w:r>
        <w:rPr>
          <w:rFonts w:ascii="Arial" w:cs="Arial" w:eastAsia="Arial" w:hAnsi="Arial"/>
          <w:sz w:val="18"/>
          <w:szCs w:val="18"/>
          <w:i w:val="1"/>
          <w:iCs w:val="1"/>
          <w:color w:val="auto"/>
        </w:rPr>
        <w:t>Considering the Effects of Prior Year Misstatements when Quantifying Misstatements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in Current Year Financial Statements</w:t>
      </w:r>
      <w:r>
        <w:rPr>
          <w:rFonts w:ascii="Arial" w:cs="Arial" w:eastAsia="Arial" w:hAnsi="Arial"/>
          <w:sz w:val="18"/>
          <w:szCs w:val="18"/>
          <w:color w:val="auto"/>
        </w:rPr>
        <w:t>), we have corrected these errors for all prior periods presented by revising the unaudited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other financial information included herein. We also corrected the timing of immaterial previously recorded out-of-period adjustments and reflected them in the revised prior period financial statements, where applicable. Periods not presented herein will be revised, as applicable, in future filings.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rPr>
              <w:t>Avery Dennison Corporation</w:t>
            </w:r>
          </w:p>
        </w:tc>
      </w:tr>
      <w:tr>
        <w:trPr>
          <w:trHeight w:val="432"/>
        </w:trPr>
        <w:tc>
          <w:tcPr>
            <w:tcW w:w="7940" w:type="dxa"/>
            <w:vAlign w:val="bottom"/>
            <w:gridSpan w:val="8"/>
          </w:tcPr>
          <w:p>
            <w:pPr>
              <w:spacing w:after="0"/>
              <w:rPr>
                <w:sz w:val="20"/>
                <w:szCs w:val="20"/>
                <w:color w:val="auto"/>
              </w:rPr>
            </w:pPr>
            <w:r>
              <w:rPr>
                <w:rFonts w:ascii="Arial" w:cs="Arial" w:eastAsia="Arial" w:hAnsi="Arial"/>
                <w:sz w:val="18"/>
                <w:szCs w:val="18"/>
                <w:color w:val="auto"/>
                <w:w w:val="91"/>
              </w:rPr>
              <w:t>The effects of this revision on our unaudited Condensed Consolidated Statements of Income were as follows: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July 4, 2015</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w w:val="96"/>
              </w:rPr>
              <w:t>July 4, 2015</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191"/>
        </w:trPr>
        <w:tc>
          <w:tcPr>
            <w:tcW w:w="12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As</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As</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Previously</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As</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Previously</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As</w:t>
            </w:r>
          </w:p>
        </w:tc>
      </w:tr>
      <w:tr>
        <w:trPr>
          <w:trHeight w:val="234"/>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Reported</w:t>
            </w:r>
          </w:p>
        </w:tc>
        <w:tc>
          <w:tcPr>
            <w:tcW w:w="14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Adjustment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Revised</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Reported</w:t>
            </w:r>
          </w:p>
        </w:tc>
        <w:tc>
          <w:tcPr>
            <w:tcW w:w="13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Adjustment</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Revised</w:t>
            </w: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273.8</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574.7</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573.7</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taxes</w:t>
            </w:r>
          </w:p>
        </w:tc>
        <w:tc>
          <w:tcPr>
            <w:tcW w:w="3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100.8</w:t>
            </w:r>
          </w:p>
        </w:tc>
        <w:tc>
          <w:tcPr>
            <w:tcW w:w="62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200.3</w:t>
            </w:r>
          </w:p>
        </w:tc>
        <w:tc>
          <w:tcPr>
            <w:tcW w:w="5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201.3</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36.5</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64.4</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64.3</w:t>
            </w:r>
          </w:p>
        </w:tc>
        <w:tc>
          <w:tcPr>
            <w:tcW w:w="62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135.9</w:t>
            </w:r>
          </w:p>
        </w:tc>
        <w:tc>
          <w:tcPr>
            <w:tcW w:w="5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136.6</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63.3</w:t>
            </w:r>
          </w:p>
        </w:tc>
        <w:tc>
          <w:tcPr>
            <w:tcW w:w="62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134.9</w:t>
            </w:r>
          </w:p>
        </w:tc>
        <w:tc>
          <w:tcPr>
            <w:tcW w:w="56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135.6</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16"/>
        </w:trPr>
        <w:tc>
          <w:tcPr>
            <w:tcW w:w="4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4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195"/>
        </w:trPr>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Net income (loss) per common share, assuming</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0"/>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dilution:</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84"/>
        </w:trPr>
        <w:tc>
          <w:tcPr>
            <w:tcW w:w="1280" w:type="dxa"/>
            <w:vAlign w:val="bottom"/>
            <w:shd w:val="clear" w:color="auto" w:fill="CCEEFF"/>
          </w:tcPr>
          <w:p>
            <w:pPr>
              <w:spacing w:after="0"/>
              <w:rPr>
                <w:sz w:val="7"/>
                <w:szCs w:val="7"/>
                <w:color w:val="auto"/>
              </w:rPr>
            </w:pPr>
          </w:p>
        </w:tc>
        <w:tc>
          <w:tcPr>
            <w:tcW w:w="27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25" w:right="239" w:bottom="0" w:gutter="0" w:footer="0" w:header="0"/>
        </w:sectPr>
      </w:pPr>
    </w:p>
    <w:bookmarkStart w:id="5" w:name="page6"/>
    <w:bookmarkEnd w:id="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16"/>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Discontinued operations</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Net income per common share, assuming dilution</w:t>
            </w: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the revision on our unaudited Condensed Consolidated Statements of Comprehensive Income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July 4, 2015</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8"/>
              </w:rPr>
              <w:t>July 4, 2015</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As</w:t>
            </w: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rPr>
              <w:t>As</w:t>
            </w: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Previously</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7"/>
              </w:rPr>
              <w:t>Previously</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As</w:t>
            </w:r>
          </w:p>
        </w:tc>
      </w:t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Reported</w:t>
            </w:r>
          </w:p>
        </w:tc>
        <w:tc>
          <w:tcPr>
            <w:tcW w:w="1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Adjustment</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5"/>
              </w:rPr>
              <w:t>Revised</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Reported</w:t>
            </w:r>
          </w:p>
        </w:tc>
        <w:tc>
          <w:tcPr>
            <w:tcW w:w="13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Adjustment</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Revised</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63.3</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134.9</w:t>
            </w:r>
          </w:p>
        </w:tc>
        <w:tc>
          <w:tcPr>
            <w:tcW w:w="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w:t>
            </w:r>
          </w:p>
        </w:tc>
        <w:tc>
          <w:tcPr>
            <w:tcW w:w="760" w:type="dxa"/>
            <w:vAlign w:val="bottom"/>
          </w:tcPr>
          <w:p>
            <w:pPr>
              <w:spacing w:after="0"/>
              <w:rPr>
                <w:sz w:val="18"/>
                <w:szCs w:val="18"/>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(1.0)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w:t>
            </w:r>
          </w:p>
        </w:tc>
        <w:tc>
          <w:tcPr>
            <w:tcW w:w="76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(1.0)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73.6</w:t>
            </w: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78.8</w:t>
            </w:r>
          </w:p>
        </w:tc>
        <w:tc>
          <w:tcPr>
            <w:tcW w:w="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r>
      <w:tr>
        <w:trPr>
          <w:trHeight w:val="432"/>
        </w:trPr>
        <w:tc>
          <w:tcPr>
            <w:tcW w:w="9000" w:type="dxa"/>
            <w:vAlign w:val="bottom"/>
            <w:gridSpan w:val="12"/>
          </w:tcPr>
          <w:p>
            <w:pPr>
              <w:spacing w:after="0"/>
              <w:rPr>
                <w:sz w:val="20"/>
                <w:szCs w:val="20"/>
                <w:color w:val="auto"/>
              </w:rPr>
            </w:pPr>
            <w:r>
              <w:rPr>
                <w:rFonts w:ascii="Arial" w:cs="Arial" w:eastAsia="Arial" w:hAnsi="Arial"/>
                <w:sz w:val="18"/>
                <w:szCs w:val="18"/>
                <w:color w:val="auto"/>
                <w:w w:val="99"/>
              </w:rPr>
              <w:t>The effects of the revision on our unaudited Condensed Consolidated Statements of Cash Flows were as follows:</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6"/>
              </w:rPr>
              <w:t>Six Months Ended July 4, 2015</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1"/>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6"/>
              </w:rPr>
              <w:t>As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Previously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As</w:t>
            </w:r>
          </w:p>
        </w:tc>
      </w:t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Reported</w:t>
            </w: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Adjustment</w:t>
            </w: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Revised</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170.9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227.0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246.0</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Product Line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2015, we sold certain assets and transferred certain liabilities associated with a product line in our Retail Branding and Information Solutions (“RBIS”) reportable segment for $1.5 million. The pre-tax loss from the sale, when combined with exit costs related to the sale, totaled $7.7 million in the second quarter of 2015. In the first quarter of 2015, we recorded an impairment charge of approximately $2 million related to certain long-lived assets of this product line, as well as $.6 million of other costs related to this sale. This loss and these costs were included in “Other expense, net” in the unaudited Condensed Consolidated Statements of Income.</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Loss from discontinued operations during the second quarter and six months ended July 4, 2015 included $1 million of tax expense related to the completion of certain tax return filings related to the sale of our former Office and Consumer Products (“OCP”) and Designed and Engineered Solutions (“DES”) businesses. We continue to be subject to certain indemnification obligations under the terms of the purchase agreement. In addition, the tax liability associated with the sale is subject to completion of remaining tax return filings in certain foreign jurisdictions where we formerly operated the OCP and DES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2016, we entered into an agreement to acquire the European business of MACtac (“Mactac”) from Platinum Equity for a purchase price of €200 million, including assumed debt. Mactac manufactures pressure-sensitive materials that complement our existing graphics portfolio. The purchase price is subject to certain adjustments in accordance with the terms of the agreement. On August 1, 2016, we completed this acquisition, which we funded with cash and through existing credit facilities.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3. Inventories</w:t>
            </w:r>
          </w:p>
        </w:tc>
        <w:tc>
          <w:tcPr>
            <w:tcW w:w="3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Net inventories consisted of:</w:t>
            </w:r>
          </w:p>
        </w:tc>
        <w:tc>
          <w:tcPr>
            <w:tcW w:w="3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July 2, 2016</w:t>
            </w: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January 2, 2016</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197.4</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Work-in-progress</w:t>
            </w:r>
          </w:p>
        </w:tc>
        <w:tc>
          <w:tcPr>
            <w:tcW w:w="328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162.0</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143.0</w:t>
            </w:r>
          </w:p>
        </w:tc>
      </w:tr>
      <w:tr>
        <w:trPr>
          <w:trHeight w:val="216"/>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164.7</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17"/>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Inventories, net</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524.1</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carrying amount of goodwill for the six months ended July 2, 2016, by reportable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Retail Branding</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35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Pressure-sensitive</w:t>
            </w:r>
          </w:p>
        </w:tc>
        <w:tc>
          <w:tcPr>
            <w:tcW w:w="19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and Information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Materials</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Solutions</w:t>
            </w: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January 2, 2016</w:t>
            </w:r>
          </w:p>
        </w:tc>
        <w:tc>
          <w:tcPr>
            <w:tcW w:w="2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277.9</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408.3</w:t>
            </w: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686.2</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Translation adjustments</w:t>
            </w:r>
          </w:p>
        </w:tc>
        <w:tc>
          <w:tcPr>
            <w:tcW w:w="2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w:t>
            </w:r>
          </w:p>
        </w:tc>
        <w:tc>
          <w:tcPr>
            <w:tcW w:w="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217"/>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Goodwill as of July 2, 2016</w:t>
            </w:r>
          </w:p>
        </w:tc>
        <w:tc>
          <w:tcPr>
            <w:tcW w:w="2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281.1</w:t>
            </w: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409.9</w:t>
            </w:r>
          </w:p>
        </w:tc>
        <w:tc>
          <w:tcPr>
            <w:tcW w:w="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691.0</w:t>
            </w:r>
          </w:p>
        </w:tc>
      </w:tr>
    </w:tbl>
    <w:p>
      <w:pPr>
        <w:sectPr>
          <w:pgSz w:w="11900" w:h="16870" w:orient="portrait"/>
          <w:cols w:equalWidth="0" w:num="1">
            <w:col w:w="11420"/>
          </w:cols>
          <w:pgMar w:left="240" w:top="140" w:right="239" w:bottom="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The carrying amounts of goodwill at July 2, 2016 and January 2, 2016 were net of accumulated impairment losses of $820 million, which were included in our RBIS reportable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was no goodwill associated with our Vancive Medical Technologies reportable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Capital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 of our long-term debt is primarily based on the credit spread above U.S. Treasury securities on notes with similar rates, credit ratings, and remaining maturities. The fair value of short-term borrowings, which includes commercial paper issuances and short-term lines of credit, approximates carrying value given the short duration of these obligations. The fair value of our total debt was $1.22 billion at July 2, 2016 and $1.08 billion at January 2, 2016. Fair value amounts were determined based primarily on Level 2 inputs, which are inputs other than quoted prices in active markets that are either directly or indirectly observable.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$700 million revolving credit facility (the “Revolver”) contains financial covenants requiring that we maintain specified ratios of total debt and interest expense in relation to certain measures of income. As of July 2, 2016 and January 2, 2016, we were in compliance with our financial covenants.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we entered into an agreement with three commercial paper dealers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would be backed by the Revolver. There are no financial covenants under this program. As of July 2, 2016, there were no balances outstanding under this program.</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sponsor a number of defined benefit plans, the accrual of benefits under some of which has been frozen, covering eligible employees in the U.S. and certain other countries. Benefits payable to an employee are based primarily on years of service and the employee’s compensation during the course of his or her employment with us.</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2015, we offered eligible former employees who were vested participants in the Avery Dennison Pension Plan (“ADPP”), a U.S. pension plan, the opportunity to receive their benefits immediately as either a lump-sum payment or an annuity, rather than waiting until they are retirement eligible under the terms of the plan. In the second quarter of 2016, approximately $70 million of pension obligations related to this plan were settled out of existing plan assets and a non-cash pre-tax settlement charge of $41.4 million was recorded in “Other expense, net” in the unaudited Condensed Consolidated Statements of Income. This settlement required us to remeasure the remaining net pension obligations of the ADPP. As a result, approximately $72 million of additional net pension obligations with a corresponding increase in actuarial losses recorded in “Accumulated other comprehensive loss” was recognized primarily due to lower discount rates that were in effect when the plan was remeasured.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components of net periodic benefit cost (credit), which are recorded in income from continuing operations, for our defined benefit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Pension Benefits</w:t>
            </w: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8"/>
              </w:rPr>
              <w:t>Three Months Ended</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2, 2016</w:t>
            </w: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4, 2015</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July 2, 2016</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4, 2015</w:t>
            </w:r>
          </w:p>
        </w:tc>
        <w:tc>
          <w:tcPr>
            <w:tcW w:w="520" w:type="dxa"/>
            <w:vAlign w:val="bottom"/>
            <w:tcBorders>
              <w:bottom w:val="single" w:sz="8" w:color="auto"/>
            </w:tcBorders>
          </w:tcPr>
          <w:p>
            <w:pPr>
              <w:spacing w:after="0"/>
              <w:rPr>
                <w:sz w:val="18"/>
                <w:szCs w:val="18"/>
                <w:color w:val="auto"/>
              </w:rPr>
            </w:pPr>
          </w:p>
        </w:tc>
      </w:tr>
      <w:tr>
        <w:trPr>
          <w:trHeight w:val="210"/>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Int’l</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U.S.</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Int’l</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Int’l</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w w:val="97"/>
              </w:rPr>
              <w:t>(10.7)</w:t>
            </w:r>
          </w:p>
        </w:tc>
        <w:tc>
          <w:tcPr>
            <w:tcW w:w="32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(25.8)</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32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3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Recognized loss on settlements</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41.4</w:t>
            </w: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41.4</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1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46.3</w:t>
            </w: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bl>
    <w:p>
      <w:pPr>
        <w:spacing w:after="0" w:line="196" w:lineRule="exact"/>
        <w:rPr>
          <w:sz w:val="20"/>
          <w:szCs w:val="20"/>
          <w:color w:val="auto"/>
        </w:rPr>
      </w:pPr>
    </w:p>
    <w:p>
      <w:pPr>
        <w:jc w:val="both"/>
        <w:ind w:left="180" w:hanging="161"/>
        <w:spacing w:after="0" w:line="235"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In 2016, recognized loss on settlements related to our U.S. pension plan as a result of the lump-sum pension payments described above; in 2015, recognized loss on settlements related to pension plans in Germany and France as a result of the sale of a product line in our RBIS reportable segment. These losses on settlements were recorded in “Other expense, net” in the unaudited Condensed Consolidated Statements of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w w:val="95"/>
              </w:rPr>
              <w:t>U.S. Postretirement Health Benefits</w:t>
            </w:r>
          </w:p>
        </w:tc>
        <w:tc>
          <w:tcPr>
            <w:tcW w:w="7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10"/>
        </w:trPr>
        <w:tc>
          <w:tcPr>
            <w:tcW w:w="50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Six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July 2, 2016</w:t>
            </w:r>
          </w:p>
        </w:tc>
        <w:tc>
          <w:tcPr>
            <w:tcW w:w="142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w w:val="88"/>
              </w:rPr>
              <w:t>July 4, 2015</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July 2, 2016</w:t>
            </w:r>
          </w:p>
        </w:tc>
        <w:tc>
          <w:tcPr>
            <w:tcW w:w="13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98"/>
              </w:rPr>
              <w:t>July 4, 2015</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6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w:t>
            </w:r>
          </w:p>
        </w:tc>
        <w:tc>
          <w:tcPr>
            <w:tcW w:w="7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credit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341" w:right="239" w:bottom="0" w:gutter="0" w:footer="0" w:header="0"/>
        </w:sectPr>
      </w:pPr>
    </w:p>
    <w:bookmarkStart w:id="7" w:name="page8"/>
    <w:bookmarkEnd w:id="7"/>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Research and Development</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Research and development expense from continuing operations was $22.7 million and $45.0 million for the three and six months ended July 2, 2016, respectively, and $22.8 million and $48.4 million for the three and six months ended July 4, 2015, respectively. This expense was included in “Marketing, general and administrative expense” in the unaudited Condensed Consolidated Statements of Income.</w:t>
      </w:r>
    </w:p>
    <w:p>
      <w:pPr>
        <w:sectPr>
          <w:pgSz w:w="11900" w:h="16925" w:orient="portrait"/>
          <w:cols w:equalWidth="0" w:num="1">
            <w:col w:w="11460"/>
          </w:cols>
          <w:pgMar w:left="240" w:top="341" w:right="199" w:bottom="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Stock-based compensation expense from continuing operations was $6.6 million and $14.1 million for the respectively, and $5.8 million and $13.2 million for the three and six months ended July 4, 2015, respectively. general and administrative expense” in the unaudited Condensed Consolidated Statements of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0"/>
        <w:spacing w:after="0" w:line="308" w:lineRule="auto"/>
        <w:rPr>
          <w:sz w:val="20"/>
          <w:szCs w:val="20"/>
          <w:color w:val="auto"/>
        </w:rPr>
      </w:pPr>
      <w:r>
        <w:rPr>
          <w:rFonts w:ascii="Arial" w:cs="Arial" w:eastAsia="Arial" w:hAnsi="Arial"/>
          <w:sz w:val="17"/>
          <w:szCs w:val="17"/>
          <w:color w:val="auto"/>
        </w:rPr>
        <w:t>three and six months ended July 2, 2016, This expense was included in “Marketing,</w:t>
      </w:r>
    </w:p>
    <w:p>
      <w:pPr>
        <w:spacing w:after="0" w:line="362" w:lineRule="exact"/>
        <w:rPr>
          <w:sz w:val="20"/>
          <w:szCs w:val="20"/>
          <w:color w:val="auto"/>
        </w:rPr>
      </w:pPr>
    </w:p>
    <w:p>
      <w:pPr>
        <w:sectPr>
          <w:pgSz w:w="11900" w:h="16925" w:orient="portrait"/>
          <w:cols w:equalWidth="0" w:num="2">
            <w:col w:w="8180" w:space="20"/>
            <w:col w:w="3260"/>
          </w:cols>
          <w:pgMar w:left="240" w:top="341" w:right="199" w:bottom="0" w:gutter="0" w:footer="0" w:header="0"/>
          <w:type w:val="continuous"/>
        </w:sectPr>
      </w:pPr>
    </w:p>
    <w:p>
      <w:pPr>
        <w:jc w:val="both"/>
        <w:ind w:right="60"/>
        <w:spacing w:after="0" w:line="277" w:lineRule="auto"/>
        <w:rPr>
          <w:sz w:val="20"/>
          <w:szCs w:val="20"/>
          <w:color w:val="auto"/>
        </w:rPr>
      </w:pPr>
      <w:r>
        <w:rPr>
          <w:rFonts w:ascii="Arial" w:cs="Arial" w:eastAsia="Arial" w:hAnsi="Arial"/>
          <w:sz w:val="18"/>
          <w:szCs w:val="18"/>
          <w:color w:val="auto"/>
        </w:rPr>
        <w:t>As of July 2, 2016, we had approximately $54 million of unrecognized compensation expense from continuing operations related to unvested stock-based awards, which is expected to be recognized over the remaining weighted-average period of approximately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Awards</w:t>
      </w:r>
    </w:p>
    <w:p>
      <w:pPr>
        <w:spacing w:after="0" w:line="23"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Compensation expense from continuing operations related to long-term incentive units was $5.2 million and $14.7 million for the three and six months ended July 2, 2016, respectively, and $10.1 million and $15.3 million for the three and six months ended July 4, 2015, respectively. This expense was included in “Marketing, general and administrative expense” in the unaudited Condensed Consolidated Statements of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Cost Reduction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2015/2016 Actions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the six months ended July 2, 2016, we recorded $12.4 million in restructuring charges, net of reversals, related to restructuring actions initiated during the third quarter of 2015 that we expect to continue through 2016 (“2015/2016 Actions”). These charges consisted of severance and related costs for the reduction of approximately 230 positions, lease cancellation costs, and asset impairment charges.</w:t>
      </w:r>
    </w:p>
    <w:p>
      <w:pPr>
        <w:spacing w:after="0" w:line="190"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During fiscal year 2015, we recorded $26.1 million in restructuring charges, net of reversals, related to our 2015/2016 Actions. These charges consisted of severance and related costs for the reduction of approximately 430 positions, lease cancellation costs, and asset impairment charges.</w:t>
      </w:r>
    </w:p>
    <w:p>
      <w:pPr>
        <w:spacing w:after="0" w:line="14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No employees impacted by our 2015/2016 Actions taken through July 2, 2016 remained employed with us as of such date. We expect charges and payments related to these actions to be substantially completed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2014/2015 Actions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fiscal year 2015, we recorded $33.4 million in restructuring charges, net of reversals, related to restructuring actions we initiated in 2014 that continued through the second quarter of 2015 (“2014/2015 Actions”). These charges consisted of severance and related costs for the reduction of approximately 605 positions, lease cancellation costs, and asset impairment charges.</w:t>
      </w:r>
    </w:p>
    <w:p>
      <w:pPr>
        <w:spacing w:after="0" w:line="19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Approximately 55 employees impacted by our 2014/2015 Actions remained employed with us as of July 2, 2016. We expect charges and payments related to these actions to be substantially completed in 2016.</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less selling costs, if applicable. Restructuring charges were included in “Other expense, net” in the unaudited Condensed Consolidated Statements of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8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80" w:type="dxa"/>
            <w:vAlign w:val="bottom"/>
            <w:gridSpan w:val="5"/>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7500" w:type="dxa"/>
            <w:vAlign w:val="bottom"/>
            <w:gridSpan w:val="9"/>
          </w:tcPr>
          <w:p>
            <w:pPr>
              <w:spacing w:after="0"/>
              <w:rPr>
                <w:sz w:val="20"/>
                <w:szCs w:val="20"/>
                <w:color w:val="auto"/>
              </w:rPr>
            </w:pPr>
            <w:r>
              <w:rPr>
                <w:rFonts w:ascii="Arial" w:cs="Arial" w:eastAsia="Arial" w:hAnsi="Arial"/>
                <w:sz w:val="18"/>
                <w:szCs w:val="18"/>
                <w:color w:val="auto"/>
                <w:w w:val="98"/>
              </w:rPr>
              <w:t>During the six months ended July 2, 2016, restructuring charges and payments were as follows:</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Accrual at</w:t>
            </w:r>
          </w:p>
        </w:tc>
        <w:tc>
          <w:tcPr>
            <w:tcW w:w="50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w w:val="86"/>
              </w:rPr>
              <w:t>Charges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Foreign</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Accrual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January 2,</w:t>
            </w:r>
          </w:p>
        </w:tc>
        <w:tc>
          <w:tcPr>
            <w:tcW w:w="15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(Reversals),</w:t>
            </w:r>
          </w:p>
        </w:tc>
        <w:tc>
          <w:tcPr>
            <w:tcW w:w="50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Cash</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Non-cash</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5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July 2,</w:t>
            </w:r>
          </w:p>
        </w:tc>
        <w:tc>
          <w:tcPr>
            <w:tcW w:w="0" w:type="dxa"/>
            <w:vAlign w:val="bottom"/>
          </w:tcPr>
          <w:p>
            <w:pPr>
              <w:spacing w:after="0"/>
              <w:rPr>
                <w:sz w:val="1"/>
                <w:szCs w:val="1"/>
                <w:color w:val="auto"/>
              </w:rPr>
            </w:pPr>
          </w:p>
        </w:tc>
      </w:tr>
      <w:tr>
        <w:trPr>
          <w:trHeight w:val="234"/>
        </w:trPr>
        <w:tc>
          <w:tcPr>
            <w:tcW w:w="282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Payments</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Impairment</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5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2015/2016 Actions</w:t>
            </w:r>
          </w:p>
        </w:tc>
        <w:tc>
          <w:tcPr>
            <w:tcW w:w="1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Severance and related costs</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9.2</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(17.0)</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Lease cancellation costs</w:t>
            </w:r>
          </w:p>
        </w:tc>
        <w:tc>
          <w:tcPr>
            <w:tcW w:w="116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2014/2015 Actions</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Prior actions</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Severance and related costs</w:t>
            </w:r>
          </w:p>
        </w:tc>
        <w:tc>
          <w:tcPr>
            <w:tcW w:w="116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-2874645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-2874645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5" w:orient="portrait"/>
          <w:cols w:equalWidth="0" w:num="1">
            <w:col w:w="11460"/>
          </w:cols>
          <w:pgMar w:left="240" w:top="341" w:right="199" w:bottom="0" w:gutter="0" w:footer="0" w:header="0"/>
          <w:type w:val="continuous"/>
        </w:sectPr>
      </w:pPr>
    </w:p>
    <w:bookmarkStart w:id="8" w:name="page9"/>
    <w:bookmarkEnd w:id="8"/>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14.1</w:t>
            </w:r>
          </w:p>
        </w:tc>
        <w:tc>
          <w:tcPr>
            <w:tcW w:w="4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7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8100" w:type="dxa"/>
            <w:vAlign w:val="bottom"/>
            <w:gridSpan w:val="9"/>
          </w:tcPr>
          <w:p>
            <w:pPr>
              <w:spacing w:after="0"/>
              <w:rPr>
                <w:sz w:val="20"/>
                <w:szCs w:val="20"/>
                <w:color w:val="auto"/>
              </w:rPr>
            </w:pPr>
            <w:r>
              <w:rPr>
                <w:rFonts w:ascii="Arial" w:cs="Arial" w:eastAsia="Arial" w:hAnsi="Arial"/>
                <w:sz w:val="18"/>
                <w:szCs w:val="18"/>
                <w:color w:val="auto"/>
                <w:w w:val="90"/>
              </w:rPr>
              <w:t>The table below shows the total amount of restructuring charges incurred by reportable segment and Corporate: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6"/>
              </w:rPr>
              <w:t>Three Months Ended</w:t>
            </w:r>
          </w:p>
        </w:tc>
        <w:tc>
          <w:tcPr>
            <w:tcW w:w="3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July 2, 2016</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4, 2015</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July 2, 2016</w:t>
            </w: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July 4, 2015</w:t>
            </w:r>
          </w:p>
        </w:tc>
        <w:tc>
          <w:tcPr>
            <w:tcW w:w="0" w:type="dxa"/>
            <w:vAlign w:val="bottom"/>
          </w:tcPr>
          <w:p>
            <w:pPr>
              <w:spacing w:after="0"/>
              <w:rPr>
                <w:sz w:val="1"/>
                <w:szCs w:val="1"/>
                <w:color w:val="auto"/>
              </w:rPr>
            </w:pPr>
          </w:p>
        </w:tc>
      </w:tr>
      <w:tr>
        <w:trPr>
          <w:trHeight w:val="210"/>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4"/>
              </w:rPr>
              <w:t>Restructuring charges by reportable segment and Corporate</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Pressure-sensitive Materials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4.7</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6.8</w:t>
            </w:r>
          </w:p>
        </w:tc>
        <w:tc>
          <w:tcPr>
            <w:tcW w:w="680" w:type="dxa"/>
            <w:vAlign w:val="bottom"/>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Vancive Medical Technologies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6.4</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20.0</w:t>
            </w: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w:t>
            </w: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enter into foreign exchange hedge contracts to reduce our risk from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July 2, 2016, the aggregate U.S. dollar equivalent notional value of our outstanding commodity contracts and foreign exchange contracts was $2.7 million and $1.53 billion, respectively.</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recognize all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and designate foreign exchange contracts on existing balance sheet items as fair value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and balance sheet locations of derivatives as of July 2,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0"/>
                <w:szCs w:val="20"/>
                <w:color w:val="auto"/>
              </w:rPr>
            </w:pPr>
          </w:p>
        </w:tc>
        <w:tc>
          <w:tcPr>
            <w:tcW w:w="260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Liability</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80" w:type="dxa"/>
            <w:vAlign w:val="bottom"/>
            <w:tcBorders>
              <w:bottom w:val="single" w:sz="8" w:color="auto"/>
            </w:tcBorders>
            <w:gridSpan w:val="2"/>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Fair Value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Commodity contracts</w:t>
            </w:r>
          </w:p>
        </w:tc>
        <w:tc>
          <w:tcPr>
            <w:tcW w:w="31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w:t>
            </w: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6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5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gridSpan w:val="4"/>
          </w:tcPr>
          <w:p>
            <w:pPr>
              <w:jc w:val="center"/>
              <w:ind w:left="1810"/>
              <w:spacing w:after="0"/>
              <w:rPr>
                <w:sz w:val="20"/>
                <w:szCs w:val="20"/>
                <w:color w:val="auto"/>
              </w:rPr>
            </w:pPr>
            <w:r>
              <w:rPr>
                <w:rFonts w:ascii="Arial" w:cs="Arial" w:eastAsia="Arial" w:hAnsi="Arial"/>
                <w:sz w:val="18"/>
                <w:szCs w:val="18"/>
                <w:color w:val="auto"/>
                <w:w w:val="91"/>
              </w:rPr>
              <w:t>Avery Dennison Corporation</w:t>
            </w:r>
          </w:p>
        </w:tc>
        <w:tc>
          <w:tcPr>
            <w:tcW w:w="0" w:type="dxa"/>
            <w:vAlign w:val="bottom"/>
          </w:tcPr>
          <w:p>
            <w:pPr>
              <w:spacing w:after="0"/>
              <w:rPr>
                <w:sz w:val="1"/>
                <w:szCs w:val="1"/>
                <w:color w:val="auto"/>
              </w:rPr>
            </w:pPr>
          </w:p>
        </w:tc>
      </w:tr>
      <w:tr>
        <w:trPr>
          <w:trHeight w:val="432"/>
        </w:trPr>
        <w:tc>
          <w:tcPr>
            <w:tcW w:w="10020" w:type="dxa"/>
            <w:vAlign w:val="bottom"/>
            <w:gridSpan w:val="8"/>
          </w:tcPr>
          <w:p>
            <w:pPr>
              <w:spacing w:after="0"/>
              <w:rPr>
                <w:sz w:val="20"/>
                <w:szCs w:val="20"/>
                <w:color w:val="auto"/>
              </w:rPr>
            </w:pPr>
            <w:r>
              <w:rPr>
                <w:rFonts w:ascii="Arial" w:cs="Arial" w:eastAsia="Arial" w:hAnsi="Arial"/>
                <w:sz w:val="18"/>
                <w:szCs w:val="18"/>
                <w:color w:val="auto"/>
              </w:rPr>
              <w:t>The following table provides the fair value and balance sheet locations of derivatives as of January 2, 2016:</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Asset</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Liability</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Fair Value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Commodity contracts</w:t>
            </w:r>
          </w:p>
        </w:tc>
        <w:tc>
          <w:tcPr>
            <w:tcW w:w="31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6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-1802130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-1802130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For derivative instruments that are designated and qualify as fair value hedges, the gain or loss on the derivative and the offsetting loss or gain on the hedged item attributable to the hedged risk are recognized in current earnings, resulting in no material net impact to income.</w:t>
      </w:r>
    </w:p>
    <w:p>
      <w:pPr>
        <w:spacing w:after="0" w:line="18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provides the components of net gains (losses) recognized in income related to fair value hedge contracts. The corresponding gains or losses on the underlying hedged items approximated the net gains (losses) on these fair value hedge contracts.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260" w:type="dxa"/>
            <w:vAlign w:val="bottom"/>
          </w:tcPr>
          <w:p>
            <w:pPr>
              <w:ind w:left="680"/>
              <w:spacing w:after="0"/>
              <w:rPr>
                <w:sz w:val="20"/>
                <w:szCs w:val="20"/>
                <w:color w:val="auto"/>
              </w:rPr>
            </w:pPr>
            <w:r>
              <w:rPr>
                <w:rFonts w:ascii="Arial" w:cs="Arial" w:eastAsia="Arial" w:hAnsi="Arial"/>
                <w:sz w:val="18"/>
                <w:szCs w:val="18"/>
                <w:b w:val="1"/>
                <w:bCs w:val="1"/>
                <w:color w:val="auto"/>
              </w:rPr>
              <w:t>Location of Net Gains</w:t>
            </w:r>
          </w:p>
        </w:tc>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Three Months Ended</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8"/>
              </w:rPr>
              <w:t>Six Months Ended</w:t>
            </w:r>
          </w:p>
        </w:tc>
        <w:tc>
          <w:tcPr>
            <w:tcW w:w="500" w:type="dxa"/>
            <w:vAlign w:val="bottom"/>
            <w:tcBorders>
              <w:bottom w:val="single" w:sz="8" w:color="auto"/>
            </w:tcBorders>
          </w:tcPr>
          <w:p>
            <w:pPr>
              <w:spacing w:after="0"/>
              <w:rPr>
                <w:sz w:val="20"/>
                <w:szCs w:val="20"/>
                <w:color w:val="auto"/>
              </w:rPr>
            </w:pPr>
          </w:p>
        </w:tc>
      </w:tr>
      <w:tr>
        <w:trPr>
          <w:trHeight w:val="210"/>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(Losses) in Income</w:t>
            </w: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July 2, 2016</w:t>
            </w: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88"/>
              </w:rPr>
              <w:t>July 4, 2015</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July 2, 2016</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Cost of products sold</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Foreign exchange contracts</w:t>
            </w:r>
          </w:p>
        </w:tc>
        <w:tc>
          <w:tcPr>
            <w:tcW w:w="3260" w:type="dxa"/>
            <w:vAlign w:val="bottom"/>
          </w:tcPr>
          <w:p>
            <w:pPr>
              <w:ind w:left="680"/>
              <w:spacing w:after="0" w:line="201" w:lineRule="exact"/>
              <w:rPr>
                <w:sz w:val="20"/>
                <w:szCs w:val="20"/>
                <w:color w:val="auto"/>
              </w:rPr>
            </w:pPr>
            <w:r>
              <w:rPr>
                <w:rFonts w:ascii="Arial" w:cs="Arial" w:eastAsia="Arial" w:hAnsi="Arial"/>
                <w:sz w:val="18"/>
                <w:szCs w:val="18"/>
                <w:color w:val="auto"/>
              </w:rPr>
              <w:t>Marketing, general and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30"/>
        </w:trPr>
        <w:tc>
          <w:tcPr>
            <w:tcW w:w="26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administrative expense</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w:t>
            </w: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(7.7)</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17"/>
        </w:trPr>
        <w:tc>
          <w:tcPr>
            <w:tcW w:w="266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8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7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 representing either hedge ineffectiveness or hedge components excluded from the assessment of effectiveness, are recognized in current earnings.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Gains (losses) recognized in “Accumulated other comprehensive loss” (effective portion) on derivatives related to cash flow hedge contracts were as follows:</w:t>
      </w:r>
    </w:p>
    <w:p>
      <w:pPr>
        <w:spacing w:after="0" w:line="244" w:lineRule="exact"/>
        <w:rPr>
          <w:sz w:val="20"/>
          <w:szCs w:val="20"/>
          <w:color w:val="auto"/>
        </w:rPr>
      </w:pPr>
    </w:p>
    <w:p>
      <w:pPr>
        <w:ind w:left="5000"/>
        <w:spacing w:after="0"/>
        <w:tabs>
          <w:tab w:leader="none" w:pos="884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6"/>
          <w:szCs w:val="16"/>
          <w:b w:val="1"/>
          <w:bCs w:val="1"/>
          <w:color w:val="auto"/>
        </w:rPr>
        <w:t>Six Months Ended</w:t>
      </w:r>
    </w:p>
    <w:p>
      <w:pPr>
        <w:sectPr>
          <w:pgSz w:w="11900" w:h="16863" w:orient="portrait"/>
          <w:cols w:equalWidth="0" w:num="1">
            <w:col w:w="11460"/>
          </w:cols>
          <w:pgMar w:left="240" w:top="120" w:right="199" w:bottom="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-97155</wp:posOffset>
            </wp:positionV>
            <wp:extent cx="46653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ectPr>
          <w:pgSz w:w="11900" w:h="16863" w:orient="portrait"/>
          <w:cols w:equalWidth="0" w:num="1">
            <w:col w:w="11460"/>
          </w:cols>
          <w:pgMar w:left="240" w:top="120" w:right="199" w:bottom="0" w:gutter="0" w:footer="0" w:header="0"/>
          <w:type w:val="continuous"/>
        </w:sectPr>
      </w:pPr>
    </w:p>
    <w:bookmarkStart w:id="9" w:name="page10"/>
    <w:bookmarkEnd w:id="9"/>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8"/>
              </w:rPr>
              <w:t>July 2, 2016</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8"/>
              </w:rPr>
              <w:t>July 4, 2015</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8"/>
              </w:rPr>
              <w:t>July 2, 2016</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July 4, 2015</w:t>
            </w: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1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17"/>
        </w:trPr>
        <w:tc>
          <w:tcPr>
            <w:tcW w:w="3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amount of gain or loss recognized in income related to the ineffective portion of, and the amount excluded from, effectiveness testing for cash flow hedges and derivatives not designated as hedging instruments was not material for the three and six months ended July 2, 2016 and July 4, 2015, respectively.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2, 2016, we expected a net loss of approximately $2 million to be reclassified from “Accumulated other comprehensive loss” to earnings within the next 12 months. See Note 13, “Comprehensive Income,” for more information.</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Taxes Based on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income from continuing operations before taxes, provision for income taxes from continuing operations, and effective tax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0"/>
                <w:szCs w:val="20"/>
                <w:color w:val="auto"/>
              </w:rPr>
            </w:pPr>
          </w:p>
        </w:tc>
        <w:tc>
          <w:tcPr>
            <w:tcW w:w="17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Six Months Ended</w:t>
            </w:r>
          </w:p>
        </w:tc>
        <w:tc>
          <w:tcPr>
            <w:tcW w:w="760" w:type="dxa"/>
            <w:vAlign w:val="bottom"/>
          </w:tcPr>
          <w:p>
            <w:pPr>
              <w:spacing w:after="0"/>
              <w:rPr>
                <w:sz w:val="20"/>
                <w:szCs w:val="20"/>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4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July 2, 2016</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July 4, 2015</w:t>
            </w:r>
          </w:p>
        </w:tc>
        <w:tc>
          <w:tcPr>
            <w:tcW w:w="300" w:type="dxa"/>
            <w:vAlign w:val="bottom"/>
            <w:tcBorders>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July 2, 2016</w:t>
            </w:r>
          </w:p>
        </w:tc>
        <w:tc>
          <w:tcPr>
            <w:tcW w:w="14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99.3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222.8</w:t>
            </w: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201.3</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19.3</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36.6</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53.2</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64.7</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19.4%</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36.1%</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23.9%</w:t>
            </w:r>
          </w:p>
        </w:tc>
        <w:tc>
          <w:tcPr>
            <w:tcW w:w="6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effective tax rate for the three and six months ended July 2, 2016 included $6.7 million of tax benefit from the release of valuation allowances against certain deferred tax assets in a foreign jurisdiction associated with a structural simplification approved by the tax authority; $5 million and $6 million of tax benefits, respectively, from our change in judgment about tax filing positions in certain foreign jurisdictions as a result of </w:t>
      </w:r>
      <w:r>
        <w:rPr>
          <w:rFonts w:ascii="Arial" w:cs="Arial" w:eastAsia="Arial" w:hAnsi="Arial"/>
          <w:sz w:val="18"/>
          <w:szCs w:val="18"/>
          <w:color w:val="222222"/>
        </w:rPr>
        <w:t>new information gained from our</w:t>
      </w:r>
      <w:r>
        <w:rPr>
          <w:rFonts w:ascii="Arial" w:cs="Arial" w:eastAsia="Arial" w:hAnsi="Arial"/>
          <w:sz w:val="18"/>
          <w:szCs w:val="18"/>
          <w:color w:val="auto"/>
        </w:rPr>
        <w:t xml:space="preserve"> </w:t>
      </w:r>
      <w:r>
        <w:rPr>
          <w:rFonts w:ascii="Arial" w:cs="Arial" w:eastAsia="Arial" w:hAnsi="Arial"/>
          <w:sz w:val="18"/>
          <w:szCs w:val="18"/>
          <w:color w:val="222222"/>
        </w:rPr>
        <w:t>interactions with tax authorities</w:t>
      </w:r>
      <w:r>
        <w:rPr>
          <w:rFonts w:ascii="Arial" w:cs="Arial" w:eastAsia="Arial" w:hAnsi="Arial"/>
          <w:sz w:val="18"/>
          <w:szCs w:val="18"/>
          <w:color w:val="000000"/>
        </w:rPr>
        <w:t>; and $.7 million and $3.3 million of tax benefits, respectively, due to decreases in certain tax reserves as a result of closing tax</w:t>
      </w:r>
      <w:r>
        <w:rPr>
          <w:rFonts w:ascii="Arial" w:cs="Arial" w:eastAsia="Arial" w:hAnsi="Arial"/>
          <w:sz w:val="18"/>
          <w:szCs w:val="18"/>
          <w:color w:val="222222"/>
        </w:rPr>
        <w:t xml:space="preserve"> </w:t>
      </w:r>
      <w:r>
        <w:rPr>
          <w:rFonts w:ascii="Arial" w:cs="Arial" w:eastAsia="Arial" w:hAnsi="Arial"/>
          <w:sz w:val="18"/>
          <w:szCs w:val="18"/>
          <w:color w:val="000000"/>
        </w:rPr>
        <w:t>years.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 for the six months ended July 2, 2016 compared to the effective tax rate for the six months ended July 4, 2015 was also favorably impacted by a change in the geographic mix of income before taxes.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effective tax rate for the three and six months ended July 4, 2015 included $5.3 million of tax expense associated with the repatriation of non-permanently reinvested 2015 earnings of certain foreign subsidiaries; $.5 million of tax expense due to non-deductible employee-related expenses; and $.7 million and $4.1 million of tax benefits, respectively, due to decreases in certain tax reserves as a result of closing tax years. Additionally, the effective tax rate for the six months ended July 4, 2015 included $1.6 million of net tax benefit related to changes in the effective tax rates in certain foreign municipalities.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With some exceptions, we and our subsidiaries are no longer subject to income tax examinations by tax authorities for years prior to 2006.</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during the next 12 months, we may realize a decrease in our uncertain tax positions, including interest and penalties, of approximately $12 million, primarily as a result of closing tax years.</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Note 12. Net Income Per Common Share</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rPr>
              <w:t>Net income per common share was computed as follows: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Six Months Ended</w:t>
            </w:r>
          </w:p>
        </w:tc>
        <w:tc>
          <w:tcPr>
            <w:tcW w:w="640" w:type="dxa"/>
            <w:vAlign w:val="bottom"/>
          </w:tcPr>
          <w:p>
            <w:pPr>
              <w:spacing w:after="0"/>
              <w:rPr>
                <w:sz w:val="24"/>
                <w:szCs w:val="24"/>
                <w:color w:val="auto"/>
              </w:rPr>
            </w:pPr>
          </w:p>
        </w:tc>
      </w:tr>
      <w:tr>
        <w:trPr>
          <w:trHeight w:val="191"/>
        </w:trPr>
        <w:tc>
          <w:tcPr>
            <w:tcW w:w="59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July 2,</w:t>
            </w:r>
          </w:p>
        </w:tc>
        <w:tc>
          <w:tcPr>
            <w:tcW w:w="5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rPr>
              <w:t>July 4,</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July 2,</w:t>
            </w:r>
          </w:p>
        </w:tc>
        <w:tc>
          <w:tcPr>
            <w:tcW w:w="6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July 4,</w:t>
            </w:r>
          </w:p>
        </w:tc>
      </w:tr>
      <w:tr>
        <w:trPr>
          <w:trHeight w:val="234"/>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amounts)</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 Income from continuing operations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169.6</w:t>
            </w: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 Loss from discontinued operations</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 Net income available to common shareholders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169.6</w:t>
            </w:r>
          </w:p>
        </w:tc>
        <w:tc>
          <w:tcPr>
            <w:tcW w:w="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(D) Weighted average number of common shares outstanding</w:t>
            </w:r>
          </w:p>
        </w:tc>
        <w:tc>
          <w:tcPr>
            <w:tcW w:w="42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89.1</w:t>
            </w:r>
          </w:p>
        </w:tc>
        <w:tc>
          <w:tcPr>
            <w:tcW w:w="5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89.3</w:t>
            </w:r>
          </w:p>
        </w:tc>
        <w:tc>
          <w:tcPr>
            <w:tcW w:w="6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90.9</w:t>
            </w:r>
          </w:p>
        </w:tc>
      </w:tr>
      <w:tr>
        <w:trPr>
          <w:trHeight w:val="202"/>
        </w:trPr>
        <w:tc>
          <w:tcPr>
            <w:tcW w:w="5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Dilutive shares (additional common shares issuable under stock-based</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5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awards)</w:t>
            </w:r>
          </w:p>
        </w:tc>
        <w:tc>
          <w:tcPr>
            <w:tcW w:w="4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5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6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color w:val="auto"/>
              </w:rPr>
              <w:t>(E) Weighted average number of common shares outstanding, assuming</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0"/>
        </w:trPr>
        <w:tc>
          <w:tcPr>
            <w:tcW w:w="5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dilution</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90.7</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90.9</w:t>
            </w: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bl>
    <w:p>
      <w:pPr>
        <w:sectPr>
          <w:pgSz w:w="11900" w:h="16884" w:orient="portrait"/>
          <w:cols w:equalWidth="0" w:num="1">
            <w:col w:w="11420"/>
          </w:cols>
          <w:pgMar w:left="240" w:top="12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Continuing operations (A) ÷ (D)</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.90</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1.90</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16"/>
        </w:trPr>
        <w:tc>
          <w:tcPr>
            <w:tcW w:w="5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 (B) ÷ (D)</w:t>
            </w:r>
          </w:p>
        </w:tc>
        <w:tc>
          <w:tcPr>
            <w:tcW w:w="1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 (C) ÷ (D)</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w:t>
            </w: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1.90</w:t>
            </w: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assuming dilution:</w:t>
            </w: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Continuing operations (A) ÷ (E)</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1.87</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16"/>
        </w:trPr>
        <w:tc>
          <w:tcPr>
            <w:tcW w:w="5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 (B) ÷ (E)</w:t>
            </w:r>
          </w:p>
        </w:tc>
        <w:tc>
          <w:tcPr>
            <w:tcW w:w="1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7"/>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 assuming dilution (C) ÷ (E)</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.88</w:t>
            </w: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.68</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1.87</w:t>
            </w: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bl>
    <w:p>
      <w:pPr>
        <w:spacing w:after="0" w:line="20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Certain stock-based compensation awards were not included in the computation of net income per common share, assuming dilution, because they would not have had a dilutive effect. Stock-based compensation awards excluded from the computation totaled approximately .1 million shares and .2 million shares for the three and six months ended July 2, 2016, respectively, and approximately 1 million shares for both the three and six months ended July 4,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six-month period ended July 2, 2016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40" w:type="dxa"/>
            <w:vAlign w:val="bottom"/>
            <w:gridSpan w:val="2"/>
          </w:tcPr>
          <w:p>
            <w:pPr>
              <w:ind w:left="420"/>
              <w:spacing w:after="0"/>
              <w:rPr>
                <w:sz w:val="20"/>
                <w:szCs w:val="20"/>
                <w:color w:val="auto"/>
              </w:rPr>
            </w:pPr>
            <w:r>
              <w:rPr>
                <w:rFonts w:ascii="Arial" w:cs="Arial" w:eastAsia="Arial" w:hAnsi="Arial"/>
                <w:sz w:val="18"/>
                <w:szCs w:val="18"/>
                <w:b w:val="1"/>
                <w:bCs w:val="1"/>
                <w:color w:val="auto"/>
              </w:rPr>
              <w:t>Pension and</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Foreign</w:t>
            </w:r>
          </w:p>
        </w:tc>
        <w:tc>
          <w:tcPr>
            <w:tcW w:w="6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Currency</w:t>
            </w: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4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w w:val="91"/>
              </w:rPr>
              <w:t>Cash Flow</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Translation</w:t>
            </w:r>
          </w:p>
        </w:tc>
        <w:tc>
          <w:tcPr>
            <w:tcW w:w="6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Benefits</w:t>
            </w:r>
          </w:p>
        </w:tc>
        <w:tc>
          <w:tcPr>
            <w:tcW w:w="42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Hedges</w:t>
            </w:r>
          </w:p>
        </w:tc>
        <w:tc>
          <w:tcPr>
            <w:tcW w:w="6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2, 2016</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(158.9)</w:t>
            </w:r>
          </w:p>
        </w:tc>
        <w:tc>
          <w:tcPr>
            <w:tcW w:w="6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(521.6)</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40" w:type="dxa"/>
            <w:vAlign w:val="bottom"/>
          </w:tcPr>
          <w:p>
            <w:pPr>
              <w:spacing w:after="0"/>
              <w:rPr>
                <w:sz w:val="18"/>
                <w:szCs w:val="18"/>
                <w:color w:val="auto"/>
              </w:rPr>
            </w:pPr>
          </w:p>
        </w:tc>
      </w:tr>
      <w:tr>
        <w:trPr>
          <w:trHeight w:val="202"/>
        </w:trPr>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w w:val="98"/>
              </w:rPr>
              <w:t>Other comprehensive income (loss) before reclassifications, net</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of tax</w:t>
            </w:r>
          </w:p>
        </w:tc>
        <w:tc>
          <w:tcPr>
            <w:tcW w:w="52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(46.7)</w:t>
            </w:r>
          </w:p>
        </w:tc>
        <w:tc>
          <w:tcPr>
            <w:tcW w:w="4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20"/>
                <w:szCs w:val="20"/>
                <w:color w:val="auto"/>
              </w:rPr>
            </w:pPr>
          </w:p>
        </w:tc>
      </w:tr>
      <w:tr>
        <w:trPr>
          <w:trHeight w:val="216"/>
        </w:trPr>
        <w:tc>
          <w:tcPr>
            <w:tcW w:w="5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35.4</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r>
      <w:tr>
        <w:trPr>
          <w:trHeight w:val="210"/>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Net current-period other comprehensive income (loss), net of tax</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5.6</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(11.3)</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r>
      <w:tr>
        <w:trPr>
          <w:trHeight w:val="217"/>
        </w:trPr>
        <w:tc>
          <w:tcPr>
            <w:tcW w:w="5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July 2, 2016</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(153.3)</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(532.9)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40" w:type="dxa"/>
            <w:vAlign w:val="bottom"/>
          </w:tcPr>
          <w:p>
            <w:pPr>
              <w:spacing w:after="0"/>
              <w:rPr>
                <w:sz w:val="18"/>
                <w:szCs w:val="18"/>
                <w:color w:val="auto"/>
              </w:rPr>
            </w:pPr>
          </w:p>
        </w:tc>
      </w:tr>
      <w:tr>
        <w:trPr>
          <w:trHeight w:val="432"/>
        </w:trPr>
        <w:tc>
          <w:tcPr>
            <w:tcW w:w="1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132"/>
        </w:trPr>
        <w:tc>
          <w:tcPr>
            <w:tcW w:w="128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50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r>
      <w:tr>
        <w:trPr>
          <w:trHeight w:val="432"/>
        </w:trPr>
        <w:tc>
          <w:tcPr>
            <w:tcW w:w="10040" w:type="dxa"/>
            <w:vAlign w:val="bottom"/>
            <w:gridSpan w:val="8"/>
          </w:tcPr>
          <w:p>
            <w:pPr>
              <w:spacing w:after="0"/>
              <w:rPr>
                <w:sz w:val="20"/>
                <w:szCs w:val="20"/>
                <w:color w:val="auto"/>
              </w:rPr>
            </w:pPr>
            <w:r>
              <w:rPr>
                <w:rFonts w:ascii="Arial" w:cs="Arial" w:eastAsia="Arial" w:hAnsi="Arial"/>
                <w:sz w:val="18"/>
                <w:szCs w:val="18"/>
                <w:color w:val="auto"/>
                <w:w w:val="97"/>
              </w:rPr>
              <w:t>The changes in “Accumulated other comprehensive loss” (net of tax) for the six-month period ended July 4, 2015 were as follows:</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Pension and</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Foreign</w:t>
            </w:r>
          </w:p>
        </w:tc>
        <w:tc>
          <w:tcPr>
            <w:tcW w:w="6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Currency</w:t>
            </w: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4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w w:val="91"/>
              </w:rPr>
              <w:t>Cash Flow</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Translation</w:t>
            </w:r>
          </w:p>
        </w:tc>
        <w:tc>
          <w:tcPr>
            <w:tcW w:w="6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Benefits</w:t>
            </w:r>
          </w:p>
        </w:tc>
        <w:tc>
          <w:tcPr>
            <w:tcW w:w="42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Hedges</w:t>
            </w:r>
          </w:p>
        </w:tc>
        <w:tc>
          <w:tcPr>
            <w:tcW w:w="6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3, 2015</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(19.9)</w:t>
            </w:r>
          </w:p>
        </w:tc>
        <w:tc>
          <w:tcPr>
            <w:tcW w:w="6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(525.6)</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4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Other comprehensive loss before reclassifications, net of tax</w:t>
            </w:r>
          </w:p>
        </w:tc>
        <w:tc>
          <w:tcPr>
            <w:tcW w:w="52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(69.1)</w:t>
            </w:r>
          </w:p>
        </w:tc>
        <w:tc>
          <w:tcPr>
            <w:tcW w:w="62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(69.8)</w:t>
            </w:r>
          </w:p>
        </w:tc>
        <w:tc>
          <w:tcPr>
            <w:tcW w:w="40" w:type="dxa"/>
            <w:vAlign w:val="bottom"/>
          </w:tcPr>
          <w:p>
            <w:pPr>
              <w:spacing w:after="0"/>
              <w:rPr>
                <w:sz w:val="18"/>
                <w:szCs w:val="18"/>
                <w:color w:val="auto"/>
              </w:rPr>
            </w:pPr>
          </w:p>
        </w:tc>
      </w:tr>
      <w:tr>
        <w:trPr>
          <w:trHeight w:val="216"/>
        </w:trPr>
        <w:tc>
          <w:tcPr>
            <w:tcW w:w="5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13.1</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r>
      <w:tr>
        <w:trPr>
          <w:trHeight w:val="210"/>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Net current-period other comprehensive (loss) income, net of tax</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(69.1)</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12.6</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18"/>
                <w:szCs w:val="18"/>
                <w:color w:val="auto"/>
              </w:rPr>
            </w:pPr>
          </w:p>
        </w:tc>
      </w:tr>
      <w:tr>
        <w:trPr>
          <w:trHeight w:val="217"/>
        </w:trPr>
        <w:tc>
          <w:tcPr>
            <w:tcW w:w="5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July 4, 2015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(89.0)</w:t>
            </w: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(513.0)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-2351405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-2351405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amounts reclassified from “Accumulated other comprehensive loss” to increase (decrease) income from continuing operations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Amounts Reclassified from Accumulated</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w w:val="95"/>
              </w:rPr>
              <w:t>Other Comprehensive Loss</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26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880" w:type="dxa"/>
            <w:vAlign w:val="bottom"/>
            <w:gridSpan w:val="3"/>
          </w:tcPr>
          <w:p>
            <w:pPr>
              <w:ind w:left="2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8"/>
                <w:szCs w:val="18"/>
                <w:color w:val="auto"/>
              </w:rPr>
            </w:pPr>
          </w:p>
        </w:tc>
        <w:tc>
          <w:tcPr>
            <w:tcW w:w="25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Affected Line Item</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b w:val="1"/>
                <w:bCs w:val="1"/>
                <w:color w:val="auto"/>
              </w:rPr>
              <w:t>in the Statements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July 2,</w:t>
            </w:r>
          </w:p>
        </w:tc>
        <w:tc>
          <w:tcPr>
            <w:tcW w:w="5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July 4,</w:t>
            </w:r>
          </w:p>
        </w:tc>
        <w:tc>
          <w:tcPr>
            <w:tcW w:w="42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July 2,</w:t>
            </w: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July 4,</w:t>
            </w:r>
          </w:p>
        </w:tc>
        <w:tc>
          <w:tcPr>
            <w:tcW w:w="2500" w:type="dxa"/>
            <w:vAlign w:val="bottom"/>
          </w:tcPr>
          <w:p>
            <w:pPr>
              <w:ind w:left="100"/>
              <w:spacing w:after="0"/>
              <w:rPr>
                <w:sz w:val="20"/>
                <w:szCs w:val="20"/>
                <w:color w:val="auto"/>
              </w:rPr>
            </w:pPr>
            <w:r>
              <w:rPr>
                <w:rFonts w:ascii="Arial" w:cs="Arial" w:eastAsia="Arial" w:hAnsi="Arial"/>
                <w:sz w:val="18"/>
                <w:szCs w:val="18"/>
                <w:b w:val="1"/>
                <w:bCs w:val="1"/>
                <w:color w:val="auto"/>
              </w:rPr>
              <w:t>Where Net Income</w:t>
            </w: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2015</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is Presented</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Foreign exchange contracts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500" w:type="dxa"/>
            <w:vAlign w:val="bottom"/>
          </w:tcPr>
          <w:p>
            <w:pPr>
              <w:ind w:left="10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500" w:type="dxa"/>
            <w:vAlign w:val="bottom"/>
          </w:tcPr>
          <w:p>
            <w:pPr>
              <w:ind w:left="10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Pension and other postretirement benefits</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(47.7)</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5.7</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(31.2)</w:t>
            </w: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(35.4)</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2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7"/>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reclassifications for the period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(12.7)</w:t>
            </w: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net of tax</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See Note 6, “Pension and Other Postretirement Benefits,” for more information</w:t>
      </w:r>
      <w:r>
        <w:rPr>
          <w:rFonts w:ascii="Arial" w:cs="Arial" w:eastAsia="Arial" w:hAnsi="Arial"/>
          <w:sz w:val="16"/>
          <w:szCs w:val="16"/>
          <w:color w:val="auto"/>
        </w:rPr>
        <w:t>.</w:t>
      </w:r>
    </w:p>
    <w:p>
      <w:pPr>
        <w:spacing w:after="0" w:line="202"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ectPr>
          <w:pgSz w:w="11900" w:h="16838" w:orient="portrait"/>
          <w:cols w:equalWidth="0" w:num="1">
            <w:col w:w="11460"/>
          </w:cols>
          <w:pgMar w:left="240" w:top="125" w:right="19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sets forth the income tax (benefit) expense allocated to each component of other comprehensive (loss)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w w:val="93"/>
              </w:rPr>
              <w:t>Six Months Ended</w:t>
            </w:r>
          </w:p>
        </w:tc>
        <w:tc>
          <w:tcPr>
            <w:tcW w:w="0" w:type="dxa"/>
            <w:vAlign w:val="bottom"/>
          </w:tcPr>
          <w:p>
            <w:pPr>
              <w:spacing w:after="0"/>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8"/>
              </w:rPr>
              <w:t>July 2, 2016</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July 4, 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July 2, 2016</w:t>
            </w: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July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Pension and other postretirement benefits</w:t>
            </w:r>
          </w:p>
        </w:tc>
        <w:tc>
          <w:tcPr>
            <w:tcW w:w="1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20" w:type="dxa"/>
            <w:vAlign w:val="bottom"/>
            <w:tcBorders>
              <w:top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flow hedges</w:t>
            </w:r>
          </w:p>
        </w:tc>
        <w:tc>
          <w:tcPr>
            <w:tcW w:w="1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Income tax (benefit) expense related to components of other</w:t>
            </w: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comprehensive (loss) income</w:t>
            </w:r>
          </w:p>
        </w:tc>
        <w:tc>
          <w:tcPr>
            <w:tcW w:w="1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2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Note 14. Fair Value Measurements</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Recurring Fair Value Measurements</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160" w:type="dxa"/>
            <w:vAlign w:val="bottom"/>
            <w:gridSpan w:val="12"/>
          </w:tcPr>
          <w:p>
            <w:pPr>
              <w:spacing w:after="0"/>
              <w:rPr>
                <w:sz w:val="20"/>
                <w:szCs w:val="20"/>
                <w:color w:val="auto"/>
              </w:rPr>
            </w:pPr>
            <w:r>
              <w:rPr>
                <w:rFonts w:ascii="Arial" w:cs="Arial" w:eastAsia="Arial" w:hAnsi="Arial"/>
                <w:sz w:val="18"/>
                <w:szCs w:val="18"/>
                <w:color w:val="auto"/>
                <w:w w:val="92"/>
              </w:rPr>
              <w:t>The following table provides the assets and liabilities carried at fair value, measured on a recurring basis, as of July 2, 2016:</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b w:val="1"/>
                <w:bCs w:val="1"/>
                <w:color w:val="auto"/>
                <w:w w:val="89"/>
              </w:rPr>
              <w:t>Fair Value Measurements Using</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80" w:type="dxa"/>
            <w:vAlign w:val="bottom"/>
          </w:tcPr>
          <w:p>
            <w:pPr>
              <w:spacing w:after="0"/>
              <w:rPr>
                <w:sz w:val="16"/>
                <w:szCs w:val="16"/>
                <w:color w:val="auto"/>
              </w:rPr>
            </w:pPr>
          </w:p>
        </w:tc>
        <w:tc>
          <w:tcPr>
            <w:tcW w:w="184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rPr>
              <w:t>Significant Other</w:t>
            </w:r>
          </w:p>
        </w:tc>
        <w:tc>
          <w:tcPr>
            <w:tcW w:w="760" w:type="dxa"/>
            <w:vAlign w:val="bottom"/>
          </w:tcPr>
          <w:p>
            <w:pPr>
              <w:spacing w:after="0"/>
              <w:rPr>
                <w:sz w:val="16"/>
                <w:szCs w:val="16"/>
                <w:color w:val="auto"/>
              </w:rPr>
            </w:pPr>
          </w:p>
        </w:tc>
        <w:tc>
          <w:tcPr>
            <w:tcW w:w="150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95"/>
              </w:rPr>
              <w:t>Significant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Active Markets</w:t>
            </w:r>
          </w:p>
        </w:tc>
        <w:tc>
          <w:tcPr>
            <w:tcW w:w="18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Observable Inputs</w:t>
            </w:r>
          </w:p>
        </w:tc>
        <w:tc>
          <w:tcPr>
            <w:tcW w:w="22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Unobservable Inputs</w:t>
            </w: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(Level 2)</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2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Bank drafts</w:t>
            </w:r>
          </w:p>
        </w:tc>
        <w:tc>
          <w:tcPr>
            <w:tcW w:w="1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2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January 2,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Fair Value Measurements Using</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620" w:type="dxa"/>
            <w:vAlign w:val="bottom"/>
          </w:tcPr>
          <w:p>
            <w:pPr>
              <w:spacing w:after="0"/>
              <w:rPr>
                <w:sz w:val="16"/>
                <w:szCs w:val="16"/>
                <w:color w:val="auto"/>
              </w:rPr>
            </w:pPr>
          </w:p>
        </w:tc>
        <w:tc>
          <w:tcPr>
            <w:tcW w:w="188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w w:val="92"/>
              </w:rPr>
              <w:t>Significant Other</w:t>
            </w:r>
          </w:p>
        </w:tc>
        <w:tc>
          <w:tcPr>
            <w:tcW w:w="240" w:type="dxa"/>
            <w:vAlign w:val="bottom"/>
          </w:tcPr>
          <w:p>
            <w:pPr>
              <w:spacing w:after="0"/>
              <w:rPr>
                <w:sz w:val="16"/>
                <w:szCs w:val="16"/>
                <w:color w:val="auto"/>
              </w:rPr>
            </w:pPr>
          </w:p>
        </w:tc>
        <w:tc>
          <w:tcPr>
            <w:tcW w:w="15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7"/>
              </w:rPr>
              <w:t>Significant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Active Markets</w:t>
            </w:r>
          </w:p>
        </w:tc>
        <w:tc>
          <w:tcPr>
            <w:tcW w:w="2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Observable Inputs</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Unobservable Inputs</w:t>
            </w: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8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620" w:type="dxa"/>
            <w:vAlign w:val="bottom"/>
          </w:tcPr>
          <w:p>
            <w:pPr>
              <w:spacing w:after="0"/>
              <w:rPr>
                <w:sz w:val="20"/>
                <w:szCs w:val="20"/>
                <w:color w:val="auto"/>
              </w:rPr>
            </w:pPr>
          </w:p>
        </w:tc>
        <w:tc>
          <w:tcPr>
            <w:tcW w:w="188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17.9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6.6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Bank drafts</w:t>
            </w:r>
          </w:p>
        </w:tc>
        <w:tc>
          <w:tcPr>
            <w:tcW w:w="15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w:t>
            </w:r>
          </w:p>
        </w:tc>
        <w:tc>
          <w:tcPr>
            <w:tcW w:w="620" w:type="dxa"/>
            <w:vAlign w:val="bottom"/>
          </w:tcPr>
          <w:p>
            <w:pPr>
              <w:spacing w:after="0"/>
              <w:rPr>
                <w:sz w:val="18"/>
                <w:szCs w:val="18"/>
                <w:color w:val="auto"/>
              </w:rPr>
            </w:pP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Trading securities include fixed income securities (primarily U.S. government and corporate debt securities) measured at fair value using quoted prices/bids and a money market fund measured at fair value using net asset value. As of July 2, 2016, trading securities of $.5 million and $17.8 million were included in “Cash and cash equivalents” and “Other current assets,” respectively, in the unaudited Condensed Consolidated Balance Sheets. As of January 2, 2016, trading securities of $.3 million and $17.6 million were included in “Cash and cash equivalents” and “Other current assets,” respectively, in the unaudited Condensed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three months) are valued at face value due to the short-term nature of these instruments and were included in “Other current assets” in the unaudited Condensed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involved in various lawsuits, claims, inquiries, and other regulatory and compliance matters, most of which are routine to the nature of our business. We have accrued liabilities for matters where it is probable that a loss will be incurred and the amount of loss can be reasonably estimated. 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9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July 2, 2016, we have been designated by the U.S. Environmental Protection Agency (“EPA”) and/or other responsible state agencies as a potentially responsible party (“PRP”) at thirteen waste disposal or waste recycling sites that are the subject of separate investigations or proceedings concerning alleged soil and/or groundwater contamination. No settlement of our liability related to any of the sites has been agreed upon. We are participating with other PRPs</w:t>
      </w:r>
    </w:p>
    <w:p>
      <w:pPr>
        <w:sectPr>
          <w:pgSz w:w="11900" w:h="16838" w:orient="portrait"/>
          <w:cols w:equalWidth="0" w:num="1">
            <w:col w:w="11420"/>
          </w:cols>
          <w:pgMar w:left="240" w:top="341" w:right="239" w:bottom="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at these sites and anticipate that our share of remediation costs will be determined pursuant to agreements that we negotiate with the EPA or other governmental authorities.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accrued liabilities for sites where it is probable that a loss or cost will be incurred and the amount of loss or cost can be reasonably estimated. 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the six months ended July 2, 2016 related to our environmental liabilities was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2, 2016</w:t>
            </w:r>
          </w:p>
        </w:tc>
        <w:tc>
          <w:tcPr>
            <w:tcW w:w="45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Charges (reversals), net</w:t>
            </w:r>
          </w:p>
        </w:tc>
        <w:tc>
          <w:tcPr>
            <w:tcW w:w="45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16"/>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4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7"/>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July 2, 2016</w:t>
            </w:r>
          </w:p>
        </w:tc>
        <w:tc>
          <w:tcPr>
            <w:tcW w:w="4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2, 2016 and January 2, 2016, approximately $9 million and $7 million of the balance was classified as short-term and included in “Other current liabilities” in the unaudited Condensed Consolidated Balance Sheets, respectively.</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from continuing operations by reportable segment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268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7"/>
              </w:rPr>
              <w:t>July 2, 2016</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July 4, 2015</w:t>
            </w:r>
          </w:p>
        </w:tc>
        <w:tc>
          <w:tcPr>
            <w:tcW w:w="1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July 2, 2016</w:t>
            </w: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July 4, 2015</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to unaffiliated customers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Pressure-sensitive Materials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1,145.1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1,114.1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2,237.1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2,234.7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378.0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756.1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771.9</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Vancive Medical Technologies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18.4</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33.8</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1,541.5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1,516.0</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3,027.0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3,044.0</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Intersegment sales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Pressure-sensitive Materials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46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Vancive Medical Technologies</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1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sales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34.1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Pressure-sensitive Materials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148.4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286.9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252.7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54.4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Vancive Medical Technologies</w:t>
            </w:r>
          </w:p>
        </w:tc>
        <w:tc>
          <w:tcPr>
            <w:tcW w:w="46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(88.5)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(15.4)</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99.3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222.8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Other expense, net by reportable segment</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Pressure-sensitive Materials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46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Vancive Medical Technologies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41.4</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41.4</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17"/>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50.2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55.8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Other expense, net by type</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Severance and related costs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3.6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8.8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items: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settlement of pension obligations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41.4</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41.4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46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sale of assets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2"/>
        </w:trPr>
        <w:tc>
          <w:tcPr>
            <w:tcW w:w="5000" w:type="dxa"/>
            <w:vAlign w:val="bottom"/>
          </w:tcPr>
          <w:p>
            <w:pPr>
              <w:ind w:left="180"/>
              <w:spacing w:after="0" w:line="201" w:lineRule="exact"/>
              <w:rPr>
                <w:sz w:val="20"/>
                <w:szCs w:val="20"/>
                <w:color w:val="auto"/>
              </w:rPr>
            </w:pPr>
            <w:r>
              <w:rPr>
                <w:rFonts w:ascii="Arial" w:cs="Arial" w:eastAsia="Arial" w:hAnsi="Arial"/>
                <w:sz w:val="18"/>
                <w:szCs w:val="18"/>
                <w:color w:val="auto"/>
              </w:rPr>
              <w:t>Loss on sale of product line and related transaction and exit</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costs</w:t>
            </w:r>
          </w:p>
        </w:tc>
        <w:tc>
          <w:tcPr>
            <w:tcW w:w="46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Requirements</w:t>
      </w:r>
    </w:p>
    <w:p>
      <w:pPr>
        <w:sectPr>
          <w:pgSz w:w="11900" w:h="16838" w:orient="portrait"/>
          <w:cols w:equalWidth="0" w:num="1">
            <w:col w:w="11420"/>
          </w:cols>
          <w:pgMar w:left="240" w:top="125" w:right="239" w:bottom="104"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7"/>
          <w:szCs w:val="17"/>
          <w:color w:val="auto"/>
        </w:rPr>
        <w:t>In March 2016, the Financial Accounting Standards Board (“FASB”) issued guidance to simplify several aspects of the accounting for share-based payment transactions, including the income tax consequences, classification of awards as either equity or liabilities, and classification on the statement of cash flows. The guidance will be effective for fiscal years and interim periods beginning after December 15, 2016, and early adoption is permitted. Different components of the guidance require prospective, retrospective and/or modified retrospective adoption. We are currently assessing the timing of our adoption and the impact of this guidance on our financial position, results of operations, cash flows, and disclosures.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guidance on accounting for leases that requires lessees to recognize most leases on their balance sheets for the rights and obligations created by those leases. This guidance also requires enhanced disclosures regarding the amount, timing, and uncertainty of cash flows arising from leases and will be effective for interim and annual periods beginning after December 15, 2018. Early adoption is permitted. A modified retrospective approach is required for adoption with respect to all leases that exist at or commence after the date of initial application with an option to use certain practical expedients. We are currently assessing the impact of this guidance on our financial position, results of operations, cash flows, and disclosures.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amended guidance to simplify the subsequent measurement of inventory by requiring inventory to be measured at the lower of cost and net realizable value. Net realizable value is the estimated selling price in the ordinary course of business, less reasonably predictable costs of completion, disposal and transportation. This guidance is effective for annual periods beginning after December 15, 2016, and interim periods within those fiscal years. We elected to early adopt this amended guidance in the first quarter of 2016 prospectively. The adoption of this guidance did not have an impact on our financial position, results of operations, cash flows, or disclosures.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2014, the FASB issued a new standard that requires an entity to evaluate whether there are conditions or events, considered in the aggregate, that raise substantial doubt about the entity’s ability to continue as a going concern. Management’s evaluation should be based on relevant conditions and events that are known and reasonably knowable at the date that the financial statements are issued. Under this new standard, substantial doubt exists when it is probable that the entity will be unable to meet its obligations as they become due within one year of the date the financial statements are issued. If applicable, certain disclosures are required, including management’s plans to mitigate those relevant conditions or events to alleviate the substantial doubt. This standard is effective for annual periods and interim periods within those annual periods ending after December 15, 2016. Early adoption is permitted. We do not expect that adoption of this standard will have an impact on our financial position, results of operations, cash flows, or disclosures.</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and in subsequent updates, the FASB issued revised guidance on revenue recognition. This revised guidance provides a single comprehensive model for accounting for revenue arising from contracts with customers and supersedes most current revenue recognition guidance, including industry-specific guidance. This revised guidance will require an entity to recognize revenue when it transfers promised goods or services to customers in an amount that reflects the consideration to which the entity expects to be entitled in exchange for those goods or services. This update creates a five-step model that requires entities to exercise judgment when considering the terms of contract(s), which includes (i) identifying the contract(s) with the customer,</w:t>
      </w:r>
    </w:p>
    <w:p>
      <w:pPr>
        <w:spacing w:after="0" w:line="2" w:lineRule="exact"/>
        <w:rPr>
          <w:sz w:val="20"/>
          <w:szCs w:val="20"/>
          <w:color w:val="auto"/>
        </w:rPr>
      </w:pPr>
    </w:p>
    <w:p>
      <w:pPr>
        <w:jc w:val="both"/>
        <w:ind w:firstLine="8"/>
        <w:spacing w:after="0" w:line="268" w:lineRule="auto"/>
        <w:tabs>
          <w:tab w:leader="none" w:pos="27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identifying the separate performance obligations in the contract, (iii) determining the transaction price, (iv) allocating the transaction price to the separate performance obligations, and (v) recognizing revenue when each performance obligation is satisfied. This revised guidance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from costs incurred to obtain or fulfill a contract. This revised guidance is effective for fiscal years beginning after December 15, 2017, and interim periods within those fiscal years, and can be applied retrospectively either to each prior reporting period presented or with the cumulative effect of adoption recognized at the date of initial application. Early adoption is permitted for fiscal periods beginning after December 15, 2016. We are currently evaluating which transition method to elect. We expect to adopt this guidance in the first quarter of 2018. Based on the information we have evaluated to date, we do not anticipate that the adoption of this revised guidance will have a significant impact on our financial position, results of operations, or cash flows.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 thereto, and includes the following sections:</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040" w:type="dxa"/>
            <w:vAlign w:val="bottom"/>
            <w:gridSpan w:val="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Non-GAAP Financial Measures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2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Overview and Outlook</w:t>
              </w:r>
            </w:hyperlink>
          </w:p>
        </w:tc>
        <w:tc>
          <w:tcPr>
            <w:tcW w:w="574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Analysis of Results of Operations for the Second Quarter</w:t>
              </w:r>
            </w:hyperlink>
          </w:p>
        </w:tc>
        <w:tc>
          <w:tcPr>
            <w:tcW w:w="392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Results of Operations by Reportable Segment for the Second Quarter</w:t>
              </w:r>
            </w:hyperlink>
          </w:p>
        </w:tc>
        <w:tc>
          <w:tcPr>
            <w:tcW w:w="306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Analysis of Results of Operations for the Six Months Year-to-Date</w:t>
              </w:r>
            </w:hyperlink>
          </w:p>
        </w:tc>
        <w:tc>
          <w:tcPr>
            <w:tcW w:w="324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6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Results of Operations by Reportable Segment for the Six Months Year-to-Date</w:t>
              </w:r>
            </w:hyperlink>
          </w:p>
        </w:tc>
        <w:tc>
          <w:tcPr>
            <w:tcW w:w="238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040" w:type="dxa"/>
            <w:vAlign w:val="bottom"/>
            <w:gridSpan w:val="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Financial Condition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040" w:type="dxa"/>
            <w:vAlign w:val="bottom"/>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Recent Accounting Requirements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report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presentation of our financial results</w:t>
      </w:r>
    </w:p>
    <w:p>
      <w:pPr>
        <w:sectPr>
          <w:pgSz w:w="11900" w:h="16838" w:orient="portrait"/>
          <w:cols w:equalWidth="0" w:num="1">
            <w:col w:w="11420"/>
          </w:cols>
          <w:pgMar w:left="240" w:top="125" w:right="239" w:bottom="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that are prepared in accordance with GAAP. Based upon feedback from investors and financial analysts, we believe that the supplemental non-GAAP financial measures we provide are useful to their assessment of our performance and operating trends, as well as our liquidity.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non-GAAP financial measures exclude the impact of certain events, activities, and strategic decisions. The accounting effects of these events, activities or decisions, which are included in the GAAP financial measures, may make it difficult to assess our underlying performance in a single period. By excluding the accounting effects, both positive and negative, of certain items, we believe that we are providing meaningful supplemental information that facilitates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non-GAAP financial measures in this MD&amp;A:</w:t>
      </w:r>
    </w:p>
    <w:p>
      <w:pPr>
        <w:spacing w:after="0" w:line="225" w:lineRule="exact"/>
        <w:rPr>
          <w:sz w:val="20"/>
          <w:szCs w:val="20"/>
          <w:color w:val="auto"/>
        </w:rPr>
      </w:pPr>
    </w:p>
    <w:p>
      <w:pPr>
        <w:jc w:val="both"/>
        <w:ind w:firstLine="8"/>
        <w:spacing w:after="0" w:line="253"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Organic sales change </w:t>
      </w:r>
      <w:r>
        <w:rPr>
          <w:rFonts w:ascii="Arial" w:cs="Arial" w:eastAsia="Arial" w:hAnsi="Arial"/>
          <w:sz w:val="18"/>
          <w:szCs w:val="18"/>
          <w:color w:val="auto"/>
        </w:rPr>
        <w:t>refers to the increase or decrease in sales excluding the estimated impact of currency translation, product line exits,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divestitures, and, where applicable, the extra week in our fiscal year. The estimated impact of currency translation is calculated on a constant currency basis, with prior period results translated at current period average exchange rates to exclude the effect of currency fluctuations. We believe that organic sales change assists investors in evaluating the sales growth from the ongoing activities of our businesses and provides improved comparability of our results from period to period.</w:t>
      </w:r>
    </w:p>
    <w:p>
      <w:pPr>
        <w:spacing w:after="0" w:line="3" w:lineRule="exact"/>
        <w:rPr>
          <w:rFonts w:ascii="Arial" w:cs="Arial" w:eastAsia="Arial" w:hAnsi="Arial"/>
          <w:sz w:val="18"/>
          <w:szCs w:val="18"/>
          <w:color w:val="auto"/>
        </w:rPr>
      </w:pPr>
    </w:p>
    <w:p>
      <w:pPr>
        <w:jc w:val="both"/>
        <w:ind w:firstLine="8"/>
        <w:spacing w:after="0" w:line="265" w:lineRule="auto"/>
        <w:tabs>
          <w:tab w:leader="none" w:pos="162"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refers to cash flow from operations, less payments for property, plant and equipment, software and other deferred charges, plus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from sales of property, plant and equipment, plus (minus) net proceeds from sales (purchases) of investments. We believe that free cash flow assists investors by showing the amount of cash we have available for debt reductions, dividends, share repurchases, and acquisitions.</w:t>
      </w:r>
    </w:p>
    <w:p>
      <w:pPr>
        <w:jc w:val="both"/>
        <w:ind w:firstLine="8"/>
        <w:spacing w:after="0" w:line="290"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Operational working capital </w:t>
      </w:r>
      <w:r>
        <w:rPr>
          <w:rFonts w:ascii="Arial" w:cs="Arial" w:eastAsia="Arial" w:hAnsi="Arial"/>
          <w:sz w:val="16"/>
          <w:szCs w:val="16"/>
          <w:color w:val="auto"/>
        </w:rPr>
        <w:t>refers to trade accounts receivable and inventories, net of accounts payable, and excludes cash and cash equivalents,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deferred taxes, other current assets and other current liabilities, as well as current assets held for 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AND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Financial Statement Revision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prior period amounts have been revised to reflect the impact of certain adjustments. Refer to Note 1, “General,” to the unaudited Condensed Consolidated Financial Statements for more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9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29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4"/>
        </w:trPr>
        <w:tc>
          <w:tcPr>
            <w:tcW w:w="6480" w:type="dxa"/>
            <w:vAlign w:val="bottom"/>
          </w:tcPr>
          <w:p>
            <w:pPr>
              <w:spacing w:after="0"/>
              <w:rPr>
                <w:sz w:val="24"/>
                <w:szCs w:val="24"/>
                <w:color w:val="auto"/>
              </w:rPr>
            </w:pPr>
          </w:p>
        </w:tc>
        <w:tc>
          <w:tcPr>
            <w:tcW w:w="2920" w:type="dxa"/>
            <w:vAlign w:val="bottom"/>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2020" w:type="dxa"/>
            <w:vAlign w:val="bottom"/>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4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July 2, 2016</w:t>
            </w:r>
          </w:p>
        </w:tc>
        <w:tc>
          <w:tcPr>
            <w:tcW w:w="2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July 2, 2016</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292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920" w:type="dxa"/>
            <w:vAlign w:val="bottom"/>
          </w:tcPr>
          <w:p>
            <w:pPr>
              <w:ind w:left="2400"/>
              <w:spacing w:after="0"/>
              <w:rPr>
                <w:sz w:val="20"/>
                <w:szCs w:val="20"/>
                <w:color w:val="auto"/>
              </w:rPr>
            </w:pPr>
            <w:r>
              <w:rPr>
                <w:rFonts w:ascii="Arial" w:cs="Arial" w:eastAsia="Arial" w:hAnsi="Arial"/>
                <w:sz w:val="18"/>
                <w:szCs w:val="18"/>
                <w:color w:val="auto"/>
              </w:rPr>
              <w:t>2</w:t>
            </w:r>
          </w:p>
        </w:tc>
        <w:tc>
          <w:tcPr>
            <w:tcW w:w="202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16"/>
        </w:trPr>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 line divestiture</w:t>
            </w:r>
          </w:p>
        </w:tc>
        <w:tc>
          <w:tcPr>
            <w:tcW w:w="2920" w:type="dxa"/>
            <w:vAlign w:val="bottom"/>
            <w:tcBorders>
              <w:bottom w:val="single" w:sz="8" w:color="auto"/>
            </w:tcBorders>
            <w:shd w:val="clear" w:color="auto" w:fill="CCEEFF"/>
          </w:tcPr>
          <w:p>
            <w:pPr>
              <w:ind w:left="2400"/>
              <w:spacing w:after="0"/>
              <w:rPr>
                <w:sz w:val="20"/>
                <w:szCs w:val="20"/>
                <w:color w:val="auto"/>
              </w:rPr>
            </w:pPr>
            <w:r>
              <w:rPr>
                <w:rFonts w:ascii="Arial" w:cs="Arial" w:eastAsia="Arial" w:hAnsi="Arial"/>
                <w:sz w:val="18"/>
                <w:szCs w:val="18"/>
                <w:color w:val="auto"/>
              </w:rPr>
              <w:t>1</w:t>
            </w:r>
          </w:p>
        </w:tc>
        <w:tc>
          <w:tcPr>
            <w:tcW w:w="2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r>
      <w:tr>
        <w:trPr>
          <w:trHeight w:val="217"/>
        </w:trPr>
        <w:tc>
          <w:tcPr>
            <w:tcW w:w="6480" w:type="dxa"/>
            <w:vAlign w:val="bottom"/>
            <w:tcBorders>
              <w:bottom w:val="single" w:sz="8" w:color="auto"/>
            </w:tcBorders>
          </w:tcPr>
          <w:p>
            <w:pPr>
              <w:spacing w:after="0" w:line="210"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292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4%</w:t>
            </w:r>
          </w:p>
        </w:tc>
        <w:tc>
          <w:tcPr>
            <w:tcW w:w="2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Totals may not sum due to rounding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July 2, 2016, net sales increased on an organic basis primarily due to higher volume.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from continuing operations increased approximately $33 million in the first six months of 2016 compared to the same period last year. The primary factors affecting income from continuing operations for the first six months of 2016 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Positive factors:</w:t>
      </w:r>
    </w:p>
    <w:p>
      <w:pPr>
        <w:spacing w:after="0" w:line="2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Benefits from productivity initiatives, including savings from restructuring actions, net of transition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volume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restructuring charges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provision for income taxes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on sale of a product line and related costs in our Retail Branding and Information Solutions (“RBIS”) reportable segment in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Offsetting factors:</w:t>
      </w:r>
    </w:p>
    <w:p>
      <w:pPr>
        <w:spacing w:after="0" w:line="23"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from settlement of pension obligations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employee-related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impact of pricing and raw material input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geographic mix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Actions</w:t>
      </w:r>
    </w:p>
    <w:p>
      <w:pPr>
        <w:sectPr>
          <w:pgSz w:w="11900" w:h="16838" w:orient="portrait"/>
          <w:cols w:equalWidth="0" w:num="1">
            <w:col w:w="11420"/>
          </w:cols>
          <w:pgMar w:left="240" w:top="125"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six months ended July 2, 2016, we recorded $12.4 million in restructuring charges, net of reversals, related to restructuring actions initiated during the third quarter of 2015 that we expect to continue through 2016 (“2015/2016 Actions”). These charges consisted of severance and related costs for the reduction of approximately 230 positions, lease cancellation costs, and asset impairment charges.</w:t>
      </w:r>
    </w:p>
    <w:p>
      <w:pPr>
        <w:spacing w:after="0" w:line="1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fiscal year 2015, we recorded $26.1 million in restructuring charges, net of reversals, related to our 2015/2016 Actions. These charges consisted of severance and related costs for the reduction of approximately 430 positions, lease cancellation costs, and asset impairment charges.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employees impacted by our 2015/2016 Actions taken through July 2, 2016 remained employed with us as of such date. We expect charges and payments related to these actions to be substantially completed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2014/2015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2015, we recorded $33.4 million in restructuring charges, net of reversals, related to restructuring actions we initiated in 2014 that continued through the second quarter of 2015 (“2014/2015 Actions”). These charges consisted of severance and related costs for the reduction of approximately 605 positions, lease cancellation costs, and asset impairment charges.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55 employees impacted by our 2014/2015 Actions remained employed with us as of July 2, 2016. We expect charges and payments related to these actions to be substantially completed in 2016.</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Cost Reduction Actions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2016, we expect to realize approximately $75 million in savings, net of transition costs, from our 2015/2016 Actions and 2014/2015 Actions. We anticipate carryover savings from these actions in 2017.</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are included in “Other expense, net” in the unaudited Condensed Consolidated Statements of Income. Refer to Note 9, “Cost Reduction Actions,” to the unaudited Condensed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2016, we entered into an agreement to acquire the European business of MACtac (“Mactac”) from Platinum Equity for a purchase price of €200 million, including assumed debt. Mactac manufactures pressure-sensitive materials that complement our existing graphics portfolio. The purchase price is subject to certain adjustments in accordance with the terms of the agreement. On August 1, 2016, we completed this acquisition, which we funded with cash and through existing credit facilities.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8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July 2, 2016</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July 4, 2015</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(61.3)</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44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net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Plus: free cash outflow from discontinued operations</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17"/>
        </w:trPr>
        <w:tc>
          <w:tcPr>
            <w:tcW w:w="8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Free cash flow</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151.8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first six months of 2016, both cash flow from operating activities and free cash flow increased compared to the same period last year primarily due to higher net income and lower income tax payments, partially offset by higher incentive compensation payments and operational working 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factors that we believe may contribute to our full year 2016 results are described below:</w:t>
      </w:r>
    </w:p>
    <w:p>
      <w:pPr>
        <w:spacing w:after="0" w:line="225" w:lineRule="exact"/>
        <w:rPr>
          <w:sz w:val="20"/>
          <w:szCs w:val="20"/>
          <w:color w:val="auto"/>
        </w:rPr>
      </w:pPr>
    </w:p>
    <w:p>
      <w:pPr>
        <w:ind w:left="660" w:hanging="328"/>
        <w:spacing w:after="0" w:line="258"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net sales growth of 1% to 2%, including organic sales growth of 3% to 4%, the impact of currency translation, and the effect of acquisitions net of divestitures.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earnings to increase.</w:t>
      </w:r>
    </w:p>
    <w:p>
      <w:pPr>
        <w:spacing w:after="0" w:line="9" w:lineRule="exact"/>
        <w:rPr>
          <w:rFonts w:ascii="Arial" w:cs="Arial" w:eastAsia="Arial" w:hAnsi="Arial"/>
          <w:sz w:val="18"/>
          <w:szCs w:val="18"/>
          <w:color w:val="auto"/>
        </w:rPr>
      </w:pPr>
    </w:p>
    <w:p>
      <w:pPr>
        <w:ind w:left="660" w:hanging="328"/>
        <w:spacing w:after="0" w:line="25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currency rates in effect during July 2016, we expect currency translation to reduce net sales by approximately 2.5% and reduce pre-tax income by approximately $18 million.</w:t>
      </w:r>
    </w:p>
    <w:p>
      <w:pPr>
        <w:ind w:left="660" w:hanging="328"/>
        <w:spacing w:after="0" w:line="250" w:lineRule="auto"/>
        <w:tabs>
          <w:tab w:leader="none" w:pos="786"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the acquisition of Mactac to increase our full year reported net sales by approximately 1% and immaterially impact net income due to related transition costs.</w:t>
      </w: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our full year effective tax rate to be in the low to mid-thirty percent range.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anticipate capital and software expenditures of approximately $200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estimate cash restructuring charges of approximately $20 million.</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6" w:name="page17"/>
    <w:bookmarkEnd w:id="16"/>
    <w:p>
      <w:pPr>
        <w:jc w:val="right"/>
        <w:ind w:right="40"/>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 FOR THE SECOND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 before Taxes</w:t>
      </w:r>
    </w:p>
    <w:p>
      <w:pPr>
        <w:spacing w:after="0" w:line="22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gridSpan w:val="2"/>
          </w:tcPr>
          <w:p>
            <w:pPr>
              <w:spacing w:after="0"/>
              <w:rPr>
                <w:sz w:val="20"/>
                <w:szCs w:val="20"/>
                <w:color w:val="auto"/>
              </w:rPr>
            </w:pPr>
            <w:r>
              <w:rPr>
                <w:rFonts w:ascii="Arial" w:cs="Arial" w:eastAsia="Arial" w:hAnsi="Arial"/>
                <w:sz w:val="14"/>
                <w:szCs w:val="14"/>
                <w:color w:val="auto"/>
              </w:rPr>
              <w:t>(In millions, except percentages)</w:t>
            </w: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8"/>
              </w:rPr>
              <w:t>July 2, 2016</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July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1,541.5</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1,107.4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434.1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4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269.2</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50.2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99.3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a Percentage of Sales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Gross profit margin for the second quarter of 2016 increased compared to the same period last year reflecting benefits from productivity initiatives, including savings from restructuring, net of transition costs, and higher volume, partially offset by the net impact of pricing and raw material input costs, higher employee-related costs, and geographic mix.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Marketing, general and administrative expense decreased in the second quarter of 2016 compared to the same period last year reflecting benefits from productivity initiatives, including savings from restructuring, net of transition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i w:val="1"/>
                <w:iCs w:val="1"/>
                <w:color w:val="auto"/>
              </w:rPr>
              <w:t>Other Expense, net</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8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July 2, 2016</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July 4, 2015</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Restructuring charges:</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4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Loss from settlement of pension obligations</w:t>
            </w:r>
          </w:p>
        </w:tc>
        <w:tc>
          <w:tcPr>
            <w:tcW w:w="4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Loss on sale of asset</w:t>
            </w:r>
          </w:p>
        </w:tc>
        <w:tc>
          <w:tcPr>
            <w:tcW w:w="4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Loss on sale of product line and related transaction and exit costs</w:t>
            </w: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17"/>
        </w:trPr>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50.2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Refer to Note 9, “Cost Reduction Actions,” to the unaudited Condensed Consolidated Financial Statements for more information regarding charges associated with restructuring.</w:t>
      </w:r>
    </w:p>
    <w:p>
      <w:pPr>
        <w:spacing w:after="0" w:line="17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Refer to Note 6, “Pension and Other Postretirement Benefits,” to the unaudited Condensed Consolidated Financial Statements for more information regarding loss from settlement of pension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gridSpan w:val="2"/>
          </w:tcPr>
          <w:p>
            <w:pPr>
              <w:spacing w:after="0"/>
              <w:rPr>
                <w:sz w:val="20"/>
                <w:szCs w:val="20"/>
                <w:color w:val="auto"/>
              </w:rPr>
            </w:pPr>
            <w:r>
              <w:rPr>
                <w:rFonts w:ascii="Arial" w:cs="Arial" w:eastAsia="Arial" w:hAnsi="Arial"/>
                <w:sz w:val="14"/>
                <w:szCs w:val="14"/>
                <w:color w:val="auto"/>
              </w:rPr>
              <w:t>(In millions, except per share amounts)</w:t>
            </w: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8"/>
              </w:rPr>
              <w:t>July 2, 2016</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July 4, 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99.3</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from discontinued operations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80.0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.90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 for continuing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color w:val="auto"/>
        </w:rPr>
        <w:t>The effective tax rate for the three months ended July 2, 2016 included $6.7 million of tax benefit from the release of valuation allowances against certain deferred tax assets in a foreign jurisdiction associated with a structural simplification approved by the tax authority; $5 million of tax benefit from our change</w:t>
      </w:r>
    </w:p>
    <w:p>
      <w:pPr>
        <w:sectPr>
          <w:pgSz w:w="11900" w:h="16838" w:orient="portrait"/>
          <w:cols w:equalWidth="0" w:num="1">
            <w:col w:w="11460"/>
          </w:cols>
          <w:pgMar w:left="240" w:top="341" w:right="199" w:bottom="0" w:gutter="0" w:footer="0" w:header="0"/>
        </w:sectPr>
      </w:pPr>
    </w:p>
    <w:bookmarkStart w:id="17" w:name="page18"/>
    <w:bookmarkEnd w:id="17"/>
    <w:p>
      <w:pPr>
        <w:jc w:val="both"/>
        <w:ind w:right="40"/>
        <w:spacing w:after="0" w:line="277" w:lineRule="auto"/>
        <w:rPr>
          <w:sz w:val="20"/>
          <w:szCs w:val="20"/>
          <w:color w:val="auto"/>
        </w:rPr>
      </w:pPr>
      <w:r>
        <w:rPr>
          <w:rFonts w:ascii="Arial" w:cs="Arial" w:eastAsia="Arial" w:hAnsi="Arial"/>
          <w:sz w:val="18"/>
          <w:szCs w:val="18"/>
          <w:color w:val="auto"/>
        </w:rPr>
        <w:t>in judgment about tax filing positions in certain foreign jurisdictions as a result of new information gained from our interactions with tax authorities; and $.7 million of tax benefit due to decreases in certain tax reserves as a result of closing tax years.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effective tax rate for the three months ended July 4, 2015 included $5.3 million of tax expense associated with the repatriation of non-permanently reinvested 2015 earnings of certain foreign subsidiaries; $.5 million of tax expense due to non-deductible employee-related expenses; and $.7 million of tax benefit due to decreases in certain tax reserves as a result of closing tax years.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81"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RESULTS OF OPERATIONS BY REPORTABLE SEGMENT FOR THE SECOND QUARTER</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53"/>
        </w:trPr>
        <w:tc>
          <w:tcPr>
            <w:tcW w:w="7420" w:type="dxa"/>
            <w:vAlign w:val="bottom"/>
          </w:tcPr>
          <w:p>
            <w:pPr>
              <w:spacing w:after="0"/>
              <w:rPr>
                <w:sz w:val="20"/>
                <w:szCs w:val="20"/>
                <w:color w:val="auto"/>
              </w:rPr>
            </w:pPr>
            <w:r>
              <w:rPr>
                <w:rFonts w:ascii="Arial" w:cs="Arial" w:eastAsia="Arial" w:hAnsi="Arial"/>
                <w:sz w:val="18"/>
                <w:szCs w:val="18"/>
                <w:color w:val="auto"/>
              </w:rPr>
              <w:t>Operating income refers to income before interest and taxes.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7420" w:type="dxa"/>
            <w:vAlign w:val="bottom"/>
          </w:tcPr>
          <w:p>
            <w:pPr>
              <w:spacing w:after="0"/>
              <w:rPr>
                <w:sz w:val="20"/>
                <w:szCs w:val="20"/>
                <w:color w:val="auto"/>
              </w:rPr>
            </w:pPr>
            <w:r>
              <w:rPr>
                <w:rFonts w:ascii="Arial" w:cs="Arial" w:eastAsia="Arial" w:hAnsi="Arial"/>
                <w:sz w:val="18"/>
                <w:szCs w:val="18"/>
                <w:b w:val="1"/>
                <w:bCs w:val="1"/>
                <w:color w:val="auto"/>
              </w:rPr>
              <w:t>Pressure-sensitive Materials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7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95"/>
              </w:rPr>
              <w:t>Three Months Ended</w:t>
            </w:r>
          </w:p>
        </w:tc>
        <w:tc>
          <w:tcPr>
            <w:tcW w:w="720" w:type="dxa"/>
            <w:vAlign w:val="bottom"/>
            <w:tcBorders>
              <w:bottom w:val="single" w:sz="8" w:color="auto"/>
            </w:tcBorders>
          </w:tcPr>
          <w:p>
            <w:pPr>
              <w:spacing w:after="0"/>
              <w:rPr>
                <w:sz w:val="24"/>
                <w:szCs w:val="24"/>
                <w:color w:val="auto"/>
              </w:rPr>
            </w:pPr>
          </w:p>
        </w:tc>
      </w:tr>
      <w:tr>
        <w:trPr>
          <w:trHeight w:val="210"/>
        </w:trPr>
        <w:tc>
          <w:tcPr>
            <w:tcW w:w="7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July 2, 2016</w:t>
            </w: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1,161.1</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1,130.3</w:t>
            </w:r>
          </w:p>
        </w:tc>
      </w:tr>
      <w:tr>
        <w:trPr>
          <w:trHeight w:val="216"/>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1,145.1</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1,114.1</w:t>
            </w:r>
          </w:p>
        </w:tc>
      </w:tr>
      <w:tr>
        <w:trPr>
          <w:trHeight w:val="223"/>
        </w:trPr>
        <w:tc>
          <w:tcPr>
            <w:tcW w:w="742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148.4</w:t>
            </w: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129.8</w:t>
            </w:r>
          </w:p>
        </w:tc>
      </w:tr>
      <w:tr>
        <w:trPr>
          <w:trHeight w:val="284"/>
        </w:trPr>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costs associated with restructuring in both years and transaction costs in 2016.</w:t>
            </w:r>
          </w:p>
        </w:tc>
        <w:tc>
          <w:tcPr>
            <w:tcW w:w="1340" w:type="dxa"/>
            <w:vAlign w:val="bottom"/>
            <w:tcBorders>
              <w:bottom w:val="single" w:sz="8" w:color="auto"/>
            </w:tcBorders>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411"/>
        </w:trPr>
        <w:tc>
          <w:tcPr>
            <w:tcW w:w="742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4"/>
        </w:trPr>
        <w:tc>
          <w:tcPr>
            <w:tcW w:w="7420" w:type="dxa"/>
            <w:vAlign w:val="bottom"/>
          </w:tcPr>
          <w:p>
            <w:pPr>
              <w:spacing w:after="0"/>
              <w:rPr>
                <w:sz w:val="24"/>
                <w:szCs w:val="24"/>
                <w:color w:val="auto"/>
              </w:rPr>
            </w:pPr>
          </w:p>
        </w:tc>
        <w:tc>
          <w:tcPr>
            <w:tcW w:w="24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4"/>
        </w:trPr>
        <w:tc>
          <w:tcPr>
            <w:tcW w:w="7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July 2, 2016</w:t>
            </w: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7"/>
        </w:trPr>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8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In the second quarter of 2016, net sales increased on an organic basis primarily due to higher volume. Net sales increased on an organic basis at a low-double digit rate in emerging markets and at a mid-single digit rate in Western Europe, and decreased on an organic basis at a low-single digit rate in North America.</w:t>
      </w:r>
    </w:p>
    <w:p>
      <w:pPr>
        <w:spacing w:after="0" w:line="12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second quarter of 2016, net sales increased on an organic basis at a mid-single digit rate for the Materials product group and decreased at a mid-single digit rate for the Performance Tapes product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Operating income increased in the second quarter of 2016 compared to the same period last year due to benefits from productivity initiatives, including savings from restructuring, net of transition costs, and higher volume, partially offset by higher employee-related costs and the unfavorable impact of foreign currency translation.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Retail Branding and Information Solutions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8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8"/>
              </w:rPr>
              <w:t>July 2, 2016</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c>
          <w:tcPr>
            <w:tcW w:w="40" w:type="dxa"/>
            <w:vAlign w:val="bottom"/>
          </w:tcPr>
          <w:p>
            <w:pPr>
              <w:spacing w:after="0"/>
              <w:rPr>
                <w:sz w:val="18"/>
                <w:szCs w:val="18"/>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378.5</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384.4</w:t>
            </w:r>
          </w:p>
        </w:tc>
        <w:tc>
          <w:tcPr>
            <w:tcW w:w="40" w:type="dxa"/>
            <w:vAlign w:val="bottom"/>
          </w:tcPr>
          <w:p>
            <w:pPr>
              <w:spacing w:after="0"/>
              <w:rPr>
                <w:sz w:val="18"/>
                <w:szCs w:val="18"/>
                <w:color w:val="auto"/>
              </w:rPr>
            </w:pPr>
          </w:p>
        </w:tc>
      </w:tr>
      <w:tr>
        <w:trPr>
          <w:trHeight w:val="216"/>
        </w:trPr>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378.0</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383.8</w:t>
            </w:r>
          </w:p>
        </w:tc>
        <w:tc>
          <w:tcPr>
            <w:tcW w:w="40" w:type="dxa"/>
            <w:vAlign w:val="bottom"/>
          </w:tcPr>
          <w:p>
            <w:pPr>
              <w:spacing w:after="0"/>
              <w:rPr>
                <w:sz w:val="18"/>
                <w:szCs w:val="18"/>
                <w:color w:val="auto"/>
              </w:rPr>
            </w:pPr>
          </w:p>
        </w:tc>
      </w:tr>
      <w:tr>
        <w:trPr>
          <w:trHeight w:val="223"/>
        </w:trPr>
        <w:tc>
          <w:tcPr>
            <w:tcW w:w="830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28.3</w:t>
            </w: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r>
      <w:tr>
        <w:trPr>
          <w:trHeight w:val="269"/>
        </w:trPr>
        <w:tc>
          <w:tcPr>
            <w:tcW w:w="8300" w:type="dxa"/>
            <w:vAlign w:val="bottom"/>
            <w:shd w:val="clear" w:color="auto" w:fill="CCEEFF"/>
          </w:tcPr>
          <w:p>
            <w:pPr>
              <w:spacing w:after="0"/>
              <w:rPr>
                <w:sz w:val="20"/>
                <w:szCs w:val="20"/>
                <w:color w:val="auto"/>
              </w:rPr>
            </w:pPr>
            <w:r>
              <w:rPr>
                <w:rFonts w:ascii="Arial" w:cs="Arial" w:eastAsia="Arial" w:hAnsi="Arial"/>
                <w:sz w:val="23"/>
                <w:szCs w:val="23"/>
                <w:color w:val="auto"/>
                <w:w w:val="93"/>
                <w:vertAlign w:val="superscript"/>
              </w:rPr>
              <w:t>(1)</w:t>
            </w:r>
            <w:r>
              <w:rPr>
                <w:rFonts w:ascii="Arial" w:cs="Arial" w:eastAsia="Arial" w:hAnsi="Arial"/>
                <w:sz w:val="18"/>
                <w:szCs w:val="18"/>
                <w:color w:val="auto"/>
                <w:w w:val="93"/>
              </w:rPr>
              <w:t xml:space="preserve"> Included costs associated with restructuring in both years, transaction costs in 2016, loss on sale of an asset</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30"/>
        </w:trPr>
        <w:tc>
          <w:tcPr>
            <w:tcW w:w="8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 2016, and loss on sale of a product line in 2015 with related costs in both years.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c>
          <w:tcPr>
            <w:tcW w:w="7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0"/>
                <w:szCs w:val="20"/>
                <w:color w:val="auto"/>
              </w:rPr>
            </w:pPr>
          </w:p>
        </w:tc>
      </w:tr>
      <w:tr>
        <w:trPr>
          <w:trHeight w:val="426"/>
        </w:trPr>
        <w:tc>
          <w:tcPr>
            <w:tcW w:w="8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132"/>
        </w:trPr>
        <w:tc>
          <w:tcPr>
            <w:tcW w:w="83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the reported sales change are shown in the table below:</w:t>
      </w:r>
    </w:p>
    <w:p>
      <w:pPr>
        <w:spacing w:after="0" w:line="207"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Three Months Ended</w:t>
      </w:r>
    </w:p>
    <w:p>
      <w:pPr>
        <w:sectPr>
          <w:pgSz w:w="11900" w:h="16838" w:orient="portrait"/>
          <w:cols w:equalWidth="0" w:num="1">
            <w:col w:w="11460"/>
          </w:cols>
          <w:pgMar w:left="240" w:top="125"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3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July 2, 2016</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45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(2)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4520" w:type="dxa"/>
            <w:vAlign w:val="bottom"/>
          </w:tcPr>
          <w:p>
            <w:pPr>
              <w:ind w:left="4040"/>
              <w:spacing w:after="0"/>
              <w:rPr>
                <w:sz w:val="20"/>
                <w:szCs w:val="20"/>
                <w:color w:val="auto"/>
              </w:rPr>
            </w:pPr>
            <w:r>
              <w:rPr>
                <w:rFonts w:ascii="Arial" w:cs="Arial" w:eastAsia="Arial" w:hAnsi="Arial"/>
                <w:sz w:val="18"/>
                <w:szCs w:val="18"/>
                <w:color w:val="auto"/>
              </w:rPr>
              <w:t>1</w:t>
            </w:r>
          </w:p>
        </w:tc>
      </w:tr>
      <w:tr>
        <w:trPr>
          <w:trHeight w:val="216"/>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 line divestiture</w:t>
            </w:r>
          </w:p>
        </w:tc>
        <w:tc>
          <w:tcPr>
            <w:tcW w:w="4520" w:type="dxa"/>
            <w:vAlign w:val="bottom"/>
            <w:tcBorders>
              <w:bottom w:val="single" w:sz="8" w:color="auto"/>
            </w:tcBorders>
            <w:shd w:val="clear" w:color="auto" w:fill="CCEEFF"/>
          </w:tcPr>
          <w:p>
            <w:pPr>
              <w:ind w:left="4040"/>
              <w:spacing w:after="0"/>
              <w:rPr>
                <w:sz w:val="20"/>
                <w:szCs w:val="20"/>
                <w:color w:val="auto"/>
              </w:rPr>
            </w:pPr>
            <w:r>
              <w:rPr>
                <w:rFonts w:ascii="Arial" w:cs="Arial" w:eastAsia="Arial" w:hAnsi="Arial"/>
                <w:sz w:val="18"/>
                <w:szCs w:val="18"/>
                <w:color w:val="auto"/>
              </w:rPr>
              <w:t>2</w:t>
            </w:r>
          </w:p>
        </w:tc>
      </w:tr>
      <w:tr>
        <w:trPr>
          <w:trHeight w:val="217"/>
        </w:trPr>
        <w:tc>
          <w:tcPr>
            <w:tcW w:w="5300" w:type="dxa"/>
            <w:vAlign w:val="bottom"/>
            <w:tcBorders>
              <w:bottom w:val="single" w:sz="8" w:color="auto"/>
            </w:tcBorders>
          </w:tcPr>
          <w:p>
            <w:pPr>
              <w:spacing w:after="0" w:line="210"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4520" w:type="dxa"/>
            <w:vAlign w:val="bottom"/>
            <w:tcBorders>
              <w:bottom w:val="single" w:sz="8" w:color="auto"/>
            </w:tcBorders>
          </w:tcPr>
          <w:p>
            <w:pPr>
              <w:ind w:left="4040"/>
              <w:spacing w:after="0"/>
              <w:rPr>
                <w:sz w:val="20"/>
                <w:szCs w:val="20"/>
                <w:color w:val="auto"/>
              </w:rPr>
            </w:pPr>
            <w:r>
              <w:rPr>
                <w:rFonts w:ascii="Arial" w:cs="Arial" w:eastAsia="Arial" w:hAnsi="Arial"/>
                <w:sz w:val="18"/>
                <w:szCs w:val="18"/>
                <w:color w:val="auto"/>
              </w:rPr>
              <w:t>2 %</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 may not sum due to rounding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of 2016, net sales increased on an organic basis due to higher volume from sales of radio-frequency identification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in the second quarter of 2016 compared to the same period last year primarily reflecting benefits from productivity initiatives, including savings from restructuring actions, net of transition costs, lower restructuring charges, the loss on sale of a product line and related costs in the prior year, and higher volume, partially offset by the impact of strategic pricing actions and higher employee-related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Vancive Medical Technologies</w:t>
            </w: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2"/>
        </w:trPr>
        <w:tc>
          <w:tcPr>
            <w:tcW w:w="6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bottom w:val="single" w:sz="8" w:color="auto"/>
            </w:tcBorders>
          </w:tcPr>
          <w:p>
            <w:pPr>
              <w:spacing w:after="0"/>
              <w:rPr>
                <w:sz w:val="24"/>
                <w:szCs w:val="24"/>
                <w:color w:val="auto"/>
              </w:rPr>
            </w:pPr>
          </w:p>
        </w:tc>
      </w:tr>
      <w:tr>
        <w:trPr>
          <w:trHeight w:val="210"/>
        </w:trPr>
        <w:tc>
          <w:tcPr>
            <w:tcW w:w="6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July 2, 2016</w:t>
            </w: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16"/>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1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23"/>
        </w:trPr>
        <w:tc>
          <w:tcPr>
            <w:tcW w:w="672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3"/>
                <w:szCs w:val="23"/>
                <w:color w:val="auto"/>
                <w:vertAlign w:val="superscript"/>
              </w:rPr>
              <w:t>(1)</w:t>
            </w:r>
          </w:p>
        </w:tc>
        <w:tc>
          <w:tcPr>
            <w:tcW w:w="1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costs associated with restructuring in 2015.</w:t>
            </w:r>
          </w:p>
        </w:tc>
        <w:tc>
          <w:tcPr>
            <w:tcW w:w="2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411"/>
        </w:trPr>
        <w:tc>
          <w:tcPr>
            <w:tcW w:w="672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4"/>
        </w:trPr>
        <w:tc>
          <w:tcPr>
            <w:tcW w:w="6720" w:type="dxa"/>
            <w:vAlign w:val="bottom"/>
          </w:tcPr>
          <w:p>
            <w:pPr>
              <w:spacing w:after="0"/>
              <w:rPr>
                <w:sz w:val="24"/>
                <w:szCs w:val="24"/>
                <w:color w:val="auto"/>
              </w:rPr>
            </w:pPr>
          </w:p>
        </w:tc>
        <w:tc>
          <w:tcPr>
            <w:tcW w:w="31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4"/>
        </w:trPr>
        <w:tc>
          <w:tcPr>
            <w:tcW w:w="67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July 2, 2016</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2 %</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7"/>
        </w:trPr>
        <w:tc>
          <w:tcPr>
            <w:tcW w:w="672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15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 may not sum due to rounding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2016, net sales were flat on an organic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income increased in the second quarter of 2016 compared to the same period last year primarily due to a reduction in operating costs, lower restructuring charges, and higher volume.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 FOR THE SIX MONTHS YEAR-TO-DATE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 before Taxes</w:t>
      </w: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gridSpan w:val="2"/>
          </w:tcPr>
          <w:p>
            <w:pPr>
              <w:spacing w:after="0"/>
              <w:rPr>
                <w:sz w:val="20"/>
                <w:szCs w:val="20"/>
                <w:color w:val="auto"/>
              </w:rPr>
            </w:pPr>
            <w:r>
              <w:rPr>
                <w:rFonts w:ascii="Arial" w:cs="Arial" w:eastAsia="Arial" w:hAnsi="Arial"/>
                <w:sz w:val="14"/>
                <w:szCs w:val="14"/>
                <w:color w:val="auto"/>
              </w:rPr>
              <w:t>(In millions, except percentages)</w:t>
            </w:r>
          </w:p>
        </w:tc>
        <w:tc>
          <w:tcPr>
            <w:tcW w:w="174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July 2, 2016</w:t>
            </w:r>
          </w:p>
        </w:tc>
        <w:tc>
          <w:tcPr>
            <w:tcW w:w="140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July 4,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3,027.0</w:t>
            </w:r>
          </w:p>
        </w:tc>
        <w:tc>
          <w:tcPr>
            <w:tcW w:w="5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2,170.3</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2,196.4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856.7</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6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547.4</w:t>
            </w:r>
          </w:p>
        </w:tc>
        <w:tc>
          <w:tcPr>
            <w:tcW w:w="5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30.7</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55.8</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222.8</w:t>
            </w: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a Percentage of Sales</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28.3%</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for the first six months of 2016 increased compared to the same period last year reflecting benefits from productivity initiatives, including savings from restructuring, net of transition costs, higher volume, and the impact of changes in currency rates, partially offset by higher employee-related costs, the net impact of pricing and raw material input costs, and geographic mix.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Marketing, general and administrative expense decreased in the first six months of 2016 compared to the same period last year reflecting benefits from productivity initiatives, including savings from restructuring, net of transition costs, and the favorable impact of foreign currency translation, partially offset by higher employee-related costs.</w:t>
      </w:r>
    </w:p>
    <w:p>
      <w:pPr>
        <w:sectPr>
          <w:pgSz w:w="11900" w:h="16838" w:orient="portrait"/>
          <w:cols w:equalWidth="0" w:num="1">
            <w:col w:w="11420"/>
          </w:cols>
          <w:pgMar w:left="240" w:top="121" w:right="239" w:bottom="0" w:gutter="0" w:footer="0" w:header="0"/>
        </w:sectPr>
      </w:pPr>
    </w:p>
    <w:bookmarkStart w:id="19" w:name="page20"/>
    <w:bookmarkEnd w:id="19"/>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i w:val="1"/>
                <w:iCs w:val="1"/>
                <w:color w:val="auto"/>
              </w:rPr>
              <w:t>Other Expense, net</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8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Six Months Ended</w:t>
            </w:r>
          </w:p>
        </w:tc>
        <w:tc>
          <w:tcPr>
            <w:tcW w:w="660" w:type="dxa"/>
            <w:vAlign w:val="bottom"/>
            <w:tcBorders>
              <w:bottom w:val="single" w:sz="8" w:color="auto"/>
            </w:tcBorders>
          </w:tcPr>
          <w:p>
            <w:pPr>
              <w:spacing w:after="0"/>
              <w:rPr>
                <w:sz w:val="24"/>
                <w:szCs w:val="24"/>
                <w:color w:val="auto"/>
              </w:rPr>
            </w:pP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8"/>
              </w:rPr>
              <w:t>July 2, 2016</w:t>
            </w: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Restructuring charges: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8.8</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46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Loss from settlement of pension obligations</w:t>
            </w:r>
          </w:p>
        </w:tc>
        <w:tc>
          <w:tcPr>
            <w:tcW w:w="46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41.4</w:t>
            </w:r>
          </w:p>
        </w:tc>
        <w:tc>
          <w:tcPr>
            <w:tcW w:w="7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Loss (gain) on sale of assets</w:t>
            </w:r>
          </w:p>
        </w:tc>
        <w:tc>
          <w:tcPr>
            <w:tcW w:w="46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product line and related transaction and exit costs</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16"/>
        </w:trPr>
        <w:tc>
          <w:tcPr>
            <w:tcW w:w="8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Legal settlement</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8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55.8</w:t>
            </w: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Refer to Note 9, “Cost Reduction Actions,” to the unaudited Condensed Consolidated Financial Statements for more information regarding costs associated with restructuring.</w:t>
      </w:r>
    </w:p>
    <w:p>
      <w:pPr>
        <w:spacing w:after="0" w:line="17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Refer to Note 6, “Pension and Other Postretirement Benefits,” to the unaudited Condensed Consolidated Financial Statements for more information regarding loss from settlement of pension obligations.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70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8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8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 and Earnings per Share</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Six Months Ended</w:t>
            </w: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80" w:type="dxa"/>
            <w:vAlign w:val="bottom"/>
            <w:gridSpan w:val="3"/>
          </w:tcPr>
          <w:p>
            <w:pPr>
              <w:spacing w:after="0"/>
              <w:rPr>
                <w:sz w:val="20"/>
                <w:szCs w:val="20"/>
                <w:color w:val="auto"/>
              </w:rPr>
            </w:pPr>
            <w:r>
              <w:rPr>
                <w:rFonts w:ascii="Arial" w:cs="Arial" w:eastAsia="Arial" w:hAnsi="Arial"/>
                <w:sz w:val="14"/>
                <w:szCs w:val="14"/>
                <w:color w:val="auto"/>
              </w:rPr>
              <w:t>(In millions, except per share amounts)</w:t>
            </w:r>
          </w:p>
        </w:tc>
        <w:tc>
          <w:tcPr>
            <w:tcW w:w="17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July 2, 2016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July 4, 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6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222.8</w:t>
            </w:r>
          </w:p>
        </w:tc>
        <w:tc>
          <w:tcPr>
            <w:tcW w:w="6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53.2</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169.6</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Loss from discontinued operations</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169.6</w:t>
            </w:r>
          </w:p>
        </w:tc>
        <w:tc>
          <w:tcPr>
            <w:tcW w:w="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1.90</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1.87</w:t>
            </w:r>
          </w:p>
        </w:tc>
        <w:tc>
          <w:tcPr>
            <w:tcW w:w="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Effective tax rate for continuing operations</w:t>
            </w: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23.9%</w:t>
            </w:r>
          </w:p>
        </w:tc>
        <w:tc>
          <w:tcPr>
            <w:tcW w:w="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-2668270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-2668270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effective tax rate for the six months ended July 2, 2016 included $6.7 million of tax benefit from the release of valuation allowances against certain deferred tax assets in a foreign jurisdiction associated with a structural simplification approved by the tax authority; $6 million of tax benefit from our change in judgment about tax filing positions in certain foreign jurisdictions as a result of new information gained from our interactions with tax authorities; and $3.3 million of tax benefit due to decreases in certain tax reserves as a result of closing tax years.</w:t>
      </w:r>
    </w:p>
    <w:p>
      <w:pPr>
        <w:spacing w:after="0" w:line="19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effective tax rate for the six months ended July 2, 2016 compared to the effective tax rate for the six months ended July 4, 2015 was also favorably impacted by a change in the geographic mix of income before taxes.</w:t>
      </w:r>
    </w:p>
    <w:p>
      <w:pPr>
        <w:spacing w:after="0" w:line="17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effective tax rate for the six months ended July 4, 2015 included $5.3 million of tax expense associated with the repatriation of non-permanently reinvested 2015 earnings of certain foreign subsidiaries; $.5 million of tax expense due to non-deductible employee-related expenses; and $4.1 million of tax benefit due to decreases in certain tax reserves as a result of closing tax years. Additionally, the effective tax rate for the six months ended July 4, 2015 included $1.6 million of net tax benefit related to changes in the effective tax rates in certain foreign municipalities.</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81"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BY REPORTABLE SEGMENT FOR THE SIX MONTHS YEAR-TO-DATE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refers to income from continuing operations before interest and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Pressure-sensitive Materials</w:t>
      </w:r>
    </w:p>
    <w:p>
      <w:pPr>
        <w:spacing w:after="0" w:line="225"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17145</wp:posOffset>
            </wp:positionV>
            <wp:extent cx="1981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ectPr>
          <w:pgSz w:w="11900" w:h="16856" w:orient="portrait"/>
          <w:cols w:equalWidth="0" w:num="1">
            <w:col w:w="11460"/>
          </w:cols>
          <w:pgMar w:left="240" w:top="125"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8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July 2, 2016</w:t>
            </w: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2,269.8</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2,266.6</w:t>
            </w:r>
          </w:p>
        </w:tc>
      </w:tr>
      <w:tr>
        <w:trPr>
          <w:trHeight w:val="216"/>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2,237.1</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2,234.7</w:t>
            </w:r>
          </w:p>
        </w:tc>
      </w:tr>
      <w:tr>
        <w:trPr>
          <w:trHeight w:val="223"/>
        </w:trPr>
        <w:tc>
          <w:tcPr>
            <w:tcW w:w="802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286.9</w:t>
            </w: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252.7</w:t>
            </w:r>
          </w:p>
        </w:tc>
      </w:tr>
      <w:tr>
        <w:trPr>
          <w:trHeight w:val="269"/>
        </w:trPr>
        <w:tc>
          <w:tcPr>
            <w:tcW w:w="8020" w:type="dxa"/>
            <w:vAlign w:val="bottom"/>
            <w:shd w:val="clear" w:color="auto" w:fill="CCEEFF"/>
          </w:tcPr>
          <w:p>
            <w:pPr>
              <w:spacing w:after="0"/>
              <w:rPr>
                <w:sz w:val="20"/>
                <w:szCs w:val="20"/>
                <w:color w:val="auto"/>
              </w:rPr>
            </w:pPr>
            <w:r>
              <w:rPr>
                <w:rFonts w:ascii="Arial" w:cs="Arial" w:eastAsia="Arial" w:hAnsi="Arial"/>
                <w:sz w:val="23"/>
                <w:szCs w:val="23"/>
                <w:color w:val="auto"/>
                <w:w w:val="89"/>
                <w:vertAlign w:val="superscript"/>
              </w:rPr>
              <w:t>(1)</w:t>
            </w:r>
            <w:r>
              <w:rPr>
                <w:rFonts w:ascii="Arial" w:cs="Arial" w:eastAsia="Arial" w:hAnsi="Arial"/>
                <w:sz w:val="18"/>
                <w:szCs w:val="18"/>
                <w:color w:val="auto"/>
                <w:w w:val="89"/>
              </w:rPr>
              <w:t xml:space="preserve"> Included costs associated with restructuring in both years, transaction costs in 2016, and a gain on sale of an</w:t>
            </w:r>
          </w:p>
        </w:tc>
        <w:tc>
          <w:tcPr>
            <w:tcW w:w="7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8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 in 2015.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411"/>
        </w:trPr>
        <w:tc>
          <w:tcPr>
            <w:tcW w:w="802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4"/>
        </w:trPr>
        <w:tc>
          <w:tcPr>
            <w:tcW w:w="8020" w:type="dxa"/>
            <w:vAlign w:val="bottom"/>
          </w:tcPr>
          <w:p>
            <w:pPr>
              <w:spacing w:after="0"/>
              <w:rPr>
                <w:sz w:val="24"/>
                <w:szCs w:val="24"/>
                <w:color w:val="auto"/>
              </w:rPr>
            </w:pPr>
          </w:p>
        </w:tc>
        <w:tc>
          <w:tcPr>
            <w:tcW w:w="18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2"/>
              </w:rPr>
              <w:t>Six Months Ended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80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July 2, 2016</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8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7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In the first six months of 2016, net sales increased on an organic basis primarily due to higher volume. Net sales increased on an organic basis at a high-single digit rate in emerging markets and at a low-single digit rate in Western Europe. In North America, net sales were unchanged on an organic basis.</w:t>
      </w:r>
    </w:p>
    <w:p>
      <w:pPr>
        <w:spacing w:after="0" w:line="12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first six months of 2016, net sales on an organic basis increased at a mid-single digit rate for the Materials product group and decreased at a mid-single digit rate for the Performance Tapes product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Operating income increased in the first six months of 2016 compared to the same period last year primarily reflecting benefits from productivity initiatives, including savings from restructuring, net of transition costs, and higher volume, partially offset by higher employee-related costs, the unfavorable impact of currency translation, and geographic mix.</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Retail Branding and Information Solutions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Six Months Ended</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8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July 2, 2016</w:t>
            </w: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c>
          <w:tcPr>
            <w:tcW w:w="4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757.2</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773.1</w:t>
            </w:r>
          </w:p>
        </w:tc>
        <w:tc>
          <w:tcPr>
            <w:tcW w:w="40" w:type="dxa"/>
            <w:vAlign w:val="bottom"/>
          </w:tcPr>
          <w:p>
            <w:pPr>
              <w:spacing w:after="0"/>
              <w:rPr>
                <w:sz w:val="18"/>
                <w:szCs w:val="18"/>
                <w:color w:val="auto"/>
              </w:rPr>
            </w:pPr>
          </w:p>
        </w:tc>
      </w:tr>
      <w:tr>
        <w:trPr>
          <w:trHeight w:val="216"/>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756.1</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771.9</w:t>
            </w:r>
          </w:p>
        </w:tc>
        <w:tc>
          <w:tcPr>
            <w:tcW w:w="40" w:type="dxa"/>
            <w:vAlign w:val="bottom"/>
          </w:tcPr>
          <w:p>
            <w:pPr>
              <w:spacing w:after="0"/>
              <w:rPr>
                <w:sz w:val="18"/>
                <w:szCs w:val="18"/>
                <w:color w:val="auto"/>
              </w:rPr>
            </w:pPr>
          </w:p>
        </w:tc>
      </w:tr>
      <w:tr>
        <w:trPr>
          <w:trHeight w:val="223"/>
        </w:trPr>
        <w:tc>
          <w:tcPr>
            <w:tcW w:w="802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54.4</w:t>
            </w: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9"/>
                <w:szCs w:val="19"/>
                <w:color w:val="auto"/>
              </w:rPr>
            </w:pPr>
          </w:p>
        </w:tc>
      </w:tr>
      <w:tr>
        <w:trPr>
          <w:trHeight w:val="269"/>
        </w:trPr>
        <w:tc>
          <w:tcPr>
            <w:tcW w:w="8020" w:type="dxa"/>
            <w:vAlign w:val="bottom"/>
            <w:shd w:val="clear" w:color="auto" w:fill="CCEEFF"/>
          </w:tcPr>
          <w:p>
            <w:pPr>
              <w:spacing w:after="0"/>
              <w:rPr>
                <w:sz w:val="20"/>
                <w:szCs w:val="20"/>
                <w:color w:val="auto"/>
              </w:rPr>
            </w:pPr>
            <w:r>
              <w:rPr>
                <w:rFonts w:ascii="Arial" w:cs="Arial" w:eastAsia="Arial" w:hAnsi="Arial"/>
                <w:sz w:val="23"/>
                <w:szCs w:val="23"/>
                <w:color w:val="auto"/>
                <w:w w:val="90"/>
                <w:vertAlign w:val="superscript"/>
              </w:rPr>
              <w:t>(1)</w:t>
            </w:r>
            <w:r>
              <w:rPr>
                <w:rFonts w:ascii="Arial" w:cs="Arial" w:eastAsia="Arial" w:hAnsi="Arial"/>
                <w:sz w:val="18"/>
                <w:szCs w:val="18"/>
                <w:color w:val="auto"/>
                <w:w w:val="90"/>
              </w:rPr>
              <w:t xml:space="preserve"> Included costs associated with restructuring in both years, transaction costs in 2016, loss on sale of an asset</w:t>
            </w:r>
          </w:p>
        </w:tc>
        <w:tc>
          <w:tcPr>
            <w:tcW w:w="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 2016, loss on sale of a product line in 2015 with related costs in both years, and a legal settlement in</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20"/>
                <w:szCs w:val="20"/>
                <w:color w:val="auto"/>
              </w:rPr>
            </w:pPr>
          </w:p>
        </w:tc>
      </w:tr>
      <w:tr>
        <w:trPr>
          <w:trHeight w:val="411"/>
        </w:trPr>
        <w:tc>
          <w:tcPr>
            <w:tcW w:w="802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The factors impacting the reported sales change are shown in the table below:</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8020" w:type="dxa"/>
            <w:vAlign w:val="bottom"/>
          </w:tcPr>
          <w:p>
            <w:pPr>
              <w:spacing w:after="0"/>
              <w:rPr>
                <w:sz w:val="24"/>
                <w:szCs w:val="24"/>
                <w:color w:val="auto"/>
              </w:rPr>
            </w:pPr>
          </w:p>
        </w:tc>
        <w:tc>
          <w:tcPr>
            <w:tcW w:w="18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2"/>
              </w:rPr>
              <w:t>Six Months Ended</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8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July 2, 2016</w:t>
            </w: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 line divestiture</w:t>
            </w: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3 %</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132"/>
        </w:trPr>
        <w:tc>
          <w:tcPr>
            <w:tcW w:w="8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 the first six months of 2016, net sales increased on an organic basis due to higher volume from sales of radio-frequency identification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Operating income increased in the first six months of 2016 compared to the same period last year primarily reflecting benefits from productivity initiatives, including savings from restructuring actions, net of transition costs, higher volume, lower restructuring charges, and the loss on sale of a product line and related costs in the prior year, partially offset by the impact of strategic pricing actions and higher employee-related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Vancive Medical Technologies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8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Six Months Ended</w:t>
            </w:r>
          </w:p>
        </w:tc>
        <w:tc>
          <w:tcPr>
            <w:tcW w:w="660" w:type="dxa"/>
            <w:vAlign w:val="bottom"/>
            <w:tcBorders>
              <w:bottom w:val="single" w:sz="8" w:color="auto"/>
            </w:tcBorders>
          </w:tcPr>
          <w:p>
            <w:pPr>
              <w:spacing w:after="0"/>
              <w:rPr>
                <w:sz w:val="24"/>
                <w:szCs w:val="24"/>
                <w:color w:val="auto"/>
              </w:rPr>
            </w:pP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8"/>
              </w:rPr>
              <w:t>July 2, 2016</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34.1</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16"/>
        </w:trPr>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33.8</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23"/>
        </w:trPr>
        <w:tc>
          <w:tcPr>
            <w:tcW w:w="830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84"/>
        </w:trPr>
        <w:tc>
          <w:tcPr>
            <w:tcW w:w="8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costs associated with restructuring in both years.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121" w:right="199" w:bottom="0" w:gutter="0" w:footer="0" w:header="0"/>
        </w:sectPr>
      </w:pPr>
    </w:p>
    <w:bookmarkStart w:id="21" w:name="page22"/>
    <w:bookmarkEnd w:id="21"/>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the reported sales change are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120" w:type="dxa"/>
            <w:vAlign w:val="bottom"/>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77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July 2, 2016</w:t>
            </w: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16"/>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2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r>
      <w:tr>
        <w:trPr>
          <w:trHeight w:val="217"/>
        </w:trPr>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432"/>
        </w:trPr>
        <w:tc>
          <w:tcPr>
            <w:tcW w:w="7700" w:type="dxa"/>
            <w:vAlign w:val="bottom"/>
          </w:tcPr>
          <w:p>
            <w:pPr>
              <w:spacing w:after="0"/>
              <w:rPr>
                <w:sz w:val="20"/>
                <w:szCs w:val="20"/>
                <w:color w:val="auto"/>
              </w:rPr>
            </w:pPr>
            <w:r>
              <w:rPr>
                <w:rFonts w:ascii="Arial" w:cs="Arial" w:eastAsia="Arial" w:hAnsi="Arial"/>
                <w:sz w:val="18"/>
                <w:szCs w:val="18"/>
                <w:color w:val="auto"/>
                <w:w w:val="94"/>
              </w:rPr>
              <w:t>In the first six months of 2016, net sales decreased on an organic basis primarily due to lower volume.</w:t>
            </w:r>
          </w:p>
        </w:tc>
        <w:tc>
          <w:tcPr>
            <w:tcW w:w="21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income increased in the first six months of 2016 compared to the same period last year reflecting lower operating costs and lower restructuring charges, partially offset by lower volume.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CONDITION</w:t>
            </w:r>
          </w:p>
        </w:tc>
        <w:tc>
          <w:tcPr>
            <w:tcW w:w="6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53"/>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Six Months Ended</w:t>
            </w:r>
          </w:p>
        </w:tc>
        <w:tc>
          <w:tcPr>
            <w:tcW w:w="740" w:type="dxa"/>
            <w:vAlign w:val="bottom"/>
            <w:tcBorders>
              <w:bottom w:val="single" w:sz="8" w:color="auto"/>
            </w:tcBorders>
          </w:tcPr>
          <w:p>
            <w:pPr>
              <w:spacing w:after="0"/>
              <w:rPr>
                <w:sz w:val="24"/>
                <w:szCs w:val="24"/>
                <w:color w:val="auto"/>
              </w:rPr>
            </w:pPr>
          </w:p>
        </w:tc>
      </w:tr>
      <w:tr>
        <w:trPr>
          <w:trHeight w:val="210"/>
        </w:trPr>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8"/>
              </w:rPr>
              <w:t>July 2, 2016</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169.6</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89.4</w:t>
            </w:r>
          </w:p>
        </w:tc>
        <w:tc>
          <w:tcPr>
            <w:tcW w:w="6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96.7</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doubtful accounts and sales returns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Net losses from asset impairments and sales/disposals of assets</w:t>
            </w:r>
          </w:p>
        </w:tc>
        <w:tc>
          <w:tcPr>
            <w:tcW w:w="46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Loss from settlement of pension obligations</w:t>
            </w:r>
          </w:p>
        </w:tc>
        <w:tc>
          <w:tcPr>
            <w:tcW w:w="46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41.4</w:t>
            </w:r>
          </w:p>
        </w:tc>
        <w:tc>
          <w:tcPr>
            <w:tcW w:w="6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non-cash expense and loss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16"/>
        </w:trPr>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(147.1)</w:t>
            </w: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r>
      <w:tr>
        <w:trPr>
          <w:trHeight w:val="217"/>
        </w:trPr>
        <w:tc>
          <w:tcPr>
            <w:tcW w:w="8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216.0</w:t>
            </w:r>
          </w:p>
        </w:tc>
        <w:tc>
          <w:tcPr>
            <w:tcW w:w="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six months of 2016, cash flow from operating activities increased compared to the same period last year primarily due to higher net income and lower income tax payments, partially offset by higher incentive compensation payments and operational working capital.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8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Six Months Ended</w:t>
            </w:r>
          </w:p>
        </w:tc>
        <w:tc>
          <w:tcPr>
            <w:tcW w:w="700" w:type="dxa"/>
            <w:vAlign w:val="bottom"/>
            <w:tcBorders>
              <w:bottom w:val="single" w:sz="8" w:color="auto"/>
            </w:tcBorders>
          </w:tcPr>
          <w:p>
            <w:pPr>
              <w:spacing w:after="0"/>
              <w:rPr>
                <w:sz w:val="24"/>
                <w:szCs w:val="24"/>
                <w:color w:val="auto"/>
              </w:rPr>
            </w:pP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8"/>
              </w:rPr>
              <w:t>July 2, 2016</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(61.3)</w:t>
            </w: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Purchases of software and other deferred charges</w:t>
            </w:r>
          </w:p>
        </w:tc>
        <w:tc>
          <w:tcPr>
            <w:tcW w:w="46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Purchases of investments, net</w:t>
            </w:r>
          </w:p>
        </w:tc>
        <w:tc>
          <w:tcPr>
            <w:tcW w:w="46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17"/>
        </w:trPr>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(64.2)</w:t>
            </w: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and Software Spending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six months of 2016 and 2015, we invested in new equipment to support growth, primarily in Asia, and to improve manufacturing productivity.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2015, we received $1.5 million from the sale of a product line in our RBIS reportable segment. Refer to Note 1, “General,” to the unaudited Condensed Consolidated Financial Statements for more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8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Six Months Ended</w:t>
            </w:r>
          </w:p>
        </w:tc>
        <w:tc>
          <w:tcPr>
            <w:tcW w:w="700" w:type="dxa"/>
            <w:vAlign w:val="bottom"/>
            <w:tcBorders>
              <w:bottom w:val="single" w:sz="8" w:color="auto"/>
            </w:tcBorders>
          </w:tcPr>
          <w:p>
            <w:pPr>
              <w:spacing w:after="0"/>
              <w:rPr>
                <w:sz w:val="24"/>
                <w:szCs w:val="24"/>
                <w:color w:val="auto"/>
              </w:rPr>
            </w:pP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8"/>
              </w:rPr>
              <w:t>July 2, 2016</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July 4, 2015</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borrowings (maturities of 3 months or less)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104.6</w:t>
            </w: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Payments of debt (maturities greater than 3 months)</w:t>
            </w:r>
          </w:p>
        </w:tc>
        <w:tc>
          <w:tcPr>
            <w:tcW w:w="46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(69.6)</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 repurchases</w:t>
            </w:r>
          </w:p>
        </w:tc>
        <w:tc>
          <w:tcPr>
            <w:tcW w:w="46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(160.1)</w:t>
            </w: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exercises of stock options, net</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41.4</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16"/>
        </w:trPr>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50"/>
        </w:trPr>
        <w:tc>
          <w:tcPr>
            <w:tcW w:w="83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ectPr>
          <w:pgSz w:w="11900" w:h="16900" w:orient="portrait"/>
          <w:cols w:equalWidth="0" w:num="1">
            <w:col w:w="11420"/>
          </w:cols>
          <w:pgMar w:left="240" w:top="341" w:right="239" w:bottom="0" w:gutter="0" w:footer="0" w:header="0"/>
        </w:sectPr>
      </w:pPr>
    </w:p>
    <w:bookmarkStart w:id="22" w:name="page23"/>
    <w:bookmarkEnd w:id="22"/>
    <w:p>
      <w:pPr>
        <w:spacing w:after="0"/>
        <w:tabs>
          <w:tab w:leader="none" w:pos="8640" w:val="left"/>
          <w:tab w:leader="none" w:pos="9280" w:val="left"/>
          <w:tab w:leader="none" w:pos="10300" w:val="left"/>
          <w:tab w:leader="none" w:pos="10920" w:val="left"/>
        </w:tabs>
        <w:rPr>
          <w:sz w:val="20"/>
          <w:szCs w:val="20"/>
          <w:color w:val="auto"/>
        </w:rPr>
      </w:pPr>
      <w:r>
        <w:rPr>
          <w:rFonts w:ascii="Arial" w:cs="Arial" w:eastAsia="Arial" w:hAnsi="Arial"/>
          <w:sz w:val="18"/>
          <w:szCs w:val="18"/>
          <w:color w:val="auto"/>
        </w:rPr>
        <w:t>Net cash used in financing activities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and Repayment of Debt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six months of 2016 and 2015, our commercial paper borrowings were used mainly to fund share repurchase activity, dividend payments, and capital expenditures given the seasonality of our cash flow.</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paid dividends of $.78 per share in the first six months of 2016 compared to $.72 per share in the same period last year. In April 2016, we increased our quarterly dividend to $.41 per share, representing an 11% increase from our previous dividend rate of $.37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first six months of 2016, we repurchased approximately 2.4 million shares of our common stock at an aggregate cost of $160.1 million. During the first six months of 2015, we repurchased approximately 1.1 million shares of our common stock at an aggregate cost of $61.5 million.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2, 2016, approximately $207 million remained authorized for repurchase under our current board authorization of $500 million (exclusive of any fees, commissions, or other expenses related to such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July 2, 2016, goodwill increased by approximately $5 million to $691 million as a result of foreign currency translation.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“Goodwill,” to the unaudited Condensed Consolidated Financial Statements for more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six months ended July 2, 2016, other intangibles resulting from business acquisitions, net, decreased by approximately $9 million to $36 million, which primarily reflected current year amortization expense.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six months ended July 2, 2016, other assets decreased by approximately $10 million to $396 million, which reflected amortization expense related to software and other deferred charges, net of purchases, partially offset by an increase in the cash surrender value of our corporate-owned life insurance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 Accounts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six months ended July 2, 2016, the balance of our shareholders’ equity decreased by approximately $9 million to $957 million, which primarily reflected share repurchases, dividend payments, and a net increase in “Accumulated other comprehensive loss.” These decreases were largely offset by net income, as well as the use of treasury shares to settle exercises of stock options and vesting of stock-based awards and to fund contributions to our U.S. defined contribution plan.</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Note 6, “Pension and Other Postretirement Benefits,” and Note 13, “Comprehensive Income,” to the unaudited Condensed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Currency Translation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5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July 2, 2016</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Change in net sales</w:t>
            </w:r>
          </w:p>
        </w:tc>
        <w:tc>
          <w:tcPr>
            <w:tcW w:w="4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net income</w:t>
            </w:r>
          </w:p>
        </w:tc>
        <w:tc>
          <w:tcPr>
            <w:tcW w:w="4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International operations generated approximately 74% of our net sales during the six months ended July 2, 2016. Our future results are subject to changes in political and economic conditions in the regions in which we operate and the impact of fluctuations in foreign currency exchange and interest rates.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unfavorable impact of foreign currency translation on net sales in the first six months of 2016 compared to the same period last year primarily related to sales in Brazil, China, and Argentina, as well as euro-denominated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Currency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utilize the financial ratios discussed below to assess our financial condition and operating performance.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Avery Dennison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Operational Working Capital Ratios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Working capital (current assets minus current liabilities), as a percentage of annualized net sales, improved in the first six months of 2016 compared to the same period last year, primarily due to the decrease in current deferred taxes as a result of the prospective adoption of accounting guidance to classify deferred taxes as non-current in the fourth quarter of 2015, as well as an increase in short-term and current portion of long-term debt. This decrease was partially offset by increases in trade accounts receivable and inventories.</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Operational working capital, as a percentage of annualized net sales, is reconciled with working capital below. Our objective is to minimize our investment in operational working capital, as a percentage of annualized net sales, to maximize our cash flow and return on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w w:val="99"/>
              </w:rPr>
              <w:t>Six Months Ended</w:t>
            </w:r>
          </w:p>
        </w:tc>
      </w:tr>
      <w:tr>
        <w:trPr>
          <w:trHeight w:val="210"/>
        </w:trPr>
        <w:tc>
          <w:tcPr>
            <w:tcW w:w="8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7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July 2, 2016</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July 4, 2015</w:t>
            </w: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Working capital</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452.1</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Reconciling items:</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(216.1)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(169.6)</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(246.9)</w:t>
            </w: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6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199.0</w:t>
            </w:r>
          </w:p>
        </w:tc>
        <w:tc>
          <w:tcPr>
            <w:tcW w:w="3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182.2</w:t>
            </w:r>
          </w:p>
        </w:tc>
      </w:tr>
      <w:tr>
        <w:trPr>
          <w:trHeight w:val="216"/>
        </w:trPr>
        <w:tc>
          <w:tcPr>
            <w:tcW w:w="8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525.3</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507.8</w:t>
            </w:r>
          </w:p>
        </w:tc>
      </w:tr>
      <w:tr>
        <w:trPr>
          <w:trHeight w:val="210"/>
        </w:trPr>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Operational working capital</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684.5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667.5</w:t>
            </w:r>
          </w:p>
        </w:tc>
      </w:tr>
      <w:tr>
        <w:trPr>
          <w:trHeight w:val="210"/>
        </w:trPr>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 Annualized net sales (year-to-date sales, multiplied by two)</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6,054.0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6,088.0</w:t>
            </w:r>
          </w:p>
        </w:tc>
      </w:tr>
      <w:tr>
        <w:trPr>
          <w:trHeight w:val="217"/>
        </w:trPr>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as a percentage of annualized net sales (A) ÷ (C)</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Operational working capital, as a percentage of annualized net sales (B) ÷ (C)</w:t>
            </w: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number of days sales outstanding was 62 in the first six months of 2016 compared to 60 in the first six months of 2015. The average number of days outstanding was calculated using the two-quarter average trade accounts receivable balance divided by the average daily sales for the first six months of 2016 and 2015, respectively. The increase in the average number of days sales outstanding from the prior year primarily reflected the timing of collections and the impact of foreign currency translation.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Ratio</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Average inventory turnover decreased to 8.3 in the first six months of 2016 from 8.6 in the first six months of 2015. The average inventory turnover was calculated using the annualized cost of sales (cost of sales for the first six months of 2016 and 2015, respectively, multiplied by two) divided by the two-quarter average inventory balance. The decrease in the current year average inventory turnover primarily reflected the timing of inventory purchases.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number of days payables outstanding was 72 in the first six months of 2016 compared to 70 in the first six months of 2015. The average number of days payable outstanding was calculated using the two-quarter average accounts payable balance divided by the average daily cost of products sold for the first six months of 2016 and 2015, respectively. The increase in average number of days payable outstanding from the prior year primarily reflected the impact of foreign currency translation.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resources include cash flows from operations, cash and cash equivalents and debt financing. At July 2, 2016, we had cash and cash equivalents of $216.1 million held in accounts at third-party financial institutions.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balances are held in numerous locations throughout the world. At July 2, 2016, the majority of our cash and cash equivalents was held by our foreign subsidiaries.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meet U.S. cash requirements, we have several cost-effective liquidity options available. These options include borrowing funds at reasonable rates, including borrowings from foreign subsidiaries, and repatriating foreign earnings. However, if we were to repatriate incremental foreign earnings, we may be subject to additional taxes in the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Revolver is used as a back-up facility for our commercial paper program and can be used to finance other corporate requirements. The Revolver matures on October 3, 2019. The maturity date may be extended for additional one-year periods under certain circumstances. The commitments under the Revolver may be increased by up to $325 million, subject to lender approval and other</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customary requirements. As of July 2, 2016, there was no balance outstanding under the Revolver. Refer to Note 5, “Debt and Capital Leases,” to the unaudited Condensed Consolidated Financial Statements for more information.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we entered into an agreement with three commercial paper dealers to establish a Euro-Commercial Paper Program pursuant to which we may issue unsecured commercial paper notes up to a maximum aggregate amount outstanding of $500 million. Proceeds from issuances under this program may be used for general corporate purposes. The maturities of the notes may vary, but may not exceed 364 days from the date of issuance. Our payment obligations with respect to any notes issued under this program would be backed by the Revolver. There are no financial covenants under this program. As of July 2, 2016, there were no balances outstanding under this program.</w:t>
      </w:r>
    </w:p>
    <w:p>
      <w:pPr>
        <w:sectPr>
          <w:pgSz w:w="11900" w:h="16838" w:orient="portrait"/>
          <w:cols w:equalWidth="0" w:num="1">
            <w:col w:w="11420"/>
          </w:cols>
          <w:pgMar w:left="240" w:top="125" w:right="239" w:bottom="157"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We are exposed to financial market risk resulting from changes in interest and foreign currency rates, and to possible liquidity and credit risks of our counterparties.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we entered into an agreement to acquire the European business of Mactac from Platinum Equity for a purchase price of €200 million, including assumed debt. The purchase price is subject to certain adjustments in accordance with the terms of the agreement. On August 1, 2016, we completed this acquisition, which we funded with cash and through existing credit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from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debt increased by approximately $104 million in the first six months of 2016 to $1.14 billion, primarily reflecting an increase in commercial paper borrowings used to fund share repurchase activity, dividend payments, and capital expenditures given the seasonality of our cash flow during the year, as well as an increase in short-term borrowings to support operational requirements.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below current levels could impact our ability to access the commercial paper markets. If our access to commercial paper markets were to become limited, the Revolver and our other credit facilities would be available to meet our short-term funding requirements, if necessary.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Contractual Obligations, and 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“Commitments and Contingencies,” to the unaudited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“Recent Accounting Requirements,” to the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information provided in Part II, Item 7A of our Annual Report on Form 10-K for the fiscal year ended January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judgement in evaluating the cost-benefit relationship of possible controls and procedures.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periodically assess our internal control environment. During 2014, we began a phased implementation of a new transactional system in our RBIS segment that is expected to continue through 2018. Processes affected by this implementation include, among other things, order management, pricing, shipping, general accounting and planning. Where appropriate, we are reviewing related internal controls and making changes. Other than this implementation, there have been no changes in our internal control over financial reporting during the most recent fiscal quarter that have materially affected, or are reasonably likely to materially affect, our internal control over financial reporting.</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ectPr>
          <w:pgSz w:w="11900" w:h="16838" w:orient="portrait"/>
          <w:cols w:equalWidth="0" w:num="1">
            <w:col w:w="11420"/>
          </w:cols>
          <w:pgMar w:left="240" w:top="125"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Refer to “Legal Proceedings” in Note 15, “Commitments and Contingencies,” to the unaudited Condensed Consolidated Financial Statements in Part 1,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included in Part I, Item 1A, of our Annual Report on Form 10-K for the fiscal year ended January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Repurchases of Equity Securities by Issuer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Repurchases by us or our “affiliated purchasers” (as defined in Rule 10b-18(a)(3) of the Exchange Act) of registered equity securities in the three fiscal months of the second quarter of 2016 are listed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jc w:val="right"/>
              <w:ind w:right="255"/>
              <w:spacing w:after="0"/>
              <w:rPr>
                <w:sz w:val="20"/>
                <w:szCs w:val="20"/>
                <w:color w:val="auto"/>
              </w:rPr>
            </w:pPr>
            <w:r>
              <w:rPr>
                <w:rFonts w:ascii="Arial" w:cs="Arial" w:eastAsia="Arial" w:hAnsi="Arial"/>
                <w:sz w:val="18"/>
                <w:szCs w:val="18"/>
                <w:b w:val="1"/>
                <w:bCs w:val="1"/>
                <w:color w:val="auto"/>
              </w:rPr>
              <w:t>Total number of shares</w:t>
            </w:r>
          </w:p>
        </w:tc>
        <w:tc>
          <w:tcPr>
            <w:tcW w:w="60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Approximate dollar</w:t>
            </w:r>
          </w:p>
        </w:tc>
      </w:tr>
      <w:tr>
        <w:trPr>
          <w:trHeight w:val="216"/>
        </w:trPr>
        <w:tc>
          <w:tcPr>
            <w:tcW w:w="2840" w:type="dxa"/>
            <w:vAlign w:val="bottom"/>
          </w:tcPr>
          <w:p>
            <w:pPr>
              <w:spacing w:after="0"/>
              <w:rPr>
                <w:sz w:val="18"/>
                <w:szCs w:val="18"/>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 number</w:t>
            </w:r>
          </w:p>
        </w:tc>
        <w:tc>
          <w:tcPr>
            <w:tcW w:w="5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w w:val="92"/>
              </w:rPr>
              <w:t>Average</w:t>
            </w:r>
          </w:p>
        </w:tc>
        <w:tc>
          <w:tcPr>
            <w:tcW w:w="2500" w:type="dxa"/>
            <w:vAlign w:val="bottom"/>
          </w:tcPr>
          <w:p>
            <w:pPr>
              <w:jc w:val="right"/>
              <w:ind w:right="255"/>
              <w:spacing w:after="0"/>
              <w:rPr>
                <w:sz w:val="20"/>
                <w:szCs w:val="20"/>
                <w:color w:val="auto"/>
              </w:rPr>
            </w:pPr>
            <w:r>
              <w:rPr>
                <w:rFonts w:ascii="Arial" w:cs="Arial" w:eastAsia="Arial" w:hAnsi="Arial"/>
                <w:sz w:val="18"/>
                <w:szCs w:val="18"/>
                <w:b w:val="1"/>
                <w:bCs w:val="1"/>
                <w:color w:val="auto"/>
              </w:rPr>
              <w:t>purchased as part of</w:t>
            </w:r>
          </w:p>
        </w:tc>
        <w:tc>
          <w:tcPr>
            <w:tcW w:w="2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value of shares that may</w:t>
            </w:r>
          </w:p>
        </w:tc>
      </w:tr>
      <w:tr>
        <w:trPr>
          <w:trHeight w:val="216"/>
        </w:trPr>
        <w:tc>
          <w:tcPr>
            <w:tcW w:w="2840" w:type="dxa"/>
            <w:vAlign w:val="bottom"/>
          </w:tcPr>
          <w:p>
            <w:pPr>
              <w:spacing w:after="0"/>
              <w:rPr>
                <w:sz w:val="18"/>
                <w:szCs w:val="18"/>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6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price paid</w:t>
            </w:r>
          </w:p>
        </w:tc>
        <w:tc>
          <w:tcPr>
            <w:tcW w:w="2500" w:type="dxa"/>
            <w:vAlign w:val="bottom"/>
          </w:tcPr>
          <w:p>
            <w:pPr>
              <w:jc w:val="right"/>
              <w:ind w:right="255"/>
              <w:spacing w:after="0"/>
              <w:rPr>
                <w:sz w:val="20"/>
                <w:szCs w:val="20"/>
                <w:color w:val="auto"/>
              </w:rPr>
            </w:pPr>
            <w:r>
              <w:rPr>
                <w:rFonts w:ascii="Arial" w:cs="Arial" w:eastAsia="Arial" w:hAnsi="Arial"/>
                <w:sz w:val="18"/>
                <w:szCs w:val="18"/>
                <w:b w:val="1"/>
                <w:bCs w:val="1"/>
                <w:color w:val="auto"/>
              </w:rPr>
              <w:t>publicly announced</w:t>
            </w:r>
          </w:p>
        </w:tc>
        <w:tc>
          <w:tcPr>
            <w:tcW w:w="2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yet be purchased under</w:t>
            </w:r>
          </w:p>
        </w:tc>
      </w:tr>
      <w:tr>
        <w:trPr>
          <w:trHeight w:val="234"/>
        </w:trPr>
        <w:tc>
          <w:tcPr>
            <w:tcW w:w="28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3"/>
                <w:szCs w:val="23"/>
                <w:b w:val="1"/>
                <w:bCs w:val="1"/>
                <w:color w:val="auto"/>
                <w:vertAlign w:val="superscript"/>
              </w:rPr>
              <w:t>(1)</w:t>
            </w:r>
          </w:p>
        </w:tc>
        <w:tc>
          <w:tcPr>
            <w:tcW w:w="2120" w:type="dxa"/>
            <w:vAlign w:val="bottom"/>
            <w:tcBorders>
              <w:bottom w:val="single" w:sz="8" w:color="auto"/>
            </w:tcBorders>
          </w:tcPr>
          <w:p>
            <w:pPr>
              <w:jc w:val="right"/>
              <w:ind w:right="330"/>
              <w:spacing w:after="0" w:line="234" w:lineRule="exact"/>
              <w:rPr>
                <w:sz w:val="20"/>
                <w:szCs w:val="20"/>
                <w:color w:val="auto"/>
              </w:rPr>
            </w:pPr>
            <w:r>
              <w:rPr>
                <w:rFonts w:ascii="Arial" w:cs="Arial" w:eastAsia="Arial" w:hAnsi="Arial"/>
                <w:sz w:val="18"/>
                <w:szCs w:val="18"/>
                <w:b w:val="1"/>
                <w:bCs w:val="1"/>
                <w:color w:val="auto"/>
              </w:rPr>
              <w:t>purchased</w:t>
            </w:r>
            <w:r>
              <w:rPr>
                <w:rFonts w:ascii="Arial" w:cs="Arial" w:eastAsia="Arial" w:hAnsi="Arial"/>
                <w:sz w:val="23"/>
                <w:szCs w:val="23"/>
                <w:b w:val="1"/>
                <w:bCs w:val="1"/>
                <w:color w:val="auto"/>
                <w:vertAlign w:val="superscript"/>
              </w:rPr>
              <w:t>(2)</w:t>
            </w:r>
          </w:p>
        </w:tc>
        <w:tc>
          <w:tcPr>
            <w:tcW w:w="16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per share</w:t>
            </w:r>
          </w:p>
        </w:tc>
        <w:tc>
          <w:tcPr>
            <w:tcW w:w="2500" w:type="dxa"/>
            <w:vAlign w:val="bottom"/>
            <w:tcBorders>
              <w:bottom w:val="single" w:sz="8" w:color="auto"/>
            </w:tcBorders>
          </w:tcPr>
          <w:p>
            <w:pPr>
              <w:jc w:val="right"/>
              <w:ind w:right="255"/>
              <w:spacing w:after="0" w:line="235" w:lineRule="exact"/>
              <w:rPr>
                <w:sz w:val="20"/>
                <w:szCs w:val="20"/>
                <w:color w:val="auto"/>
              </w:rPr>
            </w:pPr>
            <w:r>
              <w:rPr>
                <w:rFonts w:ascii="Arial" w:cs="Arial" w:eastAsia="Arial" w:hAnsi="Arial"/>
                <w:sz w:val="27"/>
                <w:szCs w:val="27"/>
                <w:b w:val="1"/>
                <w:bCs w:val="1"/>
                <w:color w:val="auto"/>
                <w:vertAlign w:val="subscript"/>
              </w:rPr>
              <w:t>plans</w:t>
            </w:r>
            <w:r>
              <w:rPr>
                <w:rFonts w:ascii="Arial" w:cs="Arial" w:eastAsia="Arial" w:hAnsi="Arial"/>
                <w:sz w:val="10"/>
                <w:szCs w:val="10"/>
                <w:b w:val="1"/>
                <w:bCs w:val="1"/>
                <w:color w:val="auto"/>
              </w:rPr>
              <w:t>(2)(3)</w:t>
            </w: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
              <w:spacing w:after="0" w:line="234" w:lineRule="exact"/>
              <w:rPr>
                <w:sz w:val="20"/>
                <w:szCs w:val="20"/>
                <w:color w:val="auto"/>
              </w:rPr>
            </w:pPr>
            <w:r>
              <w:rPr>
                <w:rFonts w:ascii="Arial" w:cs="Arial" w:eastAsia="Arial" w:hAnsi="Arial"/>
                <w:sz w:val="18"/>
                <w:szCs w:val="18"/>
                <w:b w:val="1"/>
                <w:bCs w:val="1"/>
                <w:color w:val="auto"/>
              </w:rPr>
              <w:t>the plans</w:t>
            </w:r>
            <w:r>
              <w:rPr>
                <w:rFonts w:ascii="Arial" w:cs="Arial" w:eastAsia="Arial" w:hAnsi="Arial"/>
                <w:sz w:val="23"/>
                <w:szCs w:val="23"/>
                <w:b w:val="1"/>
                <w:bCs w:val="1"/>
                <w:color w:val="auto"/>
                <w:vertAlign w:val="superscript"/>
              </w:rPr>
              <w:t>(4)</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April 3, 2016 – April 30, 2016</w:t>
            </w:r>
          </w:p>
        </w:tc>
        <w:tc>
          <w:tcPr>
            <w:tcW w:w="2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72.46</w:t>
            </w:r>
          </w:p>
        </w:tc>
        <w:tc>
          <w:tcPr>
            <w:tcW w:w="25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161.8</w:t>
            </w:r>
          </w:p>
        </w:tc>
        <w:tc>
          <w:tcPr>
            <w:tcW w:w="6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May 1, 2016 – May 28, 2016</w:t>
            </w: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350.6</w:t>
            </w:r>
          </w:p>
        </w:tc>
        <w:tc>
          <w:tcPr>
            <w:tcW w:w="5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74.68</w:t>
            </w:r>
          </w:p>
        </w:tc>
        <w:tc>
          <w:tcPr>
            <w:tcW w:w="2500" w:type="dxa"/>
            <w:vAlign w:val="bottom"/>
          </w:tcPr>
          <w:p>
            <w:pPr>
              <w:jc w:val="right"/>
              <w:ind w:right="255"/>
              <w:spacing w:after="0"/>
              <w:rPr>
                <w:sz w:val="20"/>
                <w:szCs w:val="20"/>
                <w:color w:val="auto"/>
              </w:rPr>
            </w:pPr>
            <w:r>
              <w:rPr>
                <w:rFonts w:ascii="Arial" w:cs="Arial" w:eastAsia="Arial" w:hAnsi="Arial"/>
                <w:sz w:val="18"/>
                <w:szCs w:val="18"/>
                <w:color w:val="auto"/>
              </w:rPr>
              <w:t>350.6</w:t>
            </w:r>
          </w:p>
        </w:tc>
        <w:tc>
          <w:tcPr>
            <w:tcW w:w="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May 29, 2016 – July 2, 2016</w:t>
            </w:r>
          </w:p>
        </w:tc>
        <w:tc>
          <w:tcPr>
            <w:tcW w:w="21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351.4</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75.62</w:t>
            </w:r>
          </w:p>
        </w:tc>
        <w:tc>
          <w:tcPr>
            <w:tcW w:w="250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351.4</w:t>
            </w:r>
          </w:p>
        </w:tc>
        <w:tc>
          <w:tcPr>
            <w:tcW w:w="6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r>
      <w:tr>
        <w:trPr>
          <w:trHeight w:val="21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863.8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74.64</w:t>
            </w:r>
          </w:p>
        </w:tc>
        <w:tc>
          <w:tcPr>
            <w:tcW w:w="25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863.8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207.1</w:t>
            </w:r>
          </w:p>
        </w:tc>
      </w:tr>
    </w:tbl>
    <w:p>
      <w:pPr>
        <w:spacing w:after="0" w:line="26"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periods shown are our fiscal months during the thirteen-week quarter ended July 2, 2016.</w:t>
      </w:r>
    </w:p>
    <w:p>
      <w:pPr>
        <w:spacing w:after="0" w:line="6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Shares in thousands.</w:t>
      </w:r>
    </w:p>
    <w:p>
      <w:pPr>
        <w:spacing w:after="0" w:line="49" w:lineRule="exact"/>
        <w:rPr>
          <w:rFonts w:ascii="Arial" w:cs="Arial" w:eastAsia="Arial" w:hAnsi="Arial"/>
          <w:sz w:val="18"/>
          <w:szCs w:val="18"/>
          <w:color w:val="auto"/>
          <w:vertAlign w:val="superscript"/>
        </w:rPr>
      </w:pPr>
    </w:p>
    <w:p>
      <w:pPr>
        <w:jc w:val="both"/>
        <w:ind w:left="180" w:hanging="172"/>
        <w:spacing w:after="0" w:line="254"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On December 4, 2014, our Board of Directors authorized the repurchase of shares of our common stock in the aggregate amount of up to $500 million (exclusive of any fees, commissions or other expenses related to such purchases), in addition to any outstanding shares authorized under any previous Board authorization. This is the only authorization currently in effect and it will remain in effect until the shares authorized thereby have been repurchased.</w:t>
      </w:r>
    </w:p>
    <w:p>
      <w:pPr>
        <w:spacing w:after="0" w:line="1"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Dollars in millions.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may be reissued under our stock option and incentive plan or used for other corporate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121" w:right="239" w:bottom="0" w:gutter="0" w:footer="0" w:header="0"/>
        </w:sectPr>
      </w:pP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Exhibit 10.1*† Exhibit 12* Exhibit 31.1* Exhibit 31.2* Exhibit 32.1** Exhibit 32.2** Exhibit 101.INS Exhibit 101.SCH Exhibit 101.CAL Exhibit 101.LAB Exhibit 101.PRE Exhibit 101.DEF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Localization Letter to Georges Gravanis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Definition Linkbase Document</w:t>
      </w:r>
    </w:p>
    <w:p>
      <w:pPr>
        <w:spacing w:after="0" w:line="210" w:lineRule="exact"/>
        <w:rPr>
          <w:sz w:val="20"/>
          <w:szCs w:val="20"/>
          <w:color w:val="auto"/>
        </w:rPr>
      </w:pPr>
    </w:p>
    <w:p>
      <w:pPr>
        <w:sectPr>
          <w:pgSz w:w="11900" w:h="16838" w:orient="portrait"/>
          <w:cols w:equalWidth="0" w:num="2">
            <w:col w:w="1280" w:space="720"/>
            <w:col w:w="9420"/>
          </w:cols>
          <w:pgMar w:left="240" w:top="121" w:right="239" w:bottom="0" w:gutter="0" w:footer="0" w:header="0"/>
          <w:type w:val="continuous"/>
        </w:sectPr>
      </w:pPr>
    </w:p>
    <w:p>
      <w:pPr>
        <w:spacing w:after="0"/>
        <w:tabs>
          <w:tab w:leader="none" w:pos="260" w:val="left"/>
        </w:tabs>
        <w:rPr>
          <w:sz w:val="20"/>
          <w:szCs w:val="20"/>
          <w:color w:val="auto"/>
        </w:rPr>
      </w:pPr>
      <w:r>
        <w:rPr>
          <w:rFonts w:ascii="Arial" w:cs="Arial" w:eastAsia="Arial" w:hAnsi="Arial"/>
          <w:sz w:val="16"/>
          <w:szCs w:val="16"/>
          <w:color w:val="auto"/>
        </w:rPr>
        <w:t>*</w:t>
        <w:tab/>
        <w:t>Filed herewith.</w:t>
      </w:r>
    </w:p>
    <w:p>
      <w:pPr>
        <w:sectPr>
          <w:pgSz w:w="11900" w:h="16838" w:orient="portrait"/>
          <w:cols w:equalWidth="0" w:num="1">
            <w:col w:w="11420"/>
          </w:cols>
          <w:pgMar w:left="240" w:top="121" w:right="239" w:bottom="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ind w:left="11240" w:hanging="11232"/>
        <w:spacing w:after="0" w:line="422" w:lineRule="auto"/>
        <w:tabs>
          <w:tab w:leader="none" w:pos="2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as an exhibit to this Form 10-Q pursuant to Part II, Item 6 of Form 10-Q.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AVERY DENNISON CORPORATION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Lori J. Bondar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 Controller,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August 2, 2016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146050</wp:posOffset>
            </wp:positionV>
            <wp:extent cx="1483360" cy="548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833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207 Goode Avenue</w:t>
      </w:r>
    </w:p>
    <w:p>
      <w:pPr>
        <w:spacing w:after="0" w:line="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Glendale, California 91203</w:t>
      </w:r>
    </w:p>
    <w:p>
      <w:pPr>
        <w:spacing w:after="0" w:line="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Phone 626-304-2000</w:t>
      </w:r>
    </w:p>
    <w:p>
      <w:pPr>
        <w:spacing w:after="0" w:line="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Fax 626-792-7312</w:t>
      </w:r>
    </w:p>
    <w:p>
      <w:pPr>
        <w:spacing w:after="0" w:line="1"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www.averydennison.com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Georges Gravanis</w:t>
      </w:r>
    </w:p>
    <w:p>
      <w:pPr>
        <w:spacing w:after="0" w:line="225" w:lineRule="auto"/>
        <w:rPr>
          <w:sz w:val="20"/>
          <w:szCs w:val="20"/>
          <w:color w:val="auto"/>
        </w:rPr>
      </w:pPr>
      <w:r>
        <w:rPr>
          <w:rFonts w:ascii="Arial" w:cs="Arial" w:eastAsia="Arial" w:hAnsi="Arial"/>
          <w:sz w:val="20"/>
          <w:szCs w:val="20"/>
          <w:color w:val="auto"/>
        </w:rPr>
        <w:t>[Address]</w:t>
      </w:r>
    </w:p>
    <w:p>
      <w:pPr>
        <w:spacing w:after="0"/>
        <w:rPr>
          <w:sz w:val="20"/>
          <w:szCs w:val="20"/>
          <w:color w:val="auto"/>
        </w:rPr>
      </w:pPr>
      <w:r>
        <w:rPr>
          <w:rFonts w:ascii="Arial" w:cs="Arial" w:eastAsia="Arial" w:hAnsi="Arial"/>
          <w:sz w:val="20"/>
          <w:szCs w:val="20"/>
          <w:color w:val="auto"/>
        </w:rPr>
        <w:t>[Address]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Georges,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Localization Addendum of Dutch Employment</w:t>
      </w:r>
    </w:p>
    <w:p>
      <w:pPr>
        <w:spacing w:after="0" w:line="216"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 xml:space="preserve">In connection with your employment with </w:t>
      </w:r>
      <w:r>
        <w:rPr>
          <w:rFonts w:ascii="Arial" w:cs="Arial" w:eastAsia="Arial" w:hAnsi="Arial"/>
          <w:sz w:val="20"/>
          <w:szCs w:val="20"/>
          <w:b w:val="1"/>
          <w:bCs w:val="1"/>
          <w:color w:val="auto"/>
        </w:rPr>
        <w:t>Avery Dennison, Materials Group in the Netherlands</w:t>
      </w:r>
      <w:r>
        <w:rPr>
          <w:rFonts w:ascii="Arial" w:cs="Arial" w:eastAsia="Arial" w:hAnsi="Arial"/>
          <w:sz w:val="20"/>
          <w:szCs w:val="20"/>
          <w:color w:val="auto"/>
        </w:rPr>
        <w:t xml:space="preserve"> this letter details your compensation and benefits package as well as relocation/repatriation support.</w:t>
      </w:r>
    </w:p>
    <w:p>
      <w:pPr>
        <w:spacing w:after="0" w:line="19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Your Hong Kong assignment will end effective June 30, 2016. Your effective transfer date from the French payroll to the Dutch payroll will be on July 1, 2016. Your employment in the Netherlands will commence on July 1, 2016. Unless as otherwise provided herein, all current applicable assignment-related benefits and/or allowances will cease on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1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22222"/>
        </w:rPr>
        <w:t xml:space="preserve">€510,000 per annum effective July 1, 2016. </w:t>
      </w:r>
      <w:r>
        <w:rPr>
          <w:rFonts w:ascii="Arial" w:cs="Arial" w:eastAsia="Arial" w:hAnsi="Arial"/>
          <w:sz w:val="20"/>
          <w:szCs w:val="20"/>
          <w:color w:val="000000"/>
        </w:rPr>
        <w:t>Your next salary review will be April 2017. That and subsequent salary reviews will be</w:t>
      </w:r>
      <w:r>
        <w:rPr>
          <w:rFonts w:ascii="Arial" w:cs="Arial" w:eastAsia="Arial" w:hAnsi="Arial"/>
          <w:sz w:val="20"/>
          <w:szCs w:val="20"/>
          <w:color w:val="222222"/>
        </w:rPr>
        <w:t xml:space="preserve"> </w:t>
      </w:r>
      <w:r>
        <w:rPr>
          <w:rFonts w:ascii="Arial" w:cs="Arial" w:eastAsia="Arial" w:hAnsi="Arial"/>
          <w:sz w:val="20"/>
          <w:szCs w:val="20"/>
          <w:color w:val="000000"/>
        </w:rPr>
        <w:t>conducted in accordance with the Netherlands’ budget guidelines.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Bonus opportunity</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You will continue to be eligible under Avery Dennison’s annual incentive plan (“AIP”) to participate at a </w:t>
      </w:r>
      <w:r>
        <w:rPr>
          <w:rFonts w:ascii="Arial" w:cs="Arial" w:eastAsia="Arial" w:hAnsi="Arial"/>
          <w:sz w:val="20"/>
          <w:szCs w:val="20"/>
          <w:b w:val="1"/>
          <w:bCs w:val="1"/>
          <w:color w:val="auto"/>
        </w:rPr>
        <w:t>75%</w:t>
      </w:r>
      <w:r>
        <w:rPr>
          <w:rFonts w:ascii="Arial" w:cs="Arial" w:eastAsia="Arial" w:hAnsi="Arial"/>
          <w:sz w:val="20"/>
          <w:szCs w:val="20"/>
          <w:color w:val="auto"/>
        </w:rPr>
        <w:t xml:space="preserve"> of base salary opportunity level, subject to applicable withholdings. The AIP, including eligibility criteria, may change at any time, with or without notice, in accordance with applicable law or, if permissible under the law, at the discretion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incentive compensation program</w:t>
      </w:r>
    </w:p>
    <w:p>
      <w:pPr>
        <w:spacing w:after="0" w:line="1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Under the Company’s executive incentive compensation program, you will continue to be eligible to be considered for an annualized long-term incentive award with a target opportunity equivalent to approximately </w:t>
      </w:r>
      <w:r>
        <w:rPr>
          <w:rFonts w:ascii="Arial" w:cs="Arial" w:eastAsia="Arial" w:hAnsi="Arial"/>
          <w:sz w:val="20"/>
          <w:szCs w:val="20"/>
          <w:b w:val="1"/>
          <w:bCs w:val="1"/>
          <w:color w:val="auto"/>
        </w:rPr>
        <w:t>180%</w:t>
      </w:r>
      <w:r>
        <w:rPr>
          <w:rFonts w:ascii="Arial" w:cs="Arial" w:eastAsia="Arial" w:hAnsi="Arial"/>
          <w:sz w:val="20"/>
          <w:szCs w:val="20"/>
          <w:color w:val="auto"/>
        </w:rPr>
        <w:t xml:space="preserve"> of your base salary. The long-term incentive program, including eligibility criteria, may be amended, suspended or terminated at any time, with or without notice, in accordance with applicable law and the applicable plan terms.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Since you will be localized in the Netherlands, all applicable Dutch benefits in accordance with local practice will be provided to you. This includes participation in the Dutch National Insurance Scheme as well as any supplemental plans, and you will cease to participate in the French scheme, with the exception of the Voluntary French Pension described below.</w:t>
      </w:r>
    </w:p>
    <w:p>
      <w:pPr>
        <w:spacing w:after="0" w:line="187"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Dutch Benefits Scheme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Dutch National and Employee Insurance</w:t>
      </w:r>
    </w:p>
    <w:p>
      <w:pPr>
        <w:jc w:val="both"/>
        <w:spacing w:after="0" w:line="236" w:lineRule="auto"/>
        <w:rPr>
          <w:sz w:val="20"/>
          <w:szCs w:val="20"/>
          <w:color w:val="auto"/>
        </w:rPr>
      </w:pPr>
      <w:r>
        <w:rPr>
          <w:rFonts w:ascii="Arial" w:cs="Arial" w:eastAsia="Arial" w:hAnsi="Arial"/>
          <w:sz w:val="20"/>
          <w:szCs w:val="20"/>
          <w:color w:val="auto"/>
        </w:rPr>
        <w:t>This includes unemployment, state pension, long term disability and basic health. Applicable employer and employee contributions to this scheme will be implemented per local practices.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Dutch Supplemental Pension Plan</w:t>
      </w:r>
    </w:p>
    <w:p>
      <w:pPr>
        <w:jc w:val="both"/>
        <w:spacing w:after="0" w:line="232" w:lineRule="auto"/>
        <w:rPr>
          <w:sz w:val="20"/>
          <w:szCs w:val="20"/>
          <w:color w:val="auto"/>
        </w:rPr>
      </w:pPr>
      <w:r>
        <w:rPr>
          <w:rFonts w:ascii="Arial" w:cs="Arial" w:eastAsia="Arial" w:hAnsi="Arial"/>
          <w:sz w:val="20"/>
          <w:szCs w:val="20"/>
          <w:color w:val="auto"/>
        </w:rPr>
        <w:t>Participation in this plan is mandatory under Dutch pension legislation and implied by signing the Dutch employment agreement required by law. You will contribute to the Dutch supplemental pension plan in accordance to local law and practice. The applicable employee and employer deductions for the contributions will be made via payroll.</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Dutch Health Plan</w:t>
      </w:r>
    </w:p>
    <w:p>
      <w:pPr>
        <w:jc w:val="both"/>
        <w:spacing w:after="0" w:line="231" w:lineRule="auto"/>
        <w:rPr>
          <w:sz w:val="20"/>
          <w:szCs w:val="20"/>
          <w:color w:val="auto"/>
        </w:rPr>
      </w:pPr>
      <w:r>
        <w:rPr>
          <w:rFonts w:ascii="Arial" w:cs="Arial" w:eastAsia="Arial" w:hAnsi="Arial"/>
          <w:sz w:val="20"/>
          <w:szCs w:val="20"/>
          <w:color w:val="auto"/>
        </w:rPr>
        <w:t xml:space="preserve">Under Dutch legislation, you must enroll in a basic health coverage plan. Avery Dennison offers you the option of taking part at a discounted rate in the healthcare insurance selected by the Company. You may opt to enroll yourself and your eligible family members in this plan. Should you opt for the Avery Dennison selected plan, the applicable premium(s) will be deducted via payroll. </w:t>
      </w:r>
      <w:r>
        <w:rPr>
          <w:rFonts w:ascii="Arial" w:cs="Arial" w:eastAsia="Arial" w:hAnsi="Arial"/>
          <w:sz w:val="20"/>
          <w:szCs w:val="20"/>
          <w:color w:val="222222"/>
        </w:rPr>
        <w:t>The plan does not cover any family members living outside of The Netherlands</w:t>
      </w:r>
      <w:r>
        <w:rPr>
          <w:rFonts w:ascii="Arial" w:cs="Arial" w:eastAsia="Arial" w:hAnsi="Arial"/>
          <w:sz w:val="20"/>
          <w:szCs w:val="20"/>
          <w:color w:val="000000"/>
        </w:rPr>
        <w:t>.</w:t>
      </w:r>
    </w:p>
    <w:p>
      <w:pPr>
        <w:spacing w:after="0" w:line="20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options and details of Dutch benefits, including health and pension plans, will be presented to you by the Netherlands HR team.</w:t>
      </w:r>
    </w:p>
    <w:p>
      <w:pPr>
        <w:spacing w:after="0" w:line="185"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French Benefits Scheme</w:t>
      </w:r>
    </w:p>
    <w:p>
      <w:pPr>
        <w:sectPr>
          <w:pgSz w:w="11900" w:h="16838" w:orient="portrait"/>
          <w:cols w:equalWidth="0" w:num="1">
            <w:col w:w="11420"/>
          </w:cols>
          <w:pgMar w:left="240" w:top="111" w:right="239" w:bottom="0" w:gutter="0" w:footer="0" w:header="0"/>
        </w:sectPr>
      </w:pPr>
    </w:p>
    <w:bookmarkStart w:id="28" w:name="page29"/>
    <w:bookmarkEnd w:id="28"/>
    <w:p>
      <w:pPr>
        <w:jc w:val="both"/>
        <w:spacing w:after="0" w:line="237" w:lineRule="auto"/>
        <w:rPr>
          <w:sz w:val="20"/>
          <w:szCs w:val="20"/>
          <w:color w:val="auto"/>
        </w:rPr>
      </w:pPr>
      <w:r>
        <w:rPr>
          <w:rFonts w:ascii="Arial" w:cs="Arial" w:eastAsia="Arial" w:hAnsi="Arial"/>
          <w:sz w:val="20"/>
          <w:szCs w:val="20"/>
          <w:color w:val="auto"/>
        </w:rPr>
        <w:t>The company will cover the employer and employee contributions to the French Pension Voluntary Scheme under the National Insurance. The estimated cost, combining employee and employer contributions, is €65,000 per annum. These contributions may be subject to applicable taxes in the Netherlands. Tax obligations that may result from this benefit will be your responsibility.</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contributions and eligibility to other components of the benefits scheme such as Caisse des Français de l’Etranger (CFE), health care, supplemental pension plan (Axa), and A&amp;D will cease.</w:t>
      </w:r>
    </w:p>
    <w:p>
      <w:pPr>
        <w:spacing w:after="0" w:line="18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Aetna Global Benefits (AGB)</w:t>
      </w:r>
    </w:p>
    <w:p>
      <w:pPr>
        <w:spacing w:after="0" w:line="24" w:lineRule="exact"/>
        <w:rPr>
          <w:sz w:val="20"/>
          <w:szCs w:val="20"/>
          <w:color w:val="auto"/>
        </w:rPr>
      </w:pPr>
    </w:p>
    <w:p>
      <w:pPr>
        <w:spacing w:after="0" w:line="236" w:lineRule="auto"/>
        <w:rPr>
          <w:sz w:val="20"/>
          <w:szCs w:val="20"/>
          <w:color w:val="auto"/>
        </w:rPr>
      </w:pPr>
      <w:r>
        <w:rPr>
          <w:rFonts w:ascii="Arial" w:cs="Arial" w:eastAsia="Arial" w:hAnsi="Arial"/>
          <w:sz w:val="20"/>
          <w:szCs w:val="20"/>
          <w:color w:val="222222"/>
        </w:rPr>
        <w:t>Your AGB coverage will continue for 30 days after July 1, 2016, to ensure there is no lapse in coverage during this period. The AGB coverage will cease following this 30 day period</w:t>
      </w:r>
      <w:r>
        <w:rPr>
          <w:rFonts w:ascii="Arial" w:cs="Arial" w:eastAsia="Arial" w:hAnsi="Arial"/>
          <w:sz w:val="20"/>
          <w:szCs w:val="20"/>
          <w:color w:val="000000"/>
        </w:rPr>
        <w:t>.</w:t>
      </w:r>
    </w:p>
    <w:p>
      <w:pPr>
        <w:spacing w:after="0" w:line="185"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Personal Holiday/Vacation Time Off</w:t>
      </w:r>
    </w:p>
    <w:p>
      <w:pPr>
        <w:spacing w:after="0" w:line="2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You will be in the Dutch leave plan which consists of a total of 39 days per year, including statutory as well as Avery Dennison additionally granted days due to standard working hours and years of service. The holiday year runs from January to December. Additional details of the plan will be provided to you by the HR team in the Netherlands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Dependent Children Education Support</w:t>
      </w:r>
    </w:p>
    <w:p>
      <w:pPr>
        <w:spacing w:after="0" w:line="1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22222"/>
        </w:rPr>
        <w:t xml:space="preserve">Avery Dennison will pay tuition support for your daughter for the school years of 2016/2017 and 2017/2018 up to €25,000 per annum. We will pay the school directly. </w:t>
      </w:r>
      <w:r>
        <w:rPr>
          <w:rFonts w:ascii="Arial" w:cs="Arial" w:eastAsia="Arial" w:hAnsi="Arial"/>
          <w:sz w:val="20"/>
          <w:szCs w:val="20"/>
          <w:color w:val="000000"/>
        </w:rPr>
        <w:t>Tax obligations that may result from this benefit will be your responsibility.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Housing and Utilities Expenses in Europe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You will be responsible for housing related expenses in the Netherlands and in any country in which your family sets residency.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Car</w:t>
      </w:r>
    </w:p>
    <w:p>
      <w:pPr>
        <w:spacing w:after="0" w:line="1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22222"/>
        </w:rPr>
        <w:t xml:space="preserve">You will receive a monthly car allowance of up to €1,648. Details of the car program will be presented to you by the HR team in the Netherlands. </w:t>
      </w:r>
      <w:r>
        <w:rPr>
          <w:rFonts w:ascii="Arial" w:cs="Arial" w:eastAsia="Arial" w:hAnsi="Arial"/>
          <w:sz w:val="20"/>
          <w:szCs w:val="20"/>
          <w:color w:val="000000"/>
        </w:rPr>
        <w:t>Tax obligations that may result from this benefit will be your responsibility.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Compliance</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After localizing in the Netherlands, you shall be responsible for income tax liability on all items of compensation mentioned in this letter, unless otherwise specified.</w:t>
      </w:r>
    </w:p>
    <w:p>
      <w:pPr>
        <w:spacing w:after="0" w:line="20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Income and social tax obligations resulting from trailing liabilities such as bonus and equity compensation that was earned before or during your assignment to Hong Kong will be tax protected. In other words, you will be responsible for the lower of 1) the actual Dutch, French and Hong Kong taxes, plus any other country which is a result of your Avery Dennison employment, or 2) your French Hypothetical tax obligation. If applicable, the company will be responsible for the difference if your French Hypothetical is greater than the actual. Any additional tax burdens outside of these countries not resulting from Company employment obligations will be your sole responsibility.</w:t>
      </w:r>
    </w:p>
    <w:p>
      <w:pPr>
        <w:spacing w:after="0" w:line="20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You will be required to comply with the income tax filing obligations in the current and new home countries. The Company will pay the cost of Deloitte to assist in preparing the individual income tax return(s) in both the current and new home countries for 2016 and up to two (2) more tax filing years after localization. This cost will not be covered by the Company should you choose to use a different provider than the one designated by the Company. Tax returns for anyone other than you (your spouse, children, etc.) will not be covered by the Company. The Company will pay any applicable income tax due on this benefit.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Orientation</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222222"/>
        </w:rPr>
        <w:t>The Company’s tax provider will conduct a tax orientation. The tax orientation is typically conducted via telephone and takes approximately one hour. Deloitte will review and discuss a Company pre-approved list of items such as tax filing obligations, withholding obligations, etc. Please note that the tax provider is not authorized to provide any tax planning assistance or consulting. The Company will pay any applicable income taxes due on this benefit</w:t>
      </w:r>
      <w:r>
        <w:rPr>
          <w:rFonts w:ascii="Arial" w:cs="Arial" w:eastAsia="Arial" w:hAnsi="Arial"/>
          <w:sz w:val="20"/>
          <w:szCs w:val="20"/>
          <w:color w:val="000000"/>
        </w:rPr>
        <w:t>. The company will reimburse you for up to</w:t>
      </w:r>
      <w:r>
        <w:rPr>
          <w:rFonts w:ascii="Arial" w:cs="Arial" w:eastAsia="Arial" w:hAnsi="Arial"/>
          <w:sz w:val="20"/>
          <w:szCs w:val="20"/>
          <w:color w:val="222222"/>
        </w:rPr>
        <w:t xml:space="preserve"> </w:t>
      </w:r>
      <w:r>
        <w:rPr>
          <w:rFonts w:ascii="Arial" w:cs="Arial" w:eastAsia="Arial" w:hAnsi="Arial"/>
          <w:sz w:val="20"/>
          <w:szCs w:val="20"/>
          <w:color w:val="000000"/>
        </w:rPr>
        <w:t xml:space="preserve">USD15,000 paid in Euros per year for financial planning. </w:t>
      </w:r>
      <w:r>
        <w:rPr>
          <w:rFonts w:ascii="Arial" w:cs="Arial" w:eastAsia="Arial" w:hAnsi="Arial"/>
          <w:sz w:val="20"/>
          <w:szCs w:val="20"/>
          <w:color w:val="222222"/>
        </w:rPr>
        <w:t>Any additional service may be provided at your own expense.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You will be covered by the Company’s Executive Severance Plan, which includes a year’s base salary, the highest AIP bonus payment received within prior three years, and the cash equivalent of twelve months benefit premiums (employee and employer portion), the sum of which are subject to a 1X multiplier, per the plan. In addition, you will be covered under the Company’s Key Executive Change Of Control Plan, which includes a year’s base salary, the highest AIP bonus payment received within prior three years, a prorated AIP bonus for year in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which COC occurs, and the cash equivalent of twelve months benefit premiums (employees and employer portion), the sum of which is subject to a 2X multiplier, per the plan. This information provided to you in summary form for your reference only, and all policies, rules and guidelines are subject to the terms and conditions of the applicable plans.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Relocation Support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the relocation support you will receive. Details of the relocation will be provided in a separate document.</w:t>
      </w:r>
    </w:p>
    <w:p>
      <w:pPr>
        <w:sectPr>
          <w:pgSz w:w="11900" w:h="16838" w:orient="portrait"/>
          <w:cols w:equalWidth="0" w:num="1">
            <w:col w:w="11420"/>
          </w:cols>
          <w:pgMar w:left="240" w:top="135" w:right="239" w:bottom="0" w:gutter="0" w:footer="0" w:header="0"/>
        </w:sectPr>
      </w:pPr>
    </w:p>
    <w:bookmarkStart w:id="29" w:name="page30"/>
    <w:bookmarkEnd w:id="29"/>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222222"/>
        </w:rPr>
        <w:t>Relocation allowance equivalent of USD25,000 paid in Euros</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222222"/>
        </w:rPr>
        <w:t>60 days temporary housing, 30 days temporary transportation</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222222"/>
        </w:rPr>
        <w:t>Destination services assistance to include house hunting and school search if required.</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222222"/>
        </w:rPr>
        <w:t>Relocation airfare for you and your family</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222222"/>
        </w:rPr>
        <w:t>Shipping of household goods</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222222"/>
        </w:rPr>
        <w:t>Hong Kong Departure Services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Localization Process and Administration</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Avery Dennison will pay for the services of TheMIGroup to administer all aspects of your localization and you will be contacted by your Relocation Manager of TheMIGroup for a localization briefing call. The Company will pay any applicable income tax due on this benefit.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 Anne Hill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Anne Hill</w:t>
      </w:r>
    </w:p>
    <w:p>
      <w:pPr>
        <w:spacing w:after="0"/>
        <w:rPr>
          <w:sz w:val="20"/>
          <w:szCs w:val="20"/>
          <w:color w:val="auto"/>
        </w:rPr>
      </w:pPr>
      <w:r>
        <w:rPr>
          <w:rFonts w:ascii="Arial" w:cs="Arial" w:eastAsia="Arial" w:hAnsi="Arial"/>
          <w:sz w:val="20"/>
          <w:szCs w:val="20"/>
          <w:color w:val="auto"/>
        </w:rPr>
        <w:t>Sr VP and Chief HR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Georges Gravanis</w:t>
            </w:r>
          </w:p>
        </w:tc>
        <w:tc>
          <w:tcPr>
            <w:tcW w:w="6800" w:type="dxa"/>
            <w:vAlign w:val="bottom"/>
            <w:tcBorders>
              <w:bottom w:val="single" w:sz="8" w:color="auto"/>
            </w:tcBorders>
          </w:tcPr>
          <w:p>
            <w:pPr>
              <w:jc w:val="right"/>
              <w:ind w:right="3381"/>
              <w:spacing w:after="0"/>
              <w:rPr>
                <w:sz w:val="20"/>
                <w:szCs w:val="20"/>
                <w:color w:val="auto"/>
              </w:rPr>
            </w:pPr>
            <w:r>
              <w:rPr>
                <w:rFonts w:ascii="Arial" w:cs="Arial" w:eastAsia="Arial" w:hAnsi="Arial"/>
                <w:sz w:val="20"/>
                <w:szCs w:val="20"/>
                <w:color w:val="auto"/>
              </w:rPr>
              <w:t>6/2/16</w:t>
            </w:r>
          </w:p>
        </w:tc>
      </w:tr>
      <w:tr>
        <w:trPr>
          <w:trHeight w:val="231"/>
        </w:trPr>
        <w:tc>
          <w:tcPr>
            <w:tcW w:w="4620" w:type="dxa"/>
            <w:vAlign w:val="bottom"/>
          </w:tcPr>
          <w:p>
            <w:pPr>
              <w:spacing w:after="0"/>
              <w:rPr>
                <w:sz w:val="20"/>
                <w:szCs w:val="20"/>
                <w:color w:val="auto"/>
              </w:rPr>
            </w:pPr>
            <w:r>
              <w:rPr>
                <w:rFonts w:ascii="Arial" w:cs="Arial" w:eastAsia="Arial" w:hAnsi="Arial"/>
                <w:sz w:val="20"/>
                <w:szCs w:val="20"/>
                <w:color w:val="auto"/>
              </w:rPr>
              <w:t>Georges Gravanis</w:t>
            </w:r>
          </w:p>
        </w:tc>
        <w:tc>
          <w:tcPr>
            <w:tcW w:w="6800" w:type="dxa"/>
            <w:vAlign w:val="bottom"/>
          </w:tcPr>
          <w:p>
            <w:pPr>
              <w:jc w:val="right"/>
              <w:ind w:right="3061"/>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Cc :</w:t>
      </w:r>
      <w:r>
        <w:rPr>
          <w:sz w:val="20"/>
          <w:szCs w:val="20"/>
          <w:color w:val="auto"/>
        </w:rPr>
        <w:tab/>
      </w:r>
      <w:r>
        <w:rPr>
          <w:rFonts w:ascii="Arial" w:cs="Arial" w:eastAsia="Arial" w:hAnsi="Arial"/>
          <w:sz w:val="19"/>
          <w:szCs w:val="19"/>
          <w:color w:val="auto"/>
        </w:rPr>
        <w:t>Mark Alders</w:t>
      </w:r>
    </w:p>
    <w:p>
      <w:pPr>
        <w:ind w:left="680"/>
        <w:spacing w:after="0" w:line="225" w:lineRule="auto"/>
        <w:rPr>
          <w:sz w:val="20"/>
          <w:szCs w:val="20"/>
          <w:color w:val="auto"/>
        </w:rPr>
      </w:pPr>
      <w:r>
        <w:rPr>
          <w:rFonts w:ascii="Arial" w:cs="Arial" w:eastAsia="Arial" w:hAnsi="Arial"/>
          <w:sz w:val="20"/>
          <w:szCs w:val="20"/>
          <w:color w:val="auto"/>
        </w:rPr>
        <w:t>LeeAnn Prussak</w:t>
      </w:r>
    </w:p>
    <w:p>
      <w:pPr>
        <w:ind w:left="680"/>
        <w:spacing w:after="0"/>
        <w:rPr>
          <w:sz w:val="20"/>
          <w:szCs w:val="20"/>
          <w:color w:val="auto"/>
        </w:rPr>
      </w:pPr>
      <w:r>
        <w:rPr>
          <w:rFonts w:ascii="Arial" w:cs="Arial" w:eastAsia="Arial" w:hAnsi="Arial"/>
          <w:sz w:val="20"/>
          <w:szCs w:val="20"/>
          <w:color w:val="auto"/>
        </w:rPr>
        <w:t>Jessica Del Rio</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AVERY DENNISON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0"/>
                <w:szCs w:val="20"/>
                <w:color w:val="auto"/>
              </w:rPr>
            </w:pPr>
          </w:p>
        </w:tc>
        <w:tc>
          <w:tcPr>
            <w:tcW w:w="270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4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July 2, 2016</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July 4, 2015</w:t>
            </w:r>
          </w:p>
        </w:tc>
        <w:tc>
          <w:tcPr>
            <w:tcW w:w="14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July 2, 2016</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July 4, 2015</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line="216" w:lineRule="exact"/>
              <w:rPr>
                <w:sz w:val="20"/>
                <w:szCs w:val="20"/>
                <w:color w:val="auto"/>
              </w:rPr>
            </w:pPr>
            <w:r>
              <w:rPr>
                <w:rFonts w:ascii="Arial" w:cs="Arial" w:eastAsia="Arial" w:hAnsi="Arial"/>
                <w:sz w:val="18"/>
                <w:szCs w:val="18"/>
                <w:color w:val="auto"/>
              </w:rPr>
              <w:t>Income from continuing operations before taxes</w:t>
            </w:r>
            <w:r>
              <w:rPr>
                <w:rFonts w:ascii="Arial" w:cs="Arial" w:eastAsia="Arial" w:hAnsi="Arial"/>
                <w:sz w:val="23"/>
                <w:szCs w:val="23"/>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99.3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222.8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201.3</w:t>
            </w:r>
          </w:p>
        </w:tc>
      </w:tr>
      <w:tr>
        <w:trPr>
          <w:trHeight w:val="216"/>
        </w:trPr>
        <w:tc>
          <w:tcPr>
            <w:tcW w:w="50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Add: Fixed charges</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16"/>
        </w:trPr>
        <w:tc>
          <w:tcPr>
            <w:tcW w:w="5000" w:type="dxa"/>
            <w:vAlign w:val="bottom"/>
          </w:tcPr>
          <w:p>
            <w:pPr>
              <w:ind w:left="600"/>
              <w:spacing w:after="0"/>
              <w:rPr>
                <w:sz w:val="20"/>
                <w:szCs w:val="20"/>
                <w:color w:val="auto"/>
              </w:rPr>
            </w:pPr>
            <w:r>
              <w:rPr>
                <w:rFonts w:ascii="Arial" w:cs="Arial" w:eastAsia="Arial" w:hAnsi="Arial"/>
                <w:sz w:val="18"/>
                <w:szCs w:val="18"/>
                <w:color w:val="auto"/>
              </w:rPr>
              <w:t>Amortization of capitalized interest</w:t>
            </w:r>
          </w:p>
        </w:tc>
        <w:tc>
          <w:tcPr>
            <w:tcW w:w="42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Capitalized interest</w:t>
            </w: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5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120.9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123.6</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265.9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246.0</w:t>
            </w:r>
          </w:p>
        </w:tc>
      </w:tr>
      <w:tr>
        <w:trPr>
          <w:trHeight w:val="216"/>
        </w:trPr>
        <w:tc>
          <w:tcPr>
            <w:tcW w:w="50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Fixed charges:</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15.4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30.7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interest</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Interest portion of leases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17"/>
        </w:trPr>
        <w:tc>
          <w:tcPr>
            <w:tcW w:w="5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21.3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23"/>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Ratio of Earnings to Fixed Charges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bl>
    <w:p>
      <w:pPr>
        <w:spacing w:after="0" w:line="206" w:lineRule="exact"/>
        <w:rPr>
          <w:sz w:val="20"/>
          <w:szCs w:val="20"/>
          <w:color w:val="auto"/>
        </w:rPr>
      </w:pPr>
    </w:p>
    <w:p>
      <w:pPr>
        <w:jc w:val="both"/>
        <w:ind w:left="180" w:hanging="172"/>
        <w:spacing w:after="0" w:line="250" w:lineRule="auto"/>
        <w:tabs>
          <w:tab w:leader="none" w:pos="184"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 ratios of earnings to fixed charges were computed by dividing earnings by fixed charges. For this purpose, “earnings” consist of income from continuing operations before taxes plus fixed charges and amortization of capitalized interest, less capitalized interest. “Fixed charges” consist of interest expense, capitalized interest and the portion of rent expense (estimated to be 35%) on operating leases deemed representative of interest.</w:t>
      </w:r>
    </w:p>
    <w:p>
      <w:pPr>
        <w:ind w:left="160" w:hanging="152"/>
        <w:spacing w:after="0" w:line="234"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Certain prior period amounts have been revised to reflect the impact of adjustments made in the third quarter of 2015 to certain benefit plan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Mitchell R. Butier, certify that:</w:t>
      </w:r>
    </w:p>
    <w:p>
      <w:pPr>
        <w:spacing w:after="0" w:line="230"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 have reviewed this quarterly report on Form 10-Q of Avery Dennison Corporation;</w:t>
      </w:r>
    </w:p>
    <w:p>
      <w:pPr>
        <w:spacing w:after="0" w:line="228" w:lineRule="exact"/>
        <w:rPr>
          <w:rFonts w:ascii="Arial" w:cs="Arial" w:eastAsia="Arial" w:hAnsi="Arial"/>
          <w:sz w:val="22"/>
          <w:szCs w:val="22"/>
          <w:color w:val="auto"/>
        </w:rPr>
      </w:pPr>
    </w:p>
    <w:p>
      <w:pPr>
        <w:ind w:left="260" w:right="200" w:hanging="252"/>
        <w:spacing w:after="0" w:line="297" w:lineRule="auto"/>
        <w:tabs>
          <w:tab w:leader="none" w:pos="219" w:val="left"/>
        </w:tabs>
        <w:numPr>
          <w:ilvl w:val="0"/>
          <w:numId w:val="18"/>
        </w:numPr>
        <w:rPr>
          <w:rFonts w:ascii="Arial" w:cs="Arial" w:eastAsia="Arial" w:hAnsi="Arial"/>
          <w:sz w:val="19"/>
          <w:szCs w:val="19"/>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9"/>
          <w:szCs w:val="19"/>
          <w:color w:val="auto"/>
        </w:rPr>
      </w:pPr>
    </w:p>
    <w:p>
      <w:pPr>
        <w:ind w:left="260" w:right="20" w:hanging="252"/>
        <w:spacing w:after="0" w:line="232" w:lineRule="auto"/>
        <w:tabs>
          <w:tab w:leader="none" w:pos="219" w:val="left"/>
        </w:tabs>
        <w:numPr>
          <w:ilvl w:val="0"/>
          <w:numId w:val="18"/>
        </w:numPr>
        <w:rPr>
          <w:rFonts w:ascii="Arial" w:cs="Arial" w:eastAsia="Arial" w:hAnsi="Arial"/>
          <w:sz w:val="22"/>
          <w:szCs w:val="22"/>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Arial" w:cs="Arial" w:eastAsia="Arial" w:hAnsi="Arial"/>
          <w:sz w:val="22"/>
          <w:szCs w:val="22"/>
          <w:color w:val="auto"/>
        </w:rPr>
      </w:pPr>
    </w:p>
    <w:p>
      <w:pPr>
        <w:ind w:left="260" w:right="20" w:hanging="252"/>
        <w:spacing w:after="0" w:line="238" w:lineRule="auto"/>
        <w:tabs>
          <w:tab w:leader="none" w:pos="219"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22"/>
          <w:szCs w:val="22"/>
          <w:color w:val="auto"/>
        </w:rPr>
      </w:pPr>
    </w:p>
    <w:p>
      <w:pPr>
        <w:ind w:left="500" w:right="280" w:hanging="249"/>
        <w:spacing w:after="0" w:line="238" w:lineRule="auto"/>
        <w:tabs>
          <w:tab w:leader="none" w:pos="465" w:val="left"/>
        </w:tabs>
        <w:numPr>
          <w:ilvl w:val="1"/>
          <w:numId w:val="18"/>
        </w:numPr>
        <w:rPr>
          <w:rFonts w:ascii="Arial" w:cs="Arial" w:eastAsia="Arial" w:hAnsi="Arial"/>
          <w:sz w:val="22"/>
          <w:szCs w:val="22"/>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22"/>
          <w:szCs w:val="22"/>
          <w:color w:val="auto"/>
        </w:rPr>
      </w:pPr>
    </w:p>
    <w:p>
      <w:pPr>
        <w:ind w:left="500" w:right="60" w:hanging="249"/>
        <w:spacing w:after="0" w:line="238" w:lineRule="auto"/>
        <w:tabs>
          <w:tab w:leader="none" w:pos="477" w:val="left"/>
        </w:tabs>
        <w:numPr>
          <w:ilvl w:val="1"/>
          <w:numId w:val="18"/>
        </w:numPr>
        <w:rPr>
          <w:rFonts w:ascii="Arial" w:cs="Arial" w:eastAsia="Arial" w:hAnsi="Arial"/>
          <w:sz w:val="22"/>
          <w:szCs w:val="22"/>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22"/>
          <w:szCs w:val="22"/>
          <w:color w:val="auto"/>
        </w:rPr>
      </w:pPr>
    </w:p>
    <w:p>
      <w:pPr>
        <w:ind w:left="500" w:right="120" w:hanging="249"/>
        <w:spacing w:after="0" w:line="251" w:lineRule="auto"/>
        <w:tabs>
          <w:tab w:leader="none" w:pos="465" w:val="left"/>
        </w:tabs>
        <w:numPr>
          <w:ilvl w:val="1"/>
          <w:numId w:val="18"/>
        </w:numPr>
        <w:rPr>
          <w:rFonts w:ascii="Arial" w:cs="Arial" w:eastAsia="Arial" w:hAnsi="Arial"/>
          <w:sz w:val="21"/>
          <w:szCs w:val="21"/>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8" w:lineRule="exact"/>
        <w:rPr>
          <w:rFonts w:ascii="Arial" w:cs="Arial" w:eastAsia="Arial" w:hAnsi="Arial"/>
          <w:sz w:val="21"/>
          <w:szCs w:val="21"/>
          <w:color w:val="auto"/>
        </w:rPr>
      </w:pPr>
    </w:p>
    <w:p>
      <w:pPr>
        <w:ind w:left="500" w:right="100" w:hanging="249"/>
        <w:spacing w:after="0" w:line="238" w:lineRule="auto"/>
        <w:tabs>
          <w:tab w:leader="none" w:pos="464" w:val="left"/>
        </w:tabs>
        <w:numPr>
          <w:ilvl w:val="1"/>
          <w:numId w:val="18"/>
        </w:numPr>
        <w:rPr>
          <w:rFonts w:ascii="Arial" w:cs="Arial" w:eastAsia="Arial" w:hAnsi="Arial"/>
          <w:sz w:val="22"/>
          <w:szCs w:val="22"/>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22"/>
          <w:szCs w:val="22"/>
          <w:color w:val="auto"/>
        </w:rPr>
      </w:pPr>
    </w:p>
    <w:p>
      <w:pPr>
        <w:ind w:left="260" w:right="440" w:hanging="252"/>
        <w:spacing w:after="0" w:line="251" w:lineRule="auto"/>
        <w:tabs>
          <w:tab w:leader="none" w:pos="219" w:val="left"/>
        </w:tabs>
        <w:numPr>
          <w:ilvl w:val="0"/>
          <w:numId w:val="18"/>
        </w:numPr>
        <w:rPr>
          <w:rFonts w:ascii="Arial" w:cs="Arial" w:eastAsia="Arial" w:hAnsi="Arial"/>
          <w:sz w:val="21"/>
          <w:szCs w:val="21"/>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8" w:lineRule="exact"/>
        <w:rPr>
          <w:rFonts w:ascii="Arial" w:cs="Arial" w:eastAsia="Arial" w:hAnsi="Arial"/>
          <w:sz w:val="21"/>
          <w:szCs w:val="21"/>
          <w:color w:val="auto"/>
        </w:rPr>
      </w:pPr>
    </w:p>
    <w:p>
      <w:pPr>
        <w:ind w:left="500" w:right="60" w:hanging="249"/>
        <w:spacing w:after="0" w:line="232" w:lineRule="auto"/>
        <w:tabs>
          <w:tab w:leader="none" w:pos="465" w:val="left"/>
        </w:tabs>
        <w:numPr>
          <w:ilvl w:val="1"/>
          <w:numId w:val="18"/>
        </w:numPr>
        <w:rPr>
          <w:rFonts w:ascii="Arial" w:cs="Arial" w:eastAsia="Arial" w:hAnsi="Arial"/>
          <w:sz w:val="22"/>
          <w:szCs w:val="22"/>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Arial" w:cs="Arial" w:eastAsia="Arial" w:hAnsi="Arial"/>
          <w:sz w:val="22"/>
          <w:szCs w:val="22"/>
          <w:color w:val="auto"/>
        </w:rPr>
      </w:pPr>
    </w:p>
    <w:p>
      <w:pPr>
        <w:ind w:left="500" w:right="280" w:hanging="249"/>
        <w:spacing w:after="0" w:line="232" w:lineRule="auto"/>
        <w:tabs>
          <w:tab w:leader="none" w:pos="477" w:val="left"/>
        </w:tabs>
        <w:numPr>
          <w:ilvl w:val="1"/>
          <w:numId w:val="18"/>
        </w:numPr>
        <w:rPr>
          <w:rFonts w:ascii="Arial" w:cs="Arial" w:eastAsia="Arial" w:hAnsi="Arial"/>
          <w:sz w:val="22"/>
          <w:szCs w:val="22"/>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225"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40" w:hanging="249"/>
        <w:spacing w:after="0" w:line="264" w:lineRule="auto"/>
        <w:tabs>
          <w:tab w:leader="none" w:pos="4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 w:hanging="249"/>
        <w:spacing w:after="0" w:line="264" w:lineRule="auto"/>
        <w:tabs>
          <w:tab w:leader="none" w:pos="5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80" w:hanging="249"/>
        <w:spacing w:after="0" w:line="308" w:lineRule="auto"/>
        <w:tabs>
          <w:tab w:leader="none" w:pos="505"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00" w:right="100" w:hanging="249"/>
        <w:spacing w:after="0" w:line="264" w:lineRule="auto"/>
        <w:tabs>
          <w:tab w:leader="none" w:pos="5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40" w:hanging="249"/>
        <w:spacing w:after="0" w:line="277" w:lineRule="auto"/>
        <w:tabs>
          <w:tab w:leader="none" w:pos="4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60" w:hanging="249"/>
        <w:spacing w:after="0" w:line="277" w:lineRule="auto"/>
        <w:tabs>
          <w:tab w:leader="none" w:pos="5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0" w:lineRule="exact"/>
        <w:rPr>
          <w:sz w:val="20"/>
          <w:szCs w:val="20"/>
          <w:color w:val="auto"/>
        </w:rPr>
      </w:pPr>
    </w:p>
    <w:p>
      <w:pPr>
        <w:ind w:left="1300" w:right="660" w:hanging="644"/>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July 2, 2016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1300" w:right="5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her knowledge, that:</w:t>
      </w:r>
    </w:p>
    <w:p>
      <w:pPr>
        <w:spacing w:after="0" w:line="170" w:lineRule="exact"/>
        <w:rPr>
          <w:sz w:val="20"/>
          <w:szCs w:val="20"/>
          <w:color w:val="auto"/>
        </w:rPr>
      </w:pPr>
    </w:p>
    <w:p>
      <w:pPr>
        <w:ind w:left="1300" w:right="660" w:hanging="644"/>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July 2, 2016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1300" w:right="5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Anne L. Bramman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Anne L. Bramman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2019-12-29T11:35:31Z</dcterms:created>
  <dcterms:modified xsi:type="dcterms:W3CDTF">2019-12-29T11:35:31Z</dcterms:modified>
</cp:coreProperties>
</file>