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UNITED STATES 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6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transition period from ________________________ to ________________________</w:t>
      </w:r>
    </w:p>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Commission file number 1-7685</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AVERY DENNISON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6085" w:type="dxa"/>
        <w:jc w:val="left"/>
        <w:tblInd w:w="0" w:type="dxa"/>
        <w:tblLayout w:type="fixed"/>
        <w:tblCellMar>
          <w:top w:w="28" w:type="dxa"/>
          <w:left w:w="28" w:type="dxa"/>
          <w:bottom w:w="28" w:type="dxa"/>
          <w:right w:w="28" w:type="dxa"/>
        </w:tblCellMar>
      </w:tblPr>
      <w:tblGrid>
        <w:gridCol w:w="1295"/>
        <w:gridCol w:w="1139"/>
        <w:gridCol w:w="1150"/>
        <w:gridCol w:w="109"/>
        <w:gridCol w:w="109"/>
        <w:gridCol w:w="109"/>
        <w:gridCol w:w="635"/>
        <w:gridCol w:w="635"/>
        <w:gridCol w:w="904"/>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95-1492269</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8080 Norton Parkway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Mentor,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44060</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6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 (440) 534-6000</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16" w:type="dxa"/>
        <w:jc w:val="left"/>
        <w:tblInd w:w="0" w:type="dxa"/>
        <w:tblLayout w:type="fixed"/>
        <w:tblCellMar>
          <w:top w:w="28" w:type="dxa"/>
          <w:left w:w="28" w:type="dxa"/>
          <w:bottom w:w="28" w:type="dxa"/>
          <w:right w:w="28" w:type="dxa"/>
        </w:tblCellMar>
      </w:tblPr>
      <w:tblGrid>
        <w:gridCol w:w="830"/>
        <w:gridCol w:w="727"/>
        <w:gridCol w:w="737"/>
        <w:gridCol w:w="109"/>
        <w:gridCol w:w="109"/>
        <w:gridCol w:w="109"/>
        <w:gridCol w:w="484"/>
        <w:gridCol w:w="484"/>
        <w:gridCol w:w="486"/>
        <w:gridCol w:w="109"/>
        <w:gridCol w:w="109"/>
        <w:gridCol w:w="109"/>
        <w:gridCol w:w="970"/>
        <w:gridCol w:w="970"/>
        <w:gridCol w:w="1374"/>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3.750%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AVY34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4.000% Senior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AVY35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w:t>
            </w:r>
          </w:p>
        </w:tc>
      </w:tr>
    </w:tbl>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36"/>
        <w:gridCol w:w="558"/>
        <w:gridCol w:w="560"/>
        <w:gridCol w:w="109"/>
        <w:gridCol w:w="109"/>
        <w:gridCol w:w="109"/>
        <w:gridCol w:w="457"/>
        <w:gridCol w:w="457"/>
        <w:gridCol w:w="459"/>
        <w:gridCol w:w="109"/>
        <w:gridCol w:w="109"/>
        <w:gridCol w:w="109"/>
        <w:gridCol w:w="562"/>
        <w:gridCol w:w="562"/>
        <w:gridCol w:w="564"/>
        <w:gridCol w:w="109"/>
        <w:gridCol w:w="109"/>
        <w:gridCol w:w="109"/>
        <w:gridCol w:w="667"/>
        <w:gridCol w:w="667"/>
        <w:gridCol w:w="670"/>
        <w:gridCol w:w="109"/>
        <w:gridCol w:w="109"/>
        <w:gridCol w:w="109"/>
        <w:gridCol w:w="605"/>
        <w:gridCol w:w="605"/>
        <w:gridCol w:w="868"/>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Emerging growth company</w:t>
            </w:r>
          </w:p>
        </w:tc>
      </w:tr>
    </w:tbl>
    <w:p>
      <w:pPr>
        <w:pStyle w:val="TextBody"/>
        <w:bidi w:val="0"/>
        <w:spacing w:lineRule="auto" w:line="288" w:before="16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Number of shares of $1 par value common stock outstanding as of August 1, 2026: 75,788,142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AVERY DENNISON CORPORATION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FISCAL SECOND QUARTER 2026 QUARTERLY REPORT ON FORM 10-Q</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754"/>
        <w:gridCol w:w="617"/>
        <w:gridCol w:w="617"/>
        <w:gridCol w:w="2647"/>
        <w:gridCol w:w="2509"/>
        <w:gridCol w:w="2546"/>
        <w:gridCol w:w="149"/>
        <w:gridCol w:w="149"/>
        <w:gridCol w:w="217"/>
      </w:tblGrid>
      <w:tr>
        <w:trPr/>
        <w:tc>
          <w:tcPr>
            <w:tcW w:w="7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
              <w:r>
                <w:rPr>
                  <w:rStyle w:val="InternetLink"/>
                  <w:rFonts w:ascii="Times New Roman;serif" w:hAnsi="Times New Roman;serif"/>
                  <w:b/>
                  <w:color w:val="0000FF"/>
                  <w:sz w:val="18"/>
                  <w:u w:val="single"/>
                </w:rPr>
                <w:t>SAFE HARBOR STATEMENT</w:t>
              </w:r>
            </w:hyperlink>
          </w:p>
        </w:tc>
        <w:tc>
          <w:tcPr>
            <w:tcW w:w="51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0e852aaa534ea98ef0185fdbfb2482_10">
              <w:r>
                <w:rPr>
                  <w:rStyle w:val="InternetLink"/>
                  <w:rFonts w:ascii="Times New Roman;serif" w:hAnsi="Times New Roman;serif"/>
                  <w:b w:val="false"/>
                  <w:strike w:val="false"/>
                  <w:dstrike w:val="false"/>
                  <w:color w:val="000000"/>
                  <w:sz w:val="1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
              <w:r>
                <w:rPr>
                  <w:rStyle w:val="InternetLink"/>
                  <w:rFonts w:ascii="Times New Roman;serif" w:hAnsi="Times New Roman;serif"/>
                  <w:b/>
                  <w:color w:val="0000FF"/>
                  <w:sz w:val="18"/>
                  <w:u w:val="single"/>
                </w:rPr>
                <w:t>PART I. FINANCIAL INFORMATION (UNAUDITED)</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6">
              <w:r>
                <w:rPr>
                  <w:rStyle w:val="InternetLink"/>
                  <w:rFonts w:ascii="Times New Roman;serif" w:hAnsi="Times New Roman;serif"/>
                  <w:b w:val="false"/>
                  <w:strike w:val="false"/>
                  <w:dstrike w:val="false"/>
                  <w:color w:val="000000"/>
                  <w:sz w:val="18"/>
                  <w:u w:val="none"/>
                  <w:effect w:val="none"/>
                </w:rPr>
                <w:t>Item 1.</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6">
              <w:r>
                <w:rPr>
                  <w:rStyle w:val="InternetLink"/>
                  <w:rFonts w:ascii="Times New Roman;serif" w:hAnsi="Times New Roman;serif"/>
                  <w:b w:val="false"/>
                  <w:color w:val="0000FF"/>
                  <w:sz w:val="18"/>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9">
              <w:r>
                <w:rPr>
                  <w:rStyle w:val="InternetLink"/>
                  <w:rFonts w:ascii="Times New Roman;serif" w:hAnsi="Times New Roman;serif"/>
                  <w:b w:val="false"/>
                  <w:color w:val="000080"/>
                  <w:sz w:val="18"/>
                  <w:u w:val="single"/>
                </w:rPr>
                <w:t>Condensed Consolidated Balance Sheets as of</w:t>
              </w:r>
            </w:hyperlink>
            <w:hyperlink w:anchor="ia30e852aaa534ea98ef0185fdbfb2482_19">
              <w:r>
                <w:rPr>
                  <w:rStyle w:val="InternetLink"/>
                  <w:rFonts w:ascii="Times New Roman;serif" w:hAnsi="Times New Roman;serif"/>
                  <w:b w:val="false"/>
                  <w:color w:val="000080"/>
                  <w:sz w:val="18"/>
                  <w:u w:val="single"/>
                </w:rPr>
                <w:t xml:space="preserve"> June</w:t>
              </w:r>
            </w:hyperlink>
            <w:hyperlink w:anchor="ia30e852aaa534ea98ef0185fdbfb2482_19">
              <w:r>
                <w:rPr>
                  <w:rStyle w:val="InternetLink"/>
                  <w:rFonts w:ascii="Times New Roman;serif" w:hAnsi="Times New Roman;serif"/>
                  <w:b w:val="false"/>
                  <w:color w:val="000080"/>
                  <w:sz w:val="18"/>
                  <w:u w:val="single"/>
                </w:rPr>
                <w:t xml:space="preserve"> </w:t>
              </w:r>
            </w:hyperlink>
            <w:hyperlink w:anchor="ia30e852aaa534ea98ef0185fdbfb2482_19">
              <w:r>
                <w:rPr>
                  <w:rStyle w:val="InternetLink"/>
                  <w:rFonts w:ascii="Times New Roman;serif" w:hAnsi="Times New Roman;serif"/>
                  <w:b w:val="false"/>
                  <w:color w:val="000080"/>
                  <w:sz w:val="18"/>
                  <w:u w:val="single"/>
                </w:rPr>
                <w:t>30</w:t>
              </w:r>
            </w:hyperlink>
            <w:hyperlink w:anchor="ia30e852aaa534ea98ef0185fdbfb2482_19">
              <w:r>
                <w:rPr>
                  <w:rStyle w:val="InternetLink"/>
                  <w:rFonts w:ascii="Times New Roman;serif" w:hAnsi="Times New Roman;serif"/>
                  <w:b w:val="false"/>
                  <w:color w:val="000080"/>
                  <w:sz w:val="18"/>
                  <w:u w:val="single"/>
                </w:rPr>
                <w:t>,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9">
              <w:r>
                <w:rPr>
                  <w:rStyle w:val="InternetLink"/>
                  <w:rFonts w:ascii="Times New Roman;serif" w:hAnsi="Times New Roman;serif"/>
                  <w:b w:val="false"/>
                  <w:strike w:val="false"/>
                  <w:dstrike w:val="false"/>
                  <w:color w:val="000000"/>
                  <w:sz w:val="1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22">
              <w:r>
                <w:rPr>
                  <w:rStyle w:val="InternetLink"/>
                  <w:rFonts w:ascii="Times New Roman;serif" w:hAnsi="Times New Roman;serif"/>
                  <w:b w:val="false"/>
                  <w:color w:val="000080"/>
                  <w:sz w:val="18"/>
                  <w:u w:val="single"/>
                </w:rPr>
                <w:t xml:space="preserve">Condensed Consolidated Statements of Income for the Three </w:t>
              </w:r>
            </w:hyperlink>
            <w:hyperlink w:anchor="ia30e852aaa534ea98ef0185fdbfb2482_22">
              <w:r>
                <w:rPr>
                  <w:rStyle w:val="InternetLink"/>
                  <w:rFonts w:ascii="Times New Roman;serif" w:hAnsi="Times New Roman;serif"/>
                  <w:b w:val="false"/>
                  <w:color w:val="000080"/>
                  <w:sz w:val="18"/>
                  <w:u w:val="single"/>
                </w:rPr>
                <w:t xml:space="preserve">and Six </w:t>
              </w:r>
            </w:hyperlink>
            <w:hyperlink w:anchor="ia30e852aaa534ea98ef0185fdbfb2482_22">
              <w:r>
                <w:rPr>
                  <w:rStyle w:val="InternetLink"/>
                  <w:rFonts w:ascii="Times New Roman;serif" w:hAnsi="Times New Roman;serif"/>
                  <w:b w:val="false"/>
                  <w:color w:val="000080"/>
                  <w:sz w:val="18"/>
                  <w:u w:val="single"/>
                </w:rPr>
                <w:t xml:space="preserve">Months Ended </w:t>
              </w:r>
            </w:hyperlink>
            <w:hyperlink w:anchor="ia30e852aaa534ea98ef0185fdbfb2482_22">
              <w:r>
                <w:rPr>
                  <w:rStyle w:val="InternetLink"/>
                  <w:rFonts w:ascii="Times New Roman;serif" w:hAnsi="Times New Roman;serif"/>
                  <w:b w:val="false"/>
                  <w:color w:val="000080"/>
                  <w:sz w:val="18"/>
                  <w:u w:val="single"/>
                </w:rPr>
                <w:t>June 30</w:t>
              </w:r>
            </w:hyperlink>
            <w:hyperlink w:anchor="ia30e852aaa534ea98ef0185fdbfb2482_22">
              <w:r>
                <w:rPr>
                  <w:rStyle w:val="InternetLink"/>
                  <w:rFonts w:ascii="Times New Roman;serif" w:hAnsi="Times New Roman;serif"/>
                  <w:b w:val="false"/>
                  <w:color w:val="000080"/>
                  <w:sz w:val="18"/>
                  <w:u w:val="single"/>
                </w:rPr>
                <w:t xml:space="preserve">, 2026 and </w:t>
              </w:r>
            </w:hyperlink>
            <w:hyperlink w:anchor="ia30e852aaa534ea98ef0185fdbfb2482_22">
              <w:r>
                <w:rPr>
                  <w:rStyle w:val="InternetLink"/>
                  <w:rFonts w:ascii="Times New Roman;serif" w:hAnsi="Times New Roman;serif"/>
                  <w:b w:val="false"/>
                  <w:color w:val="000080"/>
                  <w:sz w:val="18"/>
                  <w:u w:val="single"/>
                </w:rPr>
                <w:t>June 28</w:t>
              </w:r>
            </w:hyperlink>
            <w:hyperlink w:anchor="ia30e852aaa534ea98ef0185fdbfb2482_22">
              <w:r>
                <w:rPr>
                  <w:rStyle w:val="InternetLink"/>
                  <w:rFonts w:ascii="Times New Roman;serif" w:hAnsi="Times New Roman;serif"/>
                  <w:b w:val="false"/>
                  <w:color w:val="000080"/>
                  <w:sz w:val="18"/>
                  <w:u w:val="single"/>
                </w:rPr>
                <w:t>,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22">
              <w:r>
                <w:rPr>
                  <w:rStyle w:val="InternetLink"/>
                  <w:rFonts w:ascii="Times New Roman;serif" w:hAnsi="Times New Roman;serif"/>
                  <w:b w:val="false"/>
                  <w:strike w:val="false"/>
                  <w:dstrike w:val="false"/>
                  <w:color w:val="000000"/>
                  <w:sz w:val="18"/>
                  <w:u w:val="none"/>
                  <w:effect w:val="none"/>
                </w:rPr>
                <w:t>3</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25">
              <w:r>
                <w:rPr>
                  <w:rStyle w:val="InternetLink"/>
                  <w:rFonts w:ascii="Times New Roman;serif" w:hAnsi="Times New Roman;serif"/>
                  <w:b w:val="false"/>
                  <w:color w:val="000080"/>
                  <w:sz w:val="18"/>
                  <w:u w:val="single"/>
                </w:rPr>
                <w:t xml:space="preserve">Condensed Consolidated Statements of Comprehensive Income for the Three </w:t>
              </w:r>
            </w:hyperlink>
            <w:hyperlink w:anchor="ia30e852aaa534ea98ef0185fdbfb2482_25">
              <w:r>
                <w:rPr>
                  <w:rStyle w:val="InternetLink"/>
                  <w:rFonts w:ascii="Times New Roman;serif" w:hAnsi="Times New Roman;serif"/>
                  <w:b w:val="false"/>
                  <w:color w:val="000080"/>
                  <w:sz w:val="18"/>
                  <w:u w:val="single"/>
                </w:rPr>
                <w:t xml:space="preserve">and Six </w:t>
              </w:r>
            </w:hyperlink>
            <w:hyperlink w:anchor="ia30e852aaa534ea98ef0185fdbfb2482_25">
              <w:r>
                <w:rPr>
                  <w:rStyle w:val="InternetLink"/>
                  <w:rFonts w:ascii="Times New Roman;serif" w:hAnsi="Times New Roman;serif"/>
                  <w:b w:val="false"/>
                  <w:color w:val="000080"/>
                  <w:sz w:val="18"/>
                  <w:u w:val="single"/>
                </w:rPr>
                <w:t xml:space="preserve">Months Ended </w:t>
              </w:r>
            </w:hyperlink>
            <w:hyperlink w:anchor="ia30e852aaa534ea98ef0185fdbfb2482_25">
              <w:r>
                <w:rPr>
                  <w:rStyle w:val="InternetLink"/>
                  <w:rFonts w:ascii="Times New Roman;serif" w:hAnsi="Times New Roman;serif"/>
                  <w:b w:val="false"/>
                  <w:color w:val="000080"/>
                  <w:sz w:val="18"/>
                  <w:u w:val="single"/>
                </w:rPr>
                <w:t>June 30</w:t>
              </w:r>
            </w:hyperlink>
            <w:hyperlink w:anchor="ia30e852aaa534ea98ef0185fdbfb2482_25">
              <w:r>
                <w:rPr>
                  <w:rStyle w:val="InternetLink"/>
                  <w:rFonts w:ascii="Times New Roman;serif" w:hAnsi="Times New Roman;serif"/>
                  <w:b w:val="false"/>
                  <w:color w:val="000080"/>
                  <w:sz w:val="18"/>
                  <w:u w:val="single"/>
                </w:rPr>
                <w:t xml:space="preserve">, 2026 and </w:t>
              </w:r>
            </w:hyperlink>
            <w:hyperlink w:anchor="ia30e852aaa534ea98ef0185fdbfb2482_25">
              <w:r>
                <w:rPr>
                  <w:rStyle w:val="InternetLink"/>
                  <w:rFonts w:ascii="Times New Roman;serif" w:hAnsi="Times New Roman;serif"/>
                  <w:b w:val="false"/>
                  <w:color w:val="000080"/>
                  <w:sz w:val="18"/>
                  <w:u w:val="single"/>
                </w:rPr>
                <w:t>June 28</w:t>
              </w:r>
            </w:hyperlink>
            <w:hyperlink w:anchor="ia30e852aaa534ea98ef0185fdbfb2482_25">
              <w:r>
                <w:rPr>
                  <w:rStyle w:val="InternetLink"/>
                  <w:rFonts w:ascii="Times New Roman;serif" w:hAnsi="Times New Roman;serif"/>
                  <w:b w:val="false"/>
                  <w:color w:val="000080"/>
                  <w:sz w:val="18"/>
                  <w:u w:val="single"/>
                </w:rPr>
                <w:t>,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25">
              <w:r>
                <w:rPr>
                  <w:rStyle w:val="InternetLink"/>
                  <w:rFonts w:ascii="Times New Roman;serif" w:hAnsi="Times New Roman;serif"/>
                  <w:b w:val="false"/>
                  <w:strike w:val="false"/>
                  <w:dstrike w:val="false"/>
                  <w:color w:val="000000"/>
                  <w:sz w:val="1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28">
              <w:r>
                <w:rPr>
                  <w:rStyle w:val="InternetLink"/>
                  <w:rFonts w:ascii="Times New Roman;serif" w:hAnsi="Times New Roman;serif"/>
                  <w:b w:val="false"/>
                  <w:color w:val="000080"/>
                  <w:sz w:val="18"/>
                  <w:u w:val="single"/>
                </w:rPr>
                <w:t xml:space="preserve">Condensed Consolidated Statements of Cash Flows for the </w:t>
              </w:r>
            </w:hyperlink>
            <w:hyperlink w:anchor="ia30e852aaa534ea98ef0185fdbfb2482_28">
              <w:r>
                <w:rPr>
                  <w:rStyle w:val="InternetLink"/>
                  <w:rFonts w:ascii="Times New Roman;serif" w:hAnsi="Times New Roman;serif"/>
                  <w:b w:val="false"/>
                  <w:color w:val="000080"/>
                  <w:sz w:val="18"/>
                  <w:u w:val="single"/>
                </w:rPr>
                <w:t>Six</w:t>
              </w:r>
            </w:hyperlink>
            <w:hyperlink w:anchor="ia30e852aaa534ea98ef0185fdbfb2482_28">
              <w:r>
                <w:rPr>
                  <w:rStyle w:val="InternetLink"/>
                  <w:rFonts w:ascii="Times New Roman;serif" w:hAnsi="Times New Roman;serif"/>
                  <w:b w:val="false"/>
                  <w:color w:val="000080"/>
                  <w:sz w:val="18"/>
                  <w:u w:val="single"/>
                </w:rPr>
                <w:t xml:space="preserve"> Months Ended </w:t>
              </w:r>
            </w:hyperlink>
            <w:hyperlink w:anchor="ia30e852aaa534ea98ef0185fdbfb2482_28">
              <w:r>
                <w:rPr>
                  <w:rStyle w:val="InternetLink"/>
                  <w:rFonts w:ascii="Times New Roman;serif" w:hAnsi="Times New Roman;serif"/>
                  <w:b w:val="false"/>
                  <w:color w:val="000080"/>
                  <w:sz w:val="18"/>
                  <w:u w:val="single"/>
                </w:rPr>
                <w:t>June 30</w:t>
              </w:r>
            </w:hyperlink>
            <w:hyperlink w:anchor="ia30e852aaa534ea98ef0185fdbfb2482_28">
              <w:r>
                <w:rPr>
                  <w:rStyle w:val="InternetLink"/>
                  <w:rFonts w:ascii="Times New Roman;serif" w:hAnsi="Times New Roman;serif"/>
                  <w:b w:val="false"/>
                  <w:color w:val="000080"/>
                  <w:sz w:val="18"/>
                  <w:u w:val="single"/>
                </w:rPr>
                <w:t>, 2026 and</w:t>
              </w:r>
            </w:hyperlink>
            <w:hyperlink w:anchor="ia30e852aaa534ea98ef0185fdbfb2482_28">
              <w:r>
                <w:rPr>
                  <w:rStyle w:val="InternetLink"/>
                  <w:rFonts w:ascii="Times New Roman;serif" w:hAnsi="Times New Roman;serif"/>
                  <w:b w:val="false"/>
                  <w:color w:val="000080"/>
                  <w:sz w:val="18"/>
                  <w:u w:val="single"/>
                </w:rPr>
                <w:t xml:space="preserve"> June 28</w:t>
              </w:r>
            </w:hyperlink>
            <w:hyperlink w:anchor="ia30e852aaa534ea98ef0185fdbfb2482_28">
              <w:r>
                <w:rPr>
                  <w:rStyle w:val="InternetLink"/>
                  <w:rFonts w:ascii="Times New Roman;serif" w:hAnsi="Times New Roman;serif"/>
                  <w:b w:val="false"/>
                  <w:color w:val="000080"/>
                  <w:sz w:val="18"/>
                  <w:u w:val="single"/>
                </w:rPr>
                <w:t>,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28">
              <w:r>
                <w:rPr>
                  <w:rStyle w:val="InternetLink"/>
                  <w:rFonts w:ascii="Times New Roman;serif" w:hAnsi="Times New Roman;serif"/>
                  <w:b w:val="false"/>
                  <w:strike w:val="false"/>
                  <w:dstrike w:val="false"/>
                  <w:color w:val="000000"/>
                  <w:sz w:val="18"/>
                  <w:u w:val="none"/>
                  <w:effect w:val="none"/>
                </w:rPr>
                <w:t>5</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31">
              <w:r>
                <w:rPr>
                  <w:rStyle w:val="InternetLink"/>
                  <w:rFonts w:ascii="Times New Roman;serif" w:hAnsi="Times New Roman;serif"/>
                  <w:b w:val="false"/>
                  <w:color w:val="0000FF"/>
                  <w:sz w:val="18"/>
                  <w:u w:val="single"/>
                </w:rPr>
                <w:t>Notes to Unaudited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31">
              <w:r>
                <w:rPr>
                  <w:rStyle w:val="InternetLink"/>
                  <w:rFonts w:ascii="Times New Roman;serif" w:hAnsi="Times New Roman;serif"/>
                  <w:b w:val="false"/>
                  <w:strike w:val="false"/>
                  <w:dstrike w:val="false"/>
                  <w:color w:val="000000"/>
                  <w:sz w:val="18"/>
                  <w:u w:val="none"/>
                  <w:effect w:val="none"/>
                </w:rPr>
                <w:t>6</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82">
              <w:r>
                <w:rPr>
                  <w:rStyle w:val="InternetLink"/>
                  <w:rFonts w:ascii="Times New Roman;serif" w:hAnsi="Times New Roman;serif"/>
                  <w:b w:val="false"/>
                  <w:strike w:val="false"/>
                  <w:dstrike w:val="false"/>
                  <w:color w:val="000000"/>
                  <w:sz w:val="18"/>
                  <w:u w:val="none"/>
                  <w:effect w:val="none"/>
                </w:rPr>
                <w:t>Item 2.</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82">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82">
              <w:r>
                <w:rPr>
                  <w:rStyle w:val="InternetLink"/>
                  <w:rFonts w:ascii="Times New Roman;serif" w:hAnsi="Times New Roman;serif"/>
                  <w:b w:val="false"/>
                  <w:strike w:val="false"/>
                  <w:dstrike w:val="false"/>
                  <w:color w:val="000000"/>
                  <w:sz w:val="18"/>
                  <w:u w:val="none"/>
                  <w:effect w:val="none"/>
                </w:rPr>
                <w:t>19</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85">
              <w:r>
                <w:rPr>
                  <w:rStyle w:val="InternetLink"/>
                  <w:rFonts w:ascii="Times New Roman;serif" w:hAnsi="Times New Roman;serif"/>
                  <w:b w:val="false"/>
                  <w:color w:val="0000FF"/>
                  <w:sz w:val="18"/>
                  <w:u w:val="single"/>
                </w:rPr>
                <w:t>Non-GAAP Financial Measures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85">
              <w:r>
                <w:rPr>
                  <w:rStyle w:val="InternetLink"/>
                  <w:rFonts w:ascii="Times New Roman;serif" w:hAnsi="Times New Roman;serif"/>
                  <w:b w:val="false"/>
                  <w:strike w:val="false"/>
                  <w:dstrike w:val="false"/>
                  <w:color w:val="000000"/>
                  <w:sz w:val="18"/>
                  <w:u w:val="none"/>
                  <w:effect w:val="none"/>
                </w:rPr>
                <w:t>19</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88">
              <w:r>
                <w:rPr>
                  <w:rStyle w:val="InternetLink"/>
                  <w:rFonts w:ascii="Times New Roman;serif" w:hAnsi="Times New Roman;serif"/>
                  <w:b w:val="false"/>
                  <w:color w:val="0000FF"/>
                  <w:sz w:val="18"/>
                  <w:u w:val="single"/>
                </w:rPr>
                <w:t>Overview and Outlook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88">
              <w:r>
                <w:rPr>
                  <w:rStyle w:val="InternetLink"/>
                  <w:rFonts w:ascii="Times New Roman;serif" w:hAnsi="Times New Roman;serif"/>
                  <w:b w:val="false"/>
                  <w:strike w:val="false"/>
                  <w:dstrike w:val="false"/>
                  <w:color w:val="000000"/>
                  <w:sz w:val="18"/>
                  <w:u w:val="none"/>
                  <w:effect w:val="none"/>
                </w:rPr>
                <w:t>20</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91">
              <w:r>
                <w:rPr>
                  <w:rStyle w:val="InternetLink"/>
                  <w:rFonts w:ascii="Times New Roman;serif" w:hAnsi="Times New Roman;serif"/>
                  <w:b w:val="false"/>
                  <w:color w:val="000080"/>
                  <w:sz w:val="18"/>
                  <w:u w:val="single"/>
                </w:rPr>
                <w:t xml:space="preserve">Analysis of Results of Operations for the </w:t>
              </w:r>
            </w:hyperlink>
            <w:hyperlink w:anchor="ia30e852aaa534ea98ef0185fdbfb2482_91">
              <w:r>
                <w:rPr>
                  <w:rStyle w:val="InternetLink"/>
                  <w:rFonts w:ascii="Times New Roman;serif" w:hAnsi="Times New Roman;serif"/>
                  <w:b w:val="false"/>
                  <w:color w:val="000080"/>
                  <w:sz w:val="18"/>
                  <w:u w:val="single"/>
                </w:rPr>
                <w:t>Second</w:t>
              </w:r>
            </w:hyperlink>
            <w:hyperlink w:anchor="ia30e852aaa534ea98ef0185fdbfb2482_91">
              <w:r>
                <w:rPr>
                  <w:rStyle w:val="InternetLink"/>
                  <w:rFonts w:ascii="Times New Roman;serif" w:hAnsi="Times New Roman;serif"/>
                  <w:b w:val="false"/>
                  <w:color w:val="000080"/>
                  <w:sz w:val="18"/>
                  <w:u w:val="single"/>
                </w:rPr>
                <w:t xml:space="preserve"> Quarter</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91">
              <w:r>
                <w:rPr>
                  <w:rStyle w:val="InternetLink"/>
                  <w:rFonts w:ascii="Times New Roman;serif" w:hAnsi="Times New Roman;serif"/>
                  <w:b w:val="false"/>
                  <w:strike w:val="false"/>
                  <w:dstrike w:val="false"/>
                  <w:color w:val="000000"/>
                  <w:sz w:val="18"/>
                  <w:u w:val="none"/>
                  <w:effect w:val="none"/>
                </w:rPr>
                <w:t>21</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94">
              <w:r>
                <w:rPr>
                  <w:rStyle w:val="InternetLink"/>
                  <w:rFonts w:ascii="Times New Roman;serif" w:hAnsi="Times New Roman;serif"/>
                  <w:b w:val="false"/>
                  <w:color w:val="000080"/>
                  <w:sz w:val="18"/>
                  <w:u w:val="single"/>
                </w:rPr>
                <w:t xml:space="preserve">Results of Operations by Reportable Segment for the </w:t>
              </w:r>
            </w:hyperlink>
            <w:hyperlink w:anchor="ia30e852aaa534ea98ef0185fdbfb2482_94">
              <w:r>
                <w:rPr>
                  <w:rStyle w:val="InternetLink"/>
                  <w:rFonts w:ascii="Times New Roman;serif" w:hAnsi="Times New Roman;serif"/>
                  <w:b w:val="false"/>
                  <w:color w:val="000080"/>
                  <w:sz w:val="18"/>
                  <w:u w:val="single"/>
                </w:rPr>
                <w:t>Second</w:t>
              </w:r>
            </w:hyperlink>
            <w:hyperlink w:anchor="ia30e852aaa534ea98ef0185fdbfb2482_94">
              <w:r>
                <w:rPr>
                  <w:rStyle w:val="InternetLink"/>
                  <w:rFonts w:ascii="Times New Roman;serif" w:hAnsi="Times New Roman;serif"/>
                  <w:b w:val="false"/>
                  <w:color w:val="000080"/>
                  <w:sz w:val="18"/>
                  <w:u w:val="single"/>
                </w:rPr>
                <w:t xml:space="preserve"> Quarter</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94">
              <w:r>
                <w:rPr>
                  <w:rStyle w:val="InternetLink"/>
                  <w:rFonts w:ascii="Times New Roman;serif" w:hAnsi="Times New Roman;serif"/>
                  <w:b w:val="false"/>
                  <w:strike w:val="false"/>
                  <w:dstrike w:val="false"/>
                  <w:color w:val="000000"/>
                  <w:sz w:val="18"/>
                  <w:u w:val="none"/>
                  <w:effect w:val="none"/>
                </w:rPr>
                <w:t>23</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97">
              <w:r>
                <w:rPr>
                  <w:rStyle w:val="InternetLink"/>
                  <w:rFonts w:ascii="Times New Roman;serif" w:hAnsi="Times New Roman;serif"/>
                  <w:b w:val="false"/>
                  <w:color w:val="000080"/>
                  <w:sz w:val="18"/>
                  <w:u w:val="single"/>
                </w:rPr>
                <w:t xml:space="preserve">Analysis of Results of Operations for the </w:t>
              </w:r>
            </w:hyperlink>
            <w:hyperlink w:anchor="ia30e852aaa534ea98ef0185fdbfb2482_97">
              <w:r>
                <w:rPr>
                  <w:rStyle w:val="InternetLink"/>
                  <w:rFonts w:ascii="Times New Roman;serif" w:hAnsi="Times New Roman;serif"/>
                  <w:b w:val="false"/>
                  <w:color w:val="000080"/>
                  <w:sz w:val="18"/>
                  <w:u w:val="single"/>
                </w:rPr>
                <w:t>Six</w:t>
              </w:r>
            </w:hyperlink>
            <w:hyperlink w:anchor="ia30e852aaa534ea98ef0185fdbfb2482_97">
              <w:r>
                <w:rPr>
                  <w:rStyle w:val="InternetLink"/>
                  <w:rFonts w:ascii="Times New Roman;serif" w:hAnsi="Times New Roman;serif"/>
                  <w:b w:val="false"/>
                  <w:color w:val="000080"/>
                  <w:sz w:val="18"/>
                  <w:u w:val="single"/>
                </w:rPr>
                <w:t xml:space="preserve"> Months Year-to-Date</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97">
              <w:r>
                <w:rPr>
                  <w:rStyle w:val="InternetLink"/>
                  <w:rFonts w:ascii="Times New Roman;serif" w:hAnsi="Times New Roman;serif"/>
                  <w:b w:val="false"/>
                  <w:strike w:val="false"/>
                  <w:dstrike w:val="false"/>
                  <w:color w:val="000000"/>
                  <w:sz w:val="18"/>
                  <w:u w:val="none"/>
                  <w:effect w:val="none"/>
                </w:rPr>
                <w:t>24</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0">
              <w:r>
                <w:rPr>
                  <w:rStyle w:val="InternetLink"/>
                  <w:rFonts w:ascii="Times New Roman;serif" w:hAnsi="Times New Roman;serif"/>
                  <w:b w:val="false"/>
                  <w:color w:val="000080"/>
                  <w:sz w:val="18"/>
                  <w:u w:val="single"/>
                </w:rPr>
                <w:t xml:space="preserve">Results of Operations by Reportable Segment for the </w:t>
              </w:r>
            </w:hyperlink>
            <w:hyperlink w:anchor="ia30e852aaa534ea98ef0185fdbfb2482_100">
              <w:r>
                <w:rPr>
                  <w:rStyle w:val="InternetLink"/>
                  <w:rFonts w:ascii="Times New Roman;serif" w:hAnsi="Times New Roman;serif"/>
                  <w:b w:val="false"/>
                  <w:color w:val="000080"/>
                  <w:sz w:val="18"/>
                  <w:u w:val="single"/>
                </w:rPr>
                <w:t xml:space="preserve">Six </w:t>
              </w:r>
            </w:hyperlink>
            <w:hyperlink w:anchor="ia30e852aaa534ea98ef0185fdbfb2482_100">
              <w:r>
                <w:rPr>
                  <w:rStyle w:val="InternetLink"/>
                  <w:rFonts w:ascii="Times New Roman;serif" w:hAnsi="Times New Roman;serif"/>
                  <w:b w:val="false"/>
                  <w:color w:val="000080"/>
                  <w:sz w:val="18"/>
                  <w:u w:val="single"/>
                </w:rPr>
                <w:t>Months Year-to-Date</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00">
              <w:r>
                <w:rPr>
                  <w:rStyle w:val="InternetLink"/>
                  <w:rFonts w:ascii="Times New Roman;serif" w:hAnsi="Times New Roman;serif"/>
                  <w:b w:val="false"/>
                  <w:strike w:val="false"/>
                  <w:dstrike w:val="false"/>
                  <w:color w:val="000000"/>
                  <w:sz w:val="18"/>
                  <w:u w:val="none"/>
                  <w:effect w:val="none"/>
                </w:rPr>
                <w:t>26</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3">
              <w:r>
                <w:rPr>
                  <w:rStyle w:val="InternetLink"/>
                  <w:rFonts w:ascii="Times New Roman;serif" w:hAnsi="Times New Roman;serif"/>
                  <w:b w:val="false"/>
                  <w:color w:val="0000FF"/>
                  <w:sz w:val="18"/>
                  <w:u w:val="single"/>
                </w:rPr>
                <w:t>Financial Condition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03">
              <w:r>
                <w:rPr>
                  <w:rStyle w:val="InternetLink"/>
                  <w:rFonts w:ascii="Times New Roman;serif" w:hAnsi="Times New Roman;serif"/>
                  <w:b w:val="false"/>
                  <w:strike w:val="false"/>
                  <w:dstrike w:val="false"/>
                  <w:color w:val="000000"/>
                  <w:sz w:val="18"/>
                  <w:u w:val="none"/>
                  <w:effect w:val="none"/>
                </w:rPr>
                <w:t>27</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6">
              <w:r>
                <w:rPr>
                  <w:rStyle w:val="InternetLink"/>
                  <w:rFonts w:ascii="Times New Roman;serif" w:hAnsi="Times New Roman;serif"/>
                  <w:b w:val="false"/>
                  <w:strike w:val="false"/>
                  <w:dstrike w:val="false"/>
                  <w:color w:val="000000"/>
                  <w:sz w:val="18"/>
                  <w:u w:val="none"/>
                  <w:effect w:val="none"/>
                </w:rPr>
                <w:t>Item 3.</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6">
              <w:r>
                <w:rPr>
                  <w:rStyle w:val="InternetLink"/>
                  <w:rFonts w:ascii="Times New Roman;serif" w:hAnsi="Times New Roman;serif"/>
                  <w:b w:val="false"/>
                  <w:color w:val="0000FF"/>
                  <w:sz w:val="18"/>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06">
              <w:r>
                <w:rPr>
                  <w:rStyle w:val="InternetLink"/>
                  <w:rFonts w:ascii="Times New Roman;serif" w:hAnsi="Times New Roman;serif"/>
                  <w:b w:val="false"/>
                  <w:strike w:val="false"/>
                  <w:dstrike w:val="false"/>
                  <w:color w:val="000000"/>
                  <w:sz w:val="18"/>
                  <w:u w:val="none"/>
                  <w:effect w:val="none"/>
                </w:rPr>
                <w:t>30</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9">
              <w:r>
                <w:rPr>
                  <w:rStyle w:val="InternetLink"/>
                  <w:rFonts w:ascii="Times New Roman;serif" w:hAnsi="Times New Roman;serif"/>
                  <w:b w:val="false"/>
                  <w:strike w:val="false"/>
                  <w:dstrike w:val="false"/>
                  <w:color w:val="000000"/>
                  <w:sz w:val="18"/>
                  <w:u w:val="none"/>
                  <w:effect w:val="none"/>
                </w:rPr>
                <w:t>Item 4.</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09">
              <w:r>
                <w:rPr>
                  <w:rStyle w:val="InternetLink"/>
                  <w:rFonts w:ascii="Times New Roman;serif" w:hAnsi="Times New Roman;serif"/>
                  <w:b w:val="false"/>
                  <w:color w:val="0000FF"/>
                  <w:sz w:val="18"/>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09">
              <w:r>
                <w:rPr>
                  <w:rStyle w:val="InternetLink"/>
                  <w:rFonts w:ascii="Times New Roman;serif" w:hAnsi="Times New Roman;serif"/>
                  <w:b w:val="false"/>
                  <w:strike w:val="false"/>
                  <w:dstrike w:val="false"/>
                  <w:color w:val="000000"/>
                  <w:sz w:val="18"/>
                  <w:u w:val="none"/>
                  <w:effect w:val="none"/>
                </w:rPr>
                <w:t>31</w:t>
              </w:r>
            </w:hyperlink>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12">
              <w:r>
                <w:rPr>
                  <w:rStyle w:val="InternetLink"/>
                  <w:rFonts w:ascii="Times New Roman;serif" w:hAnsi="Times New Roman;serif"/>
                  <w:b/>
                  <w:color w:val="0000FF"/>
                  <w:sz w:val="18"/>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15">
              <w:r>
                <w:rPr>
                  <w:rStyle w:val="InternetLink"/>
                  <w:rFonts w:ascii="Times New Roman;serif" w:hAnsi="Times New Roman;serif"/>
                  <w:b w:val="false"/>
                  <w:strike w:val="false"/>
                  <w:dstrike w:val="false"/>
                  <w:color w:val="000000"/>
                  <w:sz w:val="18"/>
                  <w:u w:val="none"/>
                  <w:effect w:val="none"/>
                </w:rPr>
                <w:t>Item 1.</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15">
              <w:r>
                <w:rPr>
                  <w:rStyle w:val="InternetLink"/>
                  <w:rFonts w:ascii="Times New Roman;serif" w:hAnsi="Times New Roman;serif"/>
                  <w:b w:val="false"/>
                  <w:color w:val="0000FF"/>
                  <w:sz w:val="18"/>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15">
              <w:r>
                <w:rPr>
                  <w:rStyle w:val="InternetLink"/>
                  <w:rFonts w:ascii="Times New Roman;serif" w:hAnsi="Times New Roman;serif"/>
                  <w:b w:val="false"/>
                  <w:strike w:val="false"/>
                  <w:dstrike w:val="false"/>
                  <w:color w:val="000000"/>
                  <w:sz w:val="18"/>
                  <w:u w:val="none"/>
                  <w:effect w:val="none"/>
                </w:rPr>
                <w:t>32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18">
              <w:r>
                <w:rPr>
                  <w:rStyle w:val="InternetLink"/>
                  <w:rFonts w:ascii="Times New Roman;serif" w:hAnsi="Times New Roman;serif"/>
                  <w:b w:val="false"/>
                  <w:strike w:val="false"/>
                  <w:dstrike w:val="false"/>
                  <w:color w:val="000000"/>
                  <w:sz w:val="18"/>
                  <w:u w:val="none"/>
                  <w:effect w:val="none"/>
                </w:rPr>
                <w:t>Item 1A.</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18">
              <w:r>
                <w:rPr>
                  <w:rStyle w:val="InternetLink"/>
                  <w:rFonts w:ascii="Times New Roman;serif" w:hAnsi="Times New Roman;serif"/>
                  <w:b w:val="false"/>
                  <w:color w:val="0000FF"/>
                  <w:sz w:val="18"/>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18">
              <w:r>
                <w:rPr>
                  <w:rStyle w:val="InternetLink"/>
                  <w:rFonts w:ascii="Times New Roman;serif" w:hAnsi="Times New Roman;serif"/>
                  <w:b w:val="false"/>
                  <w:strike w:val="false"/>
                  <w:dstrike w:val="false"/>
                  <w:color w:val="000000"/>
                  <w:sz w:val="18"/>
                  <w:u w:val="none"/>
                  <w:effect w:val="none"/>
                </w:rPr>
                <w:t>32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1">
              <w:r>
                <w:rPr>
                  <w:rStyle w:val="InternetLink"/>
                  <w:rFonts w:ascii="Times New Roman;serif" w:hAnsi="Times New Roman;serif"/>
                  <w:b w:val="false"/>
                  <w:strike w:val="false"/>
                  <w:dstrike w:val="false"/>
                  <w:color w:val="000000"/>
                  <w:sz w:val="18"/>
                  <w:u w:val="none"/>
                  <w:effect w:val="none"/>
                </w:rPr>
                <w:t>Item 2.</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1">
              <w:r>
                <w:rPr>
                  <w:rStyle w:val="InternetLink"/>
                  <w:rFonts w:ascii="Times New Roman;serif" w:hAnsi="Times New Roman;serif"/>
                  <w:b w:val="false"/>
                  <w:color w:val="0000FF"/>
                  <w:sz w:val="18"/>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21">
              <w:r>
                <w:rPr>
                  <w:rStyle w:val="InternetLink"/>
                  <w:rFonts w:ascii="Times New Roman;serif" w:hAnsi="Times New Roman;serif"/>
                  <w:b w:val="false"/>
                  <w:strike w:val="false"/>
                  <w:dstrike w:val="false"/>
                  <w:color w:val="000000"/>
                  <w:sz w:val="18"/>
                  <w:u w:val="none"/>
                  <w:effect w:val="none"/>
                </w:rPr>
                <w:t>33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4">
              <w:r>
                <w:rPr>
                  <w:rStyle w:val="InternetLink"/>
                  <w:rFonts w:ascii="Times New Roman;serif" w:hAnsi="Times New Roman;serif"/>
                  <w:b w:val="false"/>
                  <w:strike w:val="false"/>
                  <w:dstrike w:val="false"/>
                  <w:color w:val="000000"/>
                  <w:sz w:val="18"/>
                  <w:u w:val="none"/>
                  <w:effect w:val="none"/>
                </w:rPr>
                <w:t>Item 3.</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4">
              <w:r>
                <w:rPr>
                  <w:rStyle w:val="InternetLink"/>
                  <w:rFonts w:ascii="Times New Roman;serif" w:hAnsi="Times New Roman;serif"/>
                  <w:b w:val="false"/>
                  <w:color w:val="0000FF"/>
                  <w:sz w:val="18"/>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24">
              <w:r>
                <w:rPr>
                  <w:rStyle w:val="InternetLink"/>
                  <w:rFonts w:ascii="Times New Roman;serif" w:hAnsi="Times New Roman;serif"/>
                  <w:b w:val="false"/>
                  <w:strike w:val="false"/>
                  <w:dstrike w:val="false"/>
                  <w:color w:val="000000"/>
                  <w:sz w:val="18"/>
                  <w:u w:val="none"/>
                  <w:effect w:val="none"/>
                </w:rPr>
                <w:t>33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7">
              <w:r>
                <w:rPr>
                  <w:rStyle w:val="InternetLink"/>
                  <w:rFonts w:ascii="Times New Roman;serif" w:hAnsi="Times New Roman;serif"/>
                  <w:b w:val="false"/>
                  <w:strike w:val="false"/>
                  <w:dstrike w:val="false"/>
                  <w:color w:val="000000"/>
                  <w:sz w:val="18"/>
                  <w:u w:val="none"/>
                  <w:effect w:val="none"/>
                </w:rPr>
                <w:t>Item 4.</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27">
              <w:r>
                <w:rPr>
                  <w:rStyle w:val="InternetLink"/>
                  <w:rFonts w:ascii="Times New Roman;serif" w:hAnsi="Times New Roman;serif"/>
                  <w:b w:val="false"/>
                  <w:color w:val="0000FF"/>
                  <w:sz w:val="18"/>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27">
              <w:r>
                <w:rPr>
                  <w:rStyle w:val="InternetLink"/>
                  <w:rFonts w:ascii="Times New Roman;serif" w:hAnsi="Times New Roman;serif"/>
                  <w:b w:val="false"/>
                  <w:strike w:val="false"/>
                  <w:dstrike w:val="false"/>
                  <w:color w:val="000000"/>
                  <w:sz w:val="18"/>
                  <w:u w:val="none"/>
                  <w:effect w:val="none"/>
                </w:rPr>
                <w:t>33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0">
              <w:r>
                <w:rPr>
                  <w:rStyle w:val="InternetLink"/>
                  <w:rFonts w:ascii="Times New Roman;serif" w:hAnsi="Times New Roman;serif"/>
                  <w:b w:val="false"/>
                  <w:strike w:val="false"/>
                  <w:dstrike w:val="false"/>
                  <w:color w:val="000000"/>
                  <w:sz w:val="18"/>
                  <w:u w:val="none"/>
                  <w:effect w:val="none"/>
                </w:rPr>
                <w:t>Item 5.</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0">
              <w:r>
                <w:rPr>
                  <w:rStyle w:val="InternetLink"/>
                  <w:rFonts w:ascii="Times New Roman;serif" w:hAnsi="Times New Roman;serif"/>
                  <w:b w:val="false"/>
                  <w:color w:val="0000FF"/>
                  <w:sz w:val="18"/>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30">
              <w:r>
                <w:rPr>
                  <w:rStyle w:val="InternetLink"/>
                  <w:rFonts w:ascii="Times New Roman;serif" w:hAnsi="Times New Roman;serif"/>
                  <w:b w:val="false"/>
                  <w:strike w:val="false"/>
                  <w:dstrike w:val="false"/>
                  <w:color w:val="000000"/>
                  <w:sz w:val="18"/>
                  <w:u w:val="none"/>
                  <w:effect w:val="none"/>
                </w:rPr>
                <w:t>33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6">
              <w:r>
                <w:rPr>
                  <w:rStyle w:val="InternetLink"/>
                  <w:rFonts w:ascii="Times New Roman;serif" w:hAnsi="Times New Roman;serif"/>
                  <w:b w:val="false"/>
                  <w:strike w:val="false"/>
                  <w:dstrike w:val="false"/>
                  <w:color w:val="000000"/>
                  <w:sz w:val="18"/>
                  <w:u w:val="none"/>
                  <w:effect w:val="none"/>
                </w:rPr>
                <w:t>Item 6.</w:t>
              </w:r>
            </w:hyperlink>
          </w:p>
        </w:tc>
        <w:tc>
          <w:tcPr>
            <w:tcW w:w="77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6">
              <w:r>
                <w:rPr>
                  <w:rStyle w:val="InternetLink"/>
                  <w:rFonts w:ascii="Times New Roman;serif" w:hAnsi="Times New Roman;serif"/>
                  <w:b w:val="false"/>
                  <w:color w:val="0000FF"/>
                  <w:sz w:val="18"/>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36">
              <w:r>
                <w:rPr>
                  <w:rStyle w:val="InternetLink"/>
                  <w:rFonts w:ascii="Times New Roman;serif" w:hAnsi="Times New Roman;serif"/>
                  <w:b w:val="false"/>
                  <w:strike w:val="false"/>
                  <w:dstrike w:val="false"/>
                  <w:color w:val="000000"/>
                  <w:sz w:val="18"/>
                  <w:u w:val="none"/>
                  <w:effect w:val="none"/>
                </w:rPr>
                <w:t>34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0e852aaa534ea98ef0185fdbfb2482_139">
              <w:r>
                <w:rPr>
                  <w:rStyle w:val="InternetLink"/>
                  <w:rFonts w:ascii="Times New Roman;serif" w:hAnsi="Times New Roman;serif"/>
                  <w:b w:val="false"/>
                  <w:color w:val="0000FF"/>
                  <w:sz w:val="18"/>
                  <w:u w:val="single"/>
                </w:rPr>
                <w:t>Signatures</w:t>
              </w:r>
            </w:hyperlink>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0e852aaa534ea98ef0185fdbfb2482_139">
              <w:r>
                <w:rPr>
                  <w:rStyle w:val="InternetLink"/>
                  <w:rFonts w:ascii="Times New Roman;serif" w:hAnsi="Times New Roman;serif"/>
                  <w:b w:val="false"/>
                  <w:strike w:val="false"/>
                  <w:dstrike w:val="false"/>
                  <w:color w:val="000000"/>
                  <w:sz w:val="18"/>
                  <w:u w:val="none"/>
                  <w:effect w:val="none"/>
                </w:rPr>
                <w:t>35</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Exhibits</w:t>
            </w:r>
          </w:p>
        </w:tc>
        <w:tc>
          <w:tcPr>
            <w:tcW w:w="7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Safe Harbor Statement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Quarterly Report contains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Our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that the most significant risk factors that could affect our financial performance in the near term include: (i) the impact on underlying demand for our products from global economic conditions, tariffs, geopolitical uncertainty, and changes in environmental standards, regulations, and preferences; (ii) competitors’ actions, including pricing, expansion in key markets, and product offerings; (iii) the cost and availability of raw materials; (iv) the degree to which higher costs can be offset with productivity measures and/or passed on to customers through price increases, without a significant loss of volume; (v) foreign currency fluctuations; and (vi) the execution and integration of acquisitions.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Certain risks and uncertainties are discussed in more detail under “Risk Factors” and “Management’s Discussion and Analysis of Financial Condition and Results of Operations” in our 2025 Annual Report on Form 10-K filed with the Securities and Exchange Commission (“SEC”) on February 25, 2026, and subsequent quarterly reports on Form 10-Q. Actual results and trends may differ materially from historical or anticipated results depending on a variety of factors, including but not limited to, risks and uncertainties related to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International Operations – worldwide economic, social, geopolitical and market conditions; changes in geopolitical conditions, including those related to trade relations and tariffs, China, recent conflicts involving the U.S., Israel and Iran and related hostilities in the Middle East, the Russia-Ukraine war, the Israel-Hamas war; fluctuations in foreign currency exchange rates; and other risks associated with international operations, including in emerging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Our Business – fluctuations in demand affecting sales to customers; fluctuations in the cost and availability of raw materials and energy; changes in our markets due to competitive conditions, technological developments, laws and regulations, and customer preferences; environmental regulations and sustainability trends; the impact of competitive products and pricing; the execution and integration of acquisitions; selling prices; customer and supplier concentrations or consolidations; the financial condition of distributors; outsourced manufacturers; product and service quality claims; restructuring and other cost reduction actions; our ability to generate sustained productivity improvement and our ability to achieve and sustain targeted cost reductions; the timely development and market acceptance of new products, including sustainable or sustainably-sourced products; our investment in development activities and new production facilities; the collection of receivables from customers; and our sustainability and governance practices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Information Technology – disruptions in information technology systems; cybersecurity events or other security breaches; and successful installation of new or upgraded information technology systems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Income Taxes – fluctuations in tax rates; changes in tax laws and regulations, and uncertainties associated with interpretations of such laws and regulations; outcome of tax audits; and the realization of deferred tax assets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Human Capital – recruitment and retention of employees and collective labor arrangements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 xml:space="preserve">Our Indebtedness – our ability to obtain adequate financing arrangements and maintain access to capital; credit rating risks; fluctuations in interest rates; and compliance with our debt covenants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Ownership of Our Stock – potential significant variability of our stock price and amounts of future dividends and share repurchases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Legal and Regulatory Matters – protection and infringement of our intellectual property; the impact of legal and regulatory proceedings, including with respect to anti-corruption, environmental, health and safety, and trade compliance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18"/>
        </w:rPr>
        <w:t xml:space="preserve">Other Financial Matters – fluctuations in pension costs and goodwill impairment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forward-looking statements are made only as of the filing date of this Form 10-Q. We assume no duty to update these forward-looking statements to reflect new, changed or unanticipated events or circumstances, other than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p>
      <w:pPr>
        <w:pStyle w:val="TextBody"/>
        <w:bidi w:val="0"/>
        <w:spacing w:lineRule="auto" w:line="288" w:before="0" w:after="0"/>
        <w:jc w:val="left"/>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2994"/>
        <w:gridCol w:w="2296"/>
        <w:gridCol w:w="2318"/>
        <w:gridCol w:w="206"/>
        <w:gridCol w:w="727"/>
        <w:gridCol w:w="114"/>
        <w:gridCol w:w="109"/>
        <w:gridCol w:w="109"/>
        <w:gridCol w:w="109"/>
        <w:gridCol w:w="229"/>
        <w:gridCol w:w="810"/>
        <w:gridCol w:w="184"/>
      </w:tblGrid>
      <w:tr>
        <w:trPr/>
        <w:tc>
          <w:tcPr>
            <w:tcW w:w="299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 except per share amount)</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6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less allowances of $29.2 and $28.1 at June 30, 2026 and December 31, 2025, respectively</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resulting from business acquisitions, net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8,801.7 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 and finance leases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and finance leases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retirement benefits and other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and income taxes payable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11)</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per share, authorized – 400,000,000 shares at June 30, 2026 and December 31, 2025; issued – 124,126,624 shares at June 30, 2026 and December 31, 2025; outstanding – 75,902,833 and 76,877,487 shares at June 30, 2026 and December 31, 2025, respectively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48,223,791 shares and 47,249,137 shares at June 30, 2026 and December 31, 2025, respectively</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2,242.1 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9,212.3 </w:t>
            </w:r>
          </w:p>
        </w:tc>
        <w:tc>
          <w:tcPr>
            <w:tcW w:w="1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8,801.7 </w:t>
            </w:r>
          </w:p>
        </w:tc>
        <w:tc>
          <w:tcPr>
            <w:tcW w:w="1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INCOME </w:t>
      </w:r>
    </w:p>
    <w:p>
      <w:pPr>
        <w:pStyle w:val="TextBody"/>
        <w:bidi w:val="0"/>
        <w:spacing w:lineRule="auto" w:line="288" w:before="0" w:after="0"/>
        <w:jc w:val="both"/>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9276" w:type="dxa"/>
        <w:jc w:val="center"/>
        <w:tblInd w:w="0" w:type="dxa"/>
        <w:tblLayout w:type="fixed"/>
        <w:tblCellMar>
          <w:top w:w="28" w:type="dxa"/>
          <w:left w:w="28" w:type="dxa"/>
          <w:bottom w:w="28" w:type="dxa"/>
          <w:right w:w="28" w:type="dxa"/>
        </w:tblCellMar>
      </w:tblPr>
      <w:tblGrid>
        <w:gridCol w:w="1316"/>
        <w:gridCol w:w="1152"/>
        <w:gridCol w:w="1162"/>
        <w:gridCol w:w="227"/>
        <w:gridCol w:w="802"/>
        <w:gridCol w:w="126"/>
        <w:gridCol w:w="109"/>
        <w:gridCol w:w="109"/>
        <w:gridCol w:w="109"/>
        <w:gridCol w:w="227"/>
        <w:gridCol w:w="802"/>
        <w:gridCol w:w="126"/>
        <w:gridCol w:w="109"/>
        <w:gridCol w:w="109"/>
        <w:gridCol w:w="109"/>
        <w:gridCol w:w="227"/>
        <w:gridCol w:w="802"/>
        <w:gridCol w:w="126"/>
        <w:gridCol w:w="109"/>
        <w:gridCol w:w="109"/>
        <w:gridCol w:w="109"/>
        <w:gridCol w:w="226"/>
        <w:gridCol w:w="797"/>
        <w:gridCol w:w="177"/>
      </w:tblGrid>
      <w:tr>
        <w:trPr/>
        <w:tc>
          <w:tcPr>
            <w:tcW w:w="131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amounts: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w:t>
            </w:r>
          </w:p>
        </w:tc>
        <w:tc>
          <w:tcPr>
            <w:tcW w:w="22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2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2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77"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assuming dilution</w:t>
            </w:r>
          </w:p>
        </w:tc>
        <w:tc>
          <w:tcPr>
            <w:tcW w:w="102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7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COMPREHENSIVE INCOME </w:t>
      </w:r>
    </w:p>
    <w:p>
      <w:pPr>
        <w:pStyle w:val="TextBody"/>
        <w:bidi w:val="0"/>
        <w:spacing w:lineRule="auto" w:line="288" w:before="0" w:after="0"/>
        <w:jc w:val="left"/>
        <w:rPr/>
      </w:pPr>
      <w:r>
        <w:rPr>
          <w:rFonts w:ascii="Times New Roman;serif" w:hAnsi="Times New Roman;serif"/>
          <w:b/>
          <w:color w:val="000000"/>
          <w:sz w:val="18"/>
        </w:rPr>
        <w:t>(</w:t>
      </w:r>
      <w:r>
        <w:rPr>
          <w:rFonts w:ascii="Times New Roman;serif" w:hAnsi="Times New Roman;serif"/>
          <w:b/>
          <w:i/>
          <w:color w:val="000000"/>
          <w:sz w:val="18"/>
        </w:rPr>
        <w:t>Unaudited</w:t>
      </w:r>
      <w:r>
        <w:rPr>
          <w:rFonts w:ascii="Times New Roman;serif" w:hAnsi="Times New Roman;serif"/>
          <w:b/>
          <w:color w:val="000000"/>
          <w:sz w:val="18"/>
        </w:rPr>
        <w:t xml:space="preserve">) </w:t>
      </w:r>
    </w:p>
    <w:tbl>
      <w:tblPr>
        <w:tblW w:w="9081" w:type="dxa"/>
        <w:jc w:val="center"/>
        <w:tblInd w:w="0" w:type="dxa"/>
        <w:tblLayout w:type="fixed"/>
        <w:tblCellMar>
          <w:top w:w="28" w:type="dxa"/>
          <w:left w:w="28" w:type="dxa"/>
          <w:bottom w:w="28" w:type="dxa"/>
          <w:right w:w="28" w:type="dxa"/>
        </w:tblCellMar>
      </w:tblPr>
      <w:tblGrid>
        <w:gridCol w:w="1295"/>
        <w:gridCol w:w="1066"/>
        <w:gridCol w:w="1074"/>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29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Fair value hedges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net of tax</w:t>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361.4 </w:t>
            </w:r>
          </w:p>
        </w:tc>
        <w:tc>
          <w:tcPr>
            <w:tcW w:w="20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STATEMENTS OF CASH FLOWS </w:t>
      </w:r>
    </w:p>
    <w:p>
      <w:pPr>
        <w:pStyle w:val="TextBody"/>
        <w:bidi w:val="0"/>
        <w:spacing w:lineRule="auto" w:line="288" w:before="0" w:after="0"/>
        <w:jc w:val="left"/>
        <w:rPr/>
      </w:pPr>
      <w:r>
        <w:rPr>
          <w:rFonts w:ascii="Times New Roman;serif" w:hAnsi="Times New Roman;serif"/>
          <w:b/>
          <w:i/>
          <w:color w:val="000000"/>
          <w:sz w:val="18"/>
        </w:rPr>
        <w:t>(Unaudited</w:t>
      </w:r>
      <w:r>
        <w:rPr>
          <w:rFonts w:ascii="Times New Roman;serif" w:hAnsi="Times New Roman;serif"/>
          <w:b/>
          <w:color w:val="000000"/>
          <w:sz w:val="18"/>
        </w:rPr>
        <w:t>)</w:t>
      </w:r>
      <w:r>
        <w:rPr>
          <w:color w:val="000000"/>
        </w:rPr>
        <w:t xml:space="preserve"> </w:t>
      </w:r>
    </w:p>
    <w:tbl>
      <w:tblPr>
        <w:tblW w:w="8472" w:type="dxa"/>
        <w:jc w:val="left"/>
        <w:tblInd w:w="0" w:type="dxa"/>
        <w:tblLayout w:type="fixed"/>
        <w:tblCellMar>
          <w:top w:w="28" w:type="dxa"/>
          <w:left w:w="28" w:type="dxa"/>
          <w:bottom w:w="28" w:type="dxa"/>
          <w:right w:w="28" w:type="dxa"/>
        </w:tblCellMar>
      </w:tblPr>
      <w:tblGrid>
        <w:gridCol w:w="2095"/>
        <w:gridCol w:w="1839"/>
        <w:gridCol w:w="1856"/>
        <w:gridCol w:w="263"/>
        <w:gridCol w:w="746"/>
        <w:gridCol w:w="146"/>
        <w:gridCol w:w="109"/>
        <w:gridCol w:w="109"/>
        <w:gridCol w:w="109"/>
        <w:gridCol w:w="259"/>
        <w:gridCol w:w="737"/>
        <w:gridCol w:w="204"/>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579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5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and sales returns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 non-cash taxes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 and loss (income and gain),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and other adjustments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settlement of net investment hedges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 and venture investments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borrowings with maturities of three months or less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finance leases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(tax withholding) proceeds related to 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settlement of fair value hedges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translation on cash balances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2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See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 General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and related notes in this Quarterly Report on Form 10-Q are presented as permitted by Article 10 of Regulation S-X and do not contain certain information included in the audited Consolidated Financial Statements and related notes in our 2025 Annual Report on Form 10-K, which should be read in conjunction with this report. These unaudited Condensed Consolidated Financial Statements contain all adjustments of a normal and recurring nature necessary for a fair statement of our interim results. Interim results of operations are not necessarily indicative of the results expected for the full fiscal year or any future period. These unaudited Condensed Consolidated Financial Statements reflect our current estimates and assumptions affecting (i) our reported amounts of assets and liabilities and related disclosures as of the date of the financial statements and (ii) our reported amounts of sales and expenses during the reporting periods presented.</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Fiscal Periods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three and six months ended June 30, 2026 consisted of 91 and 181 days, respectively, and the three and six months ended June 28, 2025 consisted of 91 and 182 days,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2026 fiscal year is coincident with the calendar year, beginning on January 1 and ending on December 31; our 2025 fiscal year began on December 29, 2024 and ended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2. Goodwill and Other Intangibles Resulting from Business Acquisitions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Changes in the net carrying amount of goodwill for the six months ended June 30, 2026 by reportable segment are shown below. </w:t>
      </w:r>
    </w:p>
    <w:tbl>
      <w:tblPr>
        <w:tblW w:w="7297" w:type="dxa"/>
        <w:jc w:val="center"/>
        <w:tblInd w:w="0" w:type="dxa"/>
        <w:tblLayout w:type="fixed"/>
        <w:tblCellMar>
          <w:top w:w="28" w:type="dxa"/>
          <w:left w:w="28" w:type="dxa"/>
          <w:bottom w:w="28" w:type="dxa"/>
          <w:right w:w="28" w:type="dxa"/>
        </w:tblCellMar>
      </w:tblPr>
      <w:tblGrid>
        <w:gridCol w:w="950"/>
        <w:gridCol w:w="834"/>
        <w:gridCol w:w="841"/>
        <w:gridCol w:w="314"/>
        <w:gridCol w:w="891"/>
        <w:gridCol w:w="174"/>
        <w:gridCol w:w="109"/>
        <w:gridCol w:w="109"/>
        <w:gridCol w:w="109"/>
        <w:gridCol w:w="271"/>
        <w:gridCol w:w="958"/>
        <w:gridCol w:w="151"/>
        <w:gridCol w:w="109"/>
        <w:gridCol w:w="109"/>
        <w:gridCol w:w="109"/>
        <w:gridCol w:w="109"/>
        <w:gridCol w:w="109"/>
        <w:gridCol w:w="196"/>
        <w:gridCol w:w="69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Materials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Solutions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as of December 31, 2025</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adjustments</w:t>
            </w:r>
            <w:r>
              <w:rPr>
                <w:rFonts w:ascii="Times New Roman;serif" w:hAnsi="Times New Roman;serif"/>
                <w:b w:val="false"/>
                <w:color w:val="000000"/>
                <w:sz w:val="12"/>
              </w:rPr>
              <w:t>(1)</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as of June 30, 2026</w:t>
            </w:r>
          </w:p>
        </w:tc>
        <w:tc>
          <w:tcPr>
            <w:tcW w:w="3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881.2 </w:t>
            </w:r>
          </w:p>
        </w:tc>
        <w:tc>
          <w:tcPr>
            <w:tcW w:w="17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1,380.8 </w:t>
            </w:r>
          </w:p>
        </w:tc>
        <w:tc>
          <w:tcPr>
            <w:tcW w:w="1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Measurement period adjustments related to the purchase price allocation for our 2025 acquisition of W.F. Taylor Holdings, Inc.</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Amortization expense for finite-lived intangible assets resulting from business acquisitions was $25.4 million and $22.1 million for the three months ended June 30, 2026 and June 28, 2025, respectively, and $51.2 million and $44.2 million for the six months ended June 30, 2026 and June 28, 2025,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Estimated future amortization expense related to existing finite-lived intangible assets for the remainder of fiscal year 2026 and for each of the next four fiscal years and thereafter is shown below. </w:t>
      </w:r>
    </w:p>
    <w:tbl>
      <w:tblPr>
        <w:tblW w:w="3103" w:type="dxa"/>
        <w:jc w:val="left"/>
        <w:tblInd w:w="0" w:type="dxa"/>
        <w:tblLayout w:type="fixed"/>
        <w:tblCellMar>
          <w:top w:w="28" w:type="dxa"/>
          <w:left w:w="28" w:type="dxa"/>
          <w:bottom w:w="28" w:type="dxa"/>
          <w:right w:w="28" w:type="dxa"/>
        </w:tblCellMar>
      </w:tblPr>
      <w:tblGrid>
        <w:gridCol w:w="682"/>
        <w:gridCol w:w="599"/>
        <w:gridCol w:w="608"/>
        <w:gridCol w:w="291"/>
        <w:gridCol w:w="693"/>
        <w:gridCol w:w="230"/>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Estimated</w:t>
              <w:br/>
              <w:t xml:space="preserve">Amortization </w:t>
              <w:br/>
              <w:t>Expense</w:t>
            </w:r>
          </w:p>
        </w:tc>
      </w:tr>
      <w:tr>
        <w:trPr/>
        <w:tc>
          <w:tcPr>
            <w:tcW w:w="1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 of year)</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2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3. Debt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estimated fair value of our long-term debt is primarily based on the credit spread above U.S. Treasury securities or euro government bond securities, as applicable, on notes with similar rates, credit ratings and remaining maturities. The fair value of short-term borrowings, which include commercial paper issuances and short-term lines of credit, approximates their carrying value given the short duration of these obligations. The fair value of our total debt was $3.60 billion at June 30, 2026 and $3.67 billion at December 31, 2025. Fair value was determined based primarily on Level 2 inputs, which are inputs other than quoted prices in active markets that are either directly or indirectly observable.</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$1.20 billion revolving credit facility (the “Revolver”) contains a financial covenant requiring that we maintain a specified ratio of total debt minus unrestricted cash and cash equivalents in excess of $50 million to a certain measure of income. As of both June 30, 2026 and December 31, 2025, we were in compliance with this financial covenant. No balance was outstanding under the Revolver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4. Cost Reduction Actions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2026 Actions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recorded $34.7 million in restructuring charges during the six months ended June 30, 2026 related to our 2026 actions. These charges consisted of severance and related costs for the reduction of approximately 600 positions, as well as asset impairment charges, at various locations across our company related to actions taken to optimize our operational footprint and workforce headcount.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six months ended June 30, 2026, restructuring charges and payments were as follows: </w:t>
      </w:r>
    </w:p>
    <w:tbl>
      <w:tblPr>
        <w:tblW w:w="10190" w:type="dxa"/>
        <w:jc w:val="left"/>
        <w:tblInd w:w="0" w:type="dxa"/>
        <w:tblLayout w:type="fixed"/>
        <w:tblCellMar>
          <w:top w:w="28" w:type="dxa"/>
          <w:left w:w="28" w:type="dxa"/>
          <w:bottom w:w="28" w:type="dxa"/>
          <w:right w:w="28" w:type="dxa"/>
        </w:tblCellMar>
      </w:tblPr>
      <w:tblGrid>
        <w:gridCol w:w="743"/>
        <w:gridCol w:w="654"/>
        <w:gridCol w:w="658"/>
        <w:gridCol w:w="392"/>
        <w:gridCol w:w="933"/>
        <w:gridCol w:w="219"/>
        <w:gridCol w:w="109"/>
        <w:gridCol w:w="109"/>
        <w:gridCol w:w="109"/>
        <w:gridCol w:w="213"/>
        <w:gridCol w:w="508"/>
        <w:gridCol w:w="120"/>
        <w:gridCol w:w="109"/>
        <w:gridCol w:w="109"/>
        <w:gridCol w:w="109"/>
        <w:gridCol w:w="213"/>
        <w:gridCol w:w="541"/>
        <w:gridCol w:w="120"/>
        <w:gridCol w:w="109"/>
        <w:gridCol w:w="109"/>
        <w:gridCol w:w="109"/>
        <w:gridCol w:w="285"/>
        <w:gridCol w:w="591"/>
        <w:gridCol w:w="160"/>
        <w:gridCol w:w="109"/>
        <w:gridCol w:w="109"/>
        <w:gridCol w:w="109"/>
        <w:gridCol w:w="382"/>
        <w:gridCol w:w="411"/>
        <w:gridCol w:w="213"/>
        <w:gridCol w:w="109"/>
        <w:gridCol w:w="109"/>
        <w:gridCol w:w="109"/>
        <w:gridCol w:w="288"/>
        <w:gridCol w:w="685"/>
        <w:gridCol w:w="226"/>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Accrual at</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Charges,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Net of</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Reversals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Cash</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Non-cash</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Accrual at</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20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2026 Actions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cancellation charges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2025 Actions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Accruals for severance and related costs, as well as lease cancellation charges, were included in “Other current liabilities” and “Long-term retirement benefits and other liabilities” in the unaudited Condensed Consolidated Balance Sheets. Asset impairment charges were based on the estimated market value of the assets, less selling costs, if applicable. Restructuring charges were included in “Other expense (income), net” in the unaudited Condensed Consolidated Statements of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table below shows the amount of restructuring charges, net of reversals, incurred by reportable segment and Corporate.</w:t>
      </w:r>
    </w:p>
    <w:tbl>
      <w:tblPr>
        <w:tblW w:w="10205" w:type="dxa"/>
        <w:jc w:val="center"/>
        <w:tblInd w:w="0" w:type="dxa"/>
        <w:tblLayout w:type="fixed"/>
        <w:tblCellMar>
          <w:top w:w="28" w:type="dxa"/>
          <w:left w:w="28" w:type="dxa"/>
          <w:bottom w:w="28" w:type="dxa"/>
          <w:right w:w="28" w:type="dxa"/>
        </w:tblCellMar>
      </w:tblPr>
      <w:tblGrid>
        <w:gridCol w:w="1784"/>
        <w:gridCol w:w="1570"/>
        <w:gridCol w:w="1582"/>
        <w:gridCol w:w="270"/>
        <w:gridCol w:w="644"/>
        <w:gridCol w:w="150"/>
        <w:gridCol w:w="109"/>
        <w:gridCol w:w="109"/>
        <w:gridCol w:w="109"/>
        <w:gridCol w:w="300"/>
        <w:gridCol w:w="577"/>
        <w:gridCol w:w="167"/>
        <w:gridCol w:w="109"/>
        <w:gridCol w:w="109"/>
        <w:gridCol w:w="109"/>
        <w:gridCol w:w="270"/>
        <w:gridCol w:w="644"/>
        <w:gridCol w:w="150"/>
        <w:gridCol w:w="109"/>
        <w:gridCol w:w="109"/>
        <w:gridCol w:w="109"/>
        <w:gridCol w:w="266"/>
        <w:gridCol w:w="634"/>
        <w:gridCol w:w="216"/>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charges, net of reversals, by reportable segment and Corporate</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5. Financial Instruments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use various derivative financial instruments to manage risks in foreign currency exchange rates, commodity prices and interest rates. We recognize derivative financial instruments as either assets or liabilities at fair value in the unaudited Condensed Consolidated Balance Sheets. Refer to Note 9, “Fair Value Measurements,” to the unaudited Condensed Consolidated Financial Statements for more information. </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Fair Value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enter into foreign currency forward contracts to hedge our euro-denominated debt to offset changes in the fair value of the hedged item attributable to foreign currency risk. As of June 30, 2026, the foreign currency forward contracts hedging our €500 million of senior notes due in the third quarter of 2035 and €500 million of senior notes due in the fourth quarter of 2034 mature in September and December 2026, respectively.</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Cash Flow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entered into U.S. dollar to euro cross-currency swap contracts with a total notional amount of $250 million to effectively convert our fixed-rate U.S. dollar-denominated debt to euro-denominated debt, including semiannual interest payments and the payment of principal at maturity. During the term of the contracts, which end on April 30, 2030, we pay fixed-rate interest in euros and receive fixed-rate interest in U.S. dollars.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designate commodity forward contracts on forecasted purchases of commodities, as well as certain foreign currency forward contracts on forecasted transactions, as cash flow hedges.</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Net Investment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enter into foreign currency contracts and zero-cost collars, which are combined as net investment hedges for accounting purposes. These net investment hedges minimize the effect of foreign currency exchange rates on our net investment in certain foreign operations between the sold put strike and bought call strike rates of the contracts. As of June 30, 2026, the notional amount of these hedges was €1.0 billion, consisting of two €500 million tranches that mature in September and December 2026.</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enter into cross-currency swap contracts and zero-cost collars, which are also combined as net investment hedges for accounting purposes. These net investment hedges minimize the effect of foreign currency exchange rates on our net investment in certain foreign operations between the sold put strike and bought call strike rates of the contracts. These cross-currency swap contracts and zero-cost collars mature in February 2036 and 2027, respectively.</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Other Derivatives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enter into foreign currency exchange contracts to reduce the risk from foreign currency exchange rate fluctuations associated with our receivables, payables, loans and firm commitments denominated in certain foreign currencies that arise primarily as a result of our operations outside the U.S. The impact of these foreign currency exchange contracts on the unaudited Condensed Consolidated Financial Statements was not material.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shows the fair value and balance sheet locations of our derivative instruments as of June 30, 2026 and December 31, 2025: </w:t>
      </w:r>
    </w:p>
    <w:tbl>
      <w:tblPr>
        <w:tblW w:w="10205" w:type="dxa"/>
        <w:jc w:val="left"/>
        <w:tblInd w:w="0" w:type="dxa"/>
        <w:tblLayout w:type="fixed"/>
        <w:tblCellMar>
          <w:top w:w="28" w:type="dxa"/>
          <w:left w:w="28" w:type="dxa"/>
          <w:bottom w:w="28" w:type="dxa"/>
          <w:right w:w="28" w:type="dxa"/>
        </w:tblCellMar>
      </w:tblPr>
      <w:tblGrid>
        <w:gridCol w:w="802"/>
        <w:gridCol w:w="477"/>
        <w:gridCol w:w="373"/>
        <w:gridCol w:w="109"/>
        <w:gridCol w:w="213"/>
        <w:gridCol w:w="752"/>
        <w:gridCol w:w="118"/>
        <w:gridCol w:w="109"/>
        <w:gridCol w:w="109"/>
        <w:gridCol w:w="109"/>
        <w:gridCol w:w="244"/>
        <w:gridCol w:w="582"/>
        <w:gridCol w:w="136"/>
        <w:gridCol w:w="109"/>
        <w:gridCol w:w="109"/>
        <w:gridCol w:w="109"/>
        <w:gridCol w:w="364"/>
        <w:gridCol w:w="755"/>
        <w:gridCol w:w="204"/>
        <w:gridCol w:w="109"/>
        <w:gridCol w:w="109"/>
        <w:gridCol w:w="109"/>
        <w:gridCol w:w="273"/>
        <w:gridCol w:w="652"/>
        <w:gridCol w:w="153"/>
        <w:gridCol w:w="109"/>
        <w:gridCol w:w="109"/>
        <w:gridCol w:w="109"/>
        <w:gridCol w:w="348"/>
        <w:gridCol w:w="829"/>
        <w:gridCol w:w="195"/>
        <w:gridCol w:w="109"/>
        <w:gridCol w:w="109"/>
        <w:gridCol w:w="109"/>
        <w:gridCol w:w="367"/>
        <w:gridCol w:w="301"/>
        <w:gridCol w:w="323"/>
      </w:tblGrid>
      <w:tr>
        <w:trPr/>
        <w:tc>
          <w:tcPr>
            <w:tcW w:w="80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Type of Hedge</w:t>
            </w:r>
          </w:p>
        </w:tc>
      </w:tr>
      <w:tr>
        <w:trPr/>
        <w:tc>
          <w:tcPr>
            <w:tcW w:w="16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Fair value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Cash flow</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with collars</w:t>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Net investment</w:t>
            </w:r>
          </w:p>
        </w:tc>
      </w:tr>
      <w:tr>
        <w:trPr/>
        <w:tc>
          <w:tcPr>
            <w:tcW w:w="1652"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components of net gain (loss) recognized in income related to derivative instruments:</w:t>
      </w:r>
    </w:p>
    <w:tbl>
      <w:tblPr>
        <w:tblW w:w="10205" w:type="dxa"/>
        <w:jc w:val="left"/>
        <w:tblInd w:w="0" w:type="dxa"/>
        <w:tblLayout w:type="fixed"/>
        <w:tblCellMar>
          <w:top w:w="28" w:type="dxa"/>
          <w:left w:w="28" w:type="dxa"/>
          <w:bottom w:w="28" w:type="dxa"/>
          <w:right w:w="28" w:type="dxa"/>
        </w:tblCellMar>
      </w:tblPr>
      <w:tblGrid>
        <w:gridCol w:w="1730"/>
        <w:gridCol w:w="1463"/>
        <w:gridCol w:w="1485"/>
        <w:gridCol w:w="109"/>
        <w:gridCol w:w="109"/>
        <w:gridCol w:w="109"/>
        <w:gridCol w:w="270"/>
        <w:gridCol w:w="605"/>
        <w:gridCol w:w="150"/>
        <w:gridCol w:w="109"/>
        <w:gridCol w:w="109"/>
        <w:gridCol w:w="109"/>
        <w:gridCol w:w="265"/>
        <w:gridCol w:w="633"/>
        <w:gridCol w:w="147"/>
        <w:gridCol w:w="109"/>
        <w:gridCol w:w="109"/>
        <w:gridCol w:w="109"/>
        <w:gridCol w:w="247"/>
        <w:gridCol w:w="667"/>
        <w:gridCol w:w="137"/>
        <w:gridCol w:w="109"/>
        <w:gridCol w:w="109"/>
        <w:gridCol w:w="109"/>
        <w:gridCol w:w="262"/>
        <w:gridCol w:w="623"/>
        <w:gridCol w:w="213"/>
      </w:tblGrid>
      <w:tr>
        <w:trPr/>
        <w:tc>
          <w:tcPr>
            <w:tcW w:w="173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6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derivatives designated as fair value hedges: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 Marketing, general and administrative expense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impact of the hedged items associated with the derivatives in the table above is recorded to the same income statement line as the derivative instrument. The net gains (losses) recognized in income related to our cross-currency swap contracts and commodity contracts were not material to the unaudited Condensed Consolidated Statements of Income for the three and six months ended June 30, 2026 and June 28, 2025.</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recognized gains in translation for the net investment hedges of approximately $10 million and $21 million for the three and six months ended June 30, 2026, respectively, and losses in translation of approximately $27 million and $35 million for the three and six months ended June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6. Taxes Based on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our income before taxes, provision for income taxes, and effective tax rate: </w:t>
      </w:r>
    </w:p>
    <w:tbl>
      <w:tblPr>
        <w:tblW w:w="7668" w:type="dxa"/>
        <w:jc w:val="center"/>
        <w:tblInd w:w="0" w:type="dxa"/>
        <w:tblLayout w:type="fixed"/>
        <w:tblCellMar>
          <w:top w:w="28" w:type="dxa"/>
          <w:left w:w="28" w:type="dxa"/>
          <w:bottom w:w="28" w:type="dxa"/>
          <w:right w:w="28" w:type="dxa"/>
        </w:tblCellMar>
      </w:tblPr>
      <w:tblGrid>
        <w:gridCol w:w="733"/>
        <w:gridCol w:w="645"/>
        <w:gridCol w:w="647"/>
        <w:gridCol w:w="224"/>
        <w:gridCol w:w="637"/>
        <w:gridCol w:w="293"/>
        <w:gridCol w:w="109"/>
        <w:gridCol w:w="109"/>
        <w:gridCol w:w="109"/>
        <w:gridCol w:w="224"/>
        <w:gridCol w:w="637"/>
        <w:gridCol w:w="293"/>
        <w:gridCol w:w="109"/>
        <w:gridCol w:w="109"/>
        <w:gridCol w:w="109"/>
        <w:gridCol w:w="224"/>
        <w:gridCol w:w="637"/>
        <w:gridCol w:w="293"/>
        <w:gridCol w:w="109"/>
        <w:gridCol w:w="109"/>
        <w:gridCol w:w="109"/>
        <w:gridCol w:w="223"/>
        <w:gridCol w:w="634"/>
        <w:gridCol w:w="343"/>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34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provision for income taxes for the three and six months ended June 30, 2026 included a net tax charge related to the tax on recognition of foreign withholding taxes on current year earnings and the net controlled foreign corporation tested income of our foreign subsidiaries, partially offset by the benefit from foreign-derived deduction eligible income. Our provision for income taxes for the six months ended June 30, 2026 also included a net discrete charge from increases in tax reserves related to a court ruling in a foreign jurisdiction impacting tax group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provision for income taxes for the three and six months ended June 28, 2025 included a net tax charge related to the tax on global intangible low-taxed income of our foreign subsidiaries and the recognition of foreign withholding taxes on current year earnings, partially offset by the benefit from foreign-derived intangible income. Our provision for income taxes for these periods also included a discrete benefit from decreases in certain tax reserves, including interest and penalties, primarily as a result of closing tax years. In addition, our provision for income taxes for the six months ended June 28, 2025 included a discrete benefit from a favorable tax ruling in a foreign jurisdiction related to deductibility of interest expense.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The final determination of tax audits and any related legal proceedings could materially differ from the amounts currently reflected in our tax provision for income taxes and the related liabilities. We and our U.S. subsidiaries have completed the IRS Compliance Assurance Process through 2023. With limited exceptions, we are no longer subject to income tax examinations by tax authorities for years prior to 2010.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7. Net Income Per Common Share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per common share was computed as follows: </w:t>
      </w:r>
    </w:p>
    <w:tbl>
      <w:tblPr>
        <w:tblW w:w="10205" w:type="dxa"/>
        <w:jc w:val="left"/>
        <w:tblInd w:w="0" w:type="dxa"/>
        <w:tblLayout w:type="fixed"/>
        <w:tblCellMar>
          <w:top w:w="28" w:type="dxa"/>
          <w:left w:w="28" w:type="dxa"/>
          <w:bottom w:w="28" w:type="dxa"/>
          <w:right w:w="28" w:type="dxa"/>
        </w:tblCellMar>
      </w:tblPr>
      <w:tblGrid>
        <w:gridCol w:w="1779"/>
        <w:gridCol w:w="1502"/>
        <w:gridCol w:w="1517"/>
        <w:gridCol w:w="249"/>
        <w:gridCol w:w="707"/>
        <w:gridCol w:w="138"/>
        <w:gridCol w:w="109"/>
        <w:gridCol w:w="109"/>
        <w:gridCol w:w="109"/>
        <w:gridCol w:w="249"/>
        <w:gridCol w:w="707"/>
        <w:gridCol w:w="138"/>
        <w:gridCol w:w="109"/>
        <w:gridCol w:w="109"/>
        <w:gridCol w:w="109"/>
        <w:gridCol w:w="249"/>
        <w:gridCol w:w="707"/>
        <w:gridCol w:w="138"/>
        <w:gridCol w:w="109"/>
        <w:gridCol w:w="109"/>
        <w:gridCol w:w="109"/>
        <w:gridCol w:w="246"/>
        <w:gridCol w:w="699"/>
        <w:gridCol w:w="199"/>
      </w:tblGrid>
      <w:tr>
        <w:trPr/>
        <w:tc>
          <w:tcPr>
            <w:tcW w:w="177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(A)Net income</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(B)Weighted average number of common shares outstanding</w:t>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Dilutive shares (additional common shares issuable under stock-based awards)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val="false"/>
                <w:color w:val="000000"/>
                <w:sz w:val="18"/>
              </w:rPr>
              <w:t>(C)</w:t>
            </w:r>
            <w:r>
              <w:rPr>
                <w:color w:val="000000"/>
              </w:rPr>
              <w:t> </w:t>
            </w:r>
            <w:r>
              <w:rPr>
                <w:rFonts w:ascii="Times New Roman;serif" w:hAnsi="Times New Roman;serif"/>
                <w:b w:val="false"/>
                <w:color w:val="000000"/>
                <w:sz w:val="18"/>
              </w:rPr>
              <w:t>Weighted average number of common shares outstanding, assuming dilution</w:t>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 ÷ (B)</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 (A) ÷ (C)</w:t>
            </w:r>
          </w:p>
        </w:tc>
        <w:tc>
          <w:tcPr>
            <w:tcW w:w="2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3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Certain stock-based compensation awards were excluded from the computation of net income per common share, assuming dilution, because they would not have had a dilutive effect. Stock-based compensation awards excluded from the computation totaled 0.3 million shares for the three months ended June 30, 2026 and 0.1 million for the three months ended June 28, 2025. Stock-based compensation awards excluded from the computation totaled 0.2 million shares for both the six months ended June 30, 2026 and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8. Supplemental Equity and Comprehensive Income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Consolidated Changes in Shareholders’ Equity </w:t>
      </w:r>
    </w:p>
    <w:tbl>
      <w:tblPr>
        <w:tblW w:w="10205" w:type="dxa"/>
        <w:jc w:val="left"/>
        <w:tblInd w:w="0" w:type="dxa"/>
        <w:tblLayout w:type="fixed"/>
        <w:tblCellMar>
          <w:top w:w="28" w:type="dxa"/>
          <w:left w:w="28" w:type="dxa"/>
          <w:bottom w:w="28" w:type="dxa"/>
          <w:right w:w="28" w:type="dxa"/>
        </w:tblCellMar>
      </w:tblPr>
      <w:tblGrid>
        <w:gridCol w:w="1768"/>
        <w:gridCol w:w="1456"/>
        <w:gridCol w:w="1458"/>
        <w:gridCol w:w="207"/>
        <w:gridCol w:w="800"/>
        <w:gridCol w:w="115"/>
        <w:gridCol w:w="109"/>
        <w:gridCol w:w="109"/>
        <w:gridCol w:w="109"/>
        <w:gridCol w:w="207"/>
        <w:gridCol w:w="800"/>
        <w:gridCol w:w="115"/>
        <w:gridCol w:w="109"/>
        <w:gridCol w:w="109"/>
        <w:gridCol w:w="109"/>
        <w:gridCol w:w="207"/>
        <w:gridCol w:w="800"/>
        <w:gridCol w:w="115"/>
        <w:gridCol w:w="109"/>
        <w:gridCol w:w="109"/>
        <w:gridCol w:w="109"/>
        <w:gridCol w:w="207"/>
        <w:gridCol w:w="799"/>
        <w:gridCol w:w="170"/>
      </w:tblGrid>
      <w:tr>
        <w:trPr/>
        <w:tc>
          <w:tcPr>
            <w:tcW w:w="176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6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Common stock issued, $1 par value per share</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in excess of par value</w:t>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Retained earnings</w:t>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Cumulative-effect adjustment upon adoption of accounting standard update</w:t>
            </w:r>
            <w:r>
              <w:rPr>
                <w:rFonts w:ascii="Times New Roman;serif" w:hAnsi="Times New Roman;serif"/>
                <w:b w:val="false"/>
                <w:color w:val="000000"/>
                <w:sz w:val="12"/>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Contribution of shares to 401(k) plan</w:t>
            </w:r>
            <w:r>
              <w:rPr>
                <w:rFonts w:ascii="Times New Roman;serif" w:hAnsi="Times New Roman;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5,399.3 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Treasury stock at cost</w:t>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for treasury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Issuance of shares under stock-based compensation plans</w:t>
            </w:r>
            <w:r>
              <w:rPr>
                <w:rFonts w:ascii="Times New Roman;serif" w:hAnsi="Times New Roman;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Contribution of shares to 401(k) plan</w:t>
            </w:r>
            <w:r>
              <w:rPr>
                <w:rFonts w:ascii="Times New Roman;serif" w:hAnsi="Times New Roman;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w:t>
            </w:r>
          </w:p>
        </w:tc>
        <w:tc>
          <w:tcPr>
            <w:tcW w:w="1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w:t>
            </w:r>
          </w:p>
        </w:tc>
        <w:tc>
          <w:tcPr>
            <w:tcW w:w="1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w:t>
            </w:r>
          </w:p>
        </w:tc>
        <w:tc>
          <w:tcPr>
            <w:tcW w:w="1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w:t>
            </w:r>
          </w:p>
        </w:tc>
        <w:tc>
          <w:tcPr>
            <w:tcW w:w="1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We fund a portion of our employee-related costs using shares of our common stock held in treasury. We reduce capital in excess of par value based on the grant date fair value of vesting awards and record net gains or losses associated with using treasury shares to retained earnings.</w:t>
      </w:r>
    </w:p>
    <w:p>
      <w:pPr>
        <w:pStyle w:val="TextBody"/>
        <w:bidi w:val="0"/>
        <w:spacing w:lineRule="auto" w:line="288" w:before="0" w:after="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 xml:space="preserve">In the first quarter of 2025, we adopted accounting guidance that requires crypto assets to be measured at fair value, which resulted in an adjustment to reflect the difference between the carrying value of our holdings in crypto assets and their fair value as of the beginning of 2025. Crypto assets were not material to the unaudited Condensed Consolidated Financial Statements.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Dividends per common share were as follows: </w:t>
      </w:r>
    </w:p>
    <w:tbl>
      <w:tblPr>
        <w:tblW w:w="7847" w:type="dxa"/>
        <w:jc w:val="center"/>
        <w:tblInd w:w="0" w:type="dxa"/>
        <w:tblLayout w:type="fixed"/>
        <w:tblCellMar>
          <w:top w:w="28" w:type="dxa"/>
          <w:left w:w="28" w:type="dxa"/>
          <w:bottom w:w="28" w:type="dxa"/>
          <w:right w:w="28" w:type="dxa"/>
        </w:tblCellMar>
      </w:tblPr>
      <w:tblGrid>
        <w:gridCol w:w="798"/>
        <w:gridCol w:w="700"/>
        <w:gridCol w:w="706"/>
        <w:gridCol w:w="293"/>
        <w:gridCol w:w="698"/>
        <w:gridCol w:w="163"/>
        <w:gridCol w:w="109"/>
        <w:gridCol w:w="109"/>
        <w:gridCol w:w="109"/>
        <w:gridCol w:w="332"/>
        <w:gridCol w:w="638"/>
        <w:gridCol w:w="185"/>
        <w:gridCol w:w="109"/>
        <w:gridCol w:w="109"/>
        <w:gridCol w:w="109"/>
        <w:gridCol w:w="293"/>
        <w:gridCol w:w="698"/>
        <w:gridCol w:w="163"/>
        <w:gridCol w:w="109"/>
        <w:gridCol w:w="109"/>
        <w:gridCol w:w="109"/>
        <w:gridCol w:w="288"/>
        <w:gridCol w:w="685"/>
        <w:gridCol w:w="226"/>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20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per common share</w:t>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Changes in Accumulated Other Comprehensive Loss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loss” (net of tax) for the six-month period ended June 30, 2026 were as follows:</w:t>
      </w:r>
    </w:p>
    <w:tbl>
      <w:tblPr>
        <w:tblW w:w="10205" w:type="dxa"/>
        <w:jc w:val="left"/>
        <w:tblInd w:w="0" w:type="dxa"/>
        <w:tblLayout w:type="fixed"/>
        <w:tblCellMar>
          <w:top w:w="28" w:type="dxa"/>
          <w:left w:w="28" w:type="dxa"/>
          <w:bottom w:w="28" w:type="dxa"/>
          <w:right w:w="28" w:type="dxa"/>
        </w:tblCellMar>
      </w:tblPr>
      <w:tblGrid>
        <w:gridCol w:w="1441"/>
        <w:gridCol w:w="1213"/>
        <w:gridCol w:w="1223"/>
        <w:gridCol w:w="250"/>
        <w:gridCol w:w="731"/>
        <w:gridCol w:w="139"/>
        <w:gridCol w:w="109"/>
        <w:gridCol w:w="109"/>
        <w:gridCol w:w="109"/>
        <w:gridCol w:w="306"/>
        <w:gridCol w:w="753"/>
        <w:gridCol w:w="172"/>
        <w:gridCol w:w="109"/>
        <w:gridCol w:w="109"/>
        <w:gridCol w:w="109"/>
        <w:gridCol w:w="226"/>
        <w:gridCol w:w="503"/>
        <w:gridCol w:w="126"/>
        <w:gridCol w:w="109"/>
        <w:gridCol w:w="109"/>
        <w:gridCol w:w="109"/>
        <w:gridCol w:w="224"/>
        <w:gridCol w:w="497"/>
        <w:gridCol w:w="124"/>
        <w:gridCol w:w="109"/>
        <w:gridCol w:w="109"/>
        <w:gridCol w:w="109"/>
        <w:gridCol w:w="196"/>
        <w:gridCol w:w="612"/>
        <w:gridCol w:w="161"/>
      </w:tblGrid>
      <w:tr>
        <w:trPr/>
        <w:tc>
          <w:tcPr>
            <w:tcW w:w="144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pPr>
            <w:r>
              <w:rPr>
                <w:rFonts w:ascii="Times New Roman;serif" w:hAnsi="Times New Roman;serif"/>
                <w:b/>
                <w:color w:val="000000"/>
                <w:sz w:val="18"/>
              </w:rPr>
              <w:t>Translation</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Pension and</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Postretirement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Cash Flow</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3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 net of tax</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to net income,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2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w:t>
            </w:r>
          </w:p>
        </w:tc>
        <w:tc>
          <w:tcPr>
            <w:tcW w:w="1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w:t>
            </w:r>
          </w:p>
        </w:tc>
        <w:tc>
          <w:tcPr>
            <w:tcW w:w="1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Included the impact of our derivative financial instruments accounted for as net investment hedges. Refer to Note 5, “Financial Instruments,” to the unaudited Condensed Consolidated Financial Statements for more information.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changes in “Accumulated other comprehensive loss” (net of tax) for the six-month period ended June 28, 2025 were as follows: </w:t>
      </w:r>
    </w:p>
    <w:tbl>
      <w:tblPr>
        <w:tblW w:w="10205" w:type="dxa"/>
        <w:jc w:val="center"/>
        <w:tblInd w:w="0" w:type="dxa"/>
        <w:tblLayout w:type="fixed"/>
        <w:tblCellMar>
          <w:top w:w="28" w:type="dxa"/>
          <w:left w:w="28" w:type="dxa"/>
          <w:bottom w:w="28" w:type="dxa"/>
          <w:right w:w="28" w:type="dxa"/>
        </w:tblCellMar>
      </w:tblPr>
      <w:tblGrid>
        <w:gridCol w:w="1443"/>
        <w:gridCol w:w="1214"/>
        <w:gridCol w:w="1225"/>
        <w:gridCol w:w="250"/>
        <w:gridCol w:w="731"/>
        <w:gridCol w:w="139"/>
        <w:gridCol w:w="109"/>
        <w:gridCol w:w="109"/>
        <w:gridCol w:w="109"/>
        <w:gridCol w:w="306"/>
        <w:gridCol w:w="753"/>
        <w:gridCol w:w="172"/>
        <w:gridCol w:w="109"/>
        <w:gridCol w:w="109"/>
        <w:gridCol w:w="109"/>
        <w:gridCol w:w="226"/>
        <w:gridCol w:w="503"/>
        <w:gridCol w:w="126"/>
        <w:gridCol w:w="109"/>
        <w:gridCol w:w="109"/>
        <w:gridCol w:w="109"/>
        <w:gridCol w:w="242"/>
        <w:gridCol w:w="464"/>
        <w:gridCol w:w="134"/>
        <w:gridCol w:w="109"/>
        <w:gridCol w:w="109"/>
        <w:gridCol w:w="109"/>
        <w:gridCol w:w="196"/>
        <w:gridCol w:w="612"/>
        <w:gridCol w:w="161"/>
      </w:tblGrid>
      <w:tr>
        <w:trPr/>
        <w:tc>
          <w:tcPr>
            <w:tcW w:w="144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Foreign</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88" w:before="0" w:after="0"/>
              <w:jc w:val="right"/>
              <w:rPr/>
            </w:pPr>
            <w:r>
              <w:rPr>
                <w:rFonts w:ascii="Times New Roman;serif" w:hAnsi="Times New Roman;serif"/>
                <w:b/>
                <w:color w:val="000000"/>
                <w:sz w:val="18"/>
              </w:rPr>
              <w:t>Translation</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Pension and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Postretirement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Cash Flow</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38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2024</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 net of tax</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to net income,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28, 2025</w:t>
            </w:r>
          </w:p>
        </w:tc>
        <w:tc>
          <w:tcPr>
            <w:tcW w:w="2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w:t>
            </w:r>
          </w:p>
        </w:tc>
        <w:tc>
          <w:tcPr>
            <w:tcW w:w="1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1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w:t>
            </w:r>
          </w:p>
        </w:tc>
        <w:tc>
          <w:tcPr>
            <w:tcW w:w="1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Included the impact of our derivative financial instruments accounted for as net investment hedges. Refer to Note 5, “Financial Instruments,” to the unaudited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9. Fair Value Measurements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Recurring Fair Value Measurements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Assets and liabilities carried at fair value, measured on a recurring basis, as of June 30, 2026 were as follows: </w:t>
      </w:r>
    </w:p>
    <w:tbl>
      <w:tblPr>
        <w:tblW w:w="7289" w:type="dxa"/>
        <w:jc w:val="left"/>
        <w:tblInd w:w="0" w:type="dxa"/>
        <w:tblLayout w:type="fixed"/>
        <w:tblCellMar>
          <w:top w:w="28" w:type="dxa"/>
          <w:left w:w="28" w:type="dxa"/>
          <w:bottom w:w="28" w:type="dxa"/>
          <w:right w:w="28" w:type="dxa"/>
        </w:tblCellMar>
      </w:tblPr>
      <w:tblGrid>
        <w:gridCol w:w="928"/>
        <w:gridCol w:w="815"/>
        <w:gridCol w:w="822"/>
        <w:gridCol w:w="196"/>
        <w:gridCol w:w="466"/>
        <w:gridCol w:w="109"/>
        <w:gridCol w:w="109"/>
        <w:gridCol w:w="109"/>
        <w:gridCol w:w="109"/>
        <w:gridCol w:w="198"/>
        <w:gridCol w:w="472"/>
        <w:gridCol w:w="110"/>
        <w:gridCol w:w="109"/>
        <w:gridCol w:w="109"/>
        <w:gridCol w:w="109"/>
        <w:gridCol w:w="248"/>
        <w:gridCol w:w="589"/>
        <w:gridCol w:w="139"/>
        <w:gridCol w:w="109"/>
        <w:gridCol w:w="109"/>
        <w:gridCol w:w="109"/>
        <w:gridCol w:w="315"/>
        <w:gridCol w:w="653"/>
        <w:gridCol w:w="248"/>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Quoted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Prices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 Active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Markets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Observable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Significant</w:t>
              <w:br/>
              <w:t>Other</w:t>
              <w:br/>
              <w:t>Unobservable</w:t>
              <w:br/>
              <w:t>Inputs</w:t>
              <w:br/>
              <w:t>(Level 3)</w:t>
            </w:r>
          </w:p>
        </w:tc>
      </w:tr>
      <w:tr>
        <w:trPr/>
        <w:tc>
          <w:tcPr>
            <w:tcW w:w="2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drafts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liabilities</w:t>
            </w:r>
          </w:p>
        </w:tc>
        <w:tc>
          <w:tcPr>
            <w:tcW w:w="6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4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Assets and liabilities carried at fair value, measured on a recurring basis, as of December 31, 2025 were as follows: </w:t>
      </w:r>
    </w:p>
    <w:tbl>
      <w:tblPr>
        <w:tblW w:w="7289" w:type="dxa"/>
        <w:jc w:val="left"/>
        <w:tblInd w:w="0" w:type="dxa"/>
        <w:tblLayout w:type="fixed"/>
        <w:tblCellMar>
          <w:top w:w="28" w:type="dxa"/>
          <w:left w:w="28" w:type="dxa"/>
          <w:bottom w:w="28" w:type="dxa"/>
          <w:right w:w="28" w:type="dxa"/>
        </w:tblCellMar>
      </w:tblPr>
      <w:tblGrid>
        <w:gridCol w:w="928"/>
        <w:gridCol w:w="815"/>
        <w:gridCol w:w="822"/>
        <w:gridCol w:w="196"/>
        <w:gridCol w:w="466"/>
        <w:gridCol w:w="109"/>
        <w:gridCol w:w="109"/>
        <w:gridCol w:w="109"/>
        <w:gridCol w:w="109"/>
        <w:gridCol w:w="198"/>
        <w:gridCol w:w="472"/>
        <w:gridCol w:w="110"/>
        <w:gridCol w:w="109"/>
        <w:gridCol w:w="109"/>
        <w:gridCol w:w="109"/>
        <w:gridCol w:w="248"/>
        <w:gridCol w:w="589"/>
        <w:gridCol w:w="139"/>
        <w:gridCol w:w="109"/>
        <w:gridCol w:w="109"/>
        <w:gridCol w:w="109"/>
        <w:gridCol w:w="315"/>
        <w:gridCol w:w="653"/>
        <w:gridCol w:w="248"/>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Quoted</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Prices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 Active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Markets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Observable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Significant</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Unobservable</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Inputs</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3)</w:t>
            </w:r>
          </w:p>
        </w:tc>
      </w:tr>
      <w:tr>
        <w:trPr/>
        <w:tc>
          <w:tcPr>
            <w:tcW w:w="2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drafts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liabilities</w:t>
            </w:r>
          </w:p>
        </w:tc>
        <w:tc>
          <w:tcPr>
            <w:tcW w:w="6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4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Investments include fixed income securities (primarily U.S. government and corporate debt and equity securities) measured at fair value using quoted prices/bids and a money market fund measured at fair value using net asset value. Investments of $1.7 million and $1.1 million were included in "Cash and cash equivalents," $47.4 million and $46.9 million in "Other current assets," and $0.4 million and $1.1 million in “Other assets” as of June 30, 2026 and December 31, 2025, respectively, in the unaudited Condensed Consolidated Balance Sheets. Derivatives that are exchange-traded are measured at fair value using quoted market prices and classified within Level 1 of the valuation hierarchy. Derivatives measured based on foreign currency exchange rate inputs that are readily available in public markets are classified within Level 2 of the valuation hierarchy. Bank drafts (maturities greater than three months), which are valued at face value due to their short-term nature, were included in “Other current assets” in the unaudited Condensed Consolidated Balance Sheets.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Contingent consideration liabilities as of June 30, 2026 and December 31, 2025 relate to estimated earn-out payments associated with an acquisition completed in 2021, which are subject to the acquired company achieving certain post-acquisition performance targets. These liabilities were recorded based on the expected payments and have been classified within Level 3 of the valuation hierarchy. Activity related to contingent consideration was immaterial for the six months ended June 30, 2026 and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Note 10. Venture Investments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We invest primarily in privately held companies and utilize the measurement alternative for venture investments where we do not exercise significant influence. These investments do not have a readily determinable fair value; therefore, we measure them at cost less impairment plus or minus observable price changes in an orderly transaction. Venture investments that are publicly traded companies are recorded at fair value using Level 1 inputs. The carrying value of our venture investments was included in “Other assets” in the unaudited Condensed Consolidated Balance Sheets.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April 27, 2026, we completed an approximately $75 million minority investment in Wiliot Ltd., a company specializing in physical artificial intelligence for supply chains. We expect this investment to expand our portfolio of sensor technologies and solutions. We funded this investment using a combination of cash and commercial paper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Venture investments by form and measurement category as of June 30, 2026 were as follows:</w:t>
      </w:r>
    </w:p>
    <w:tbl>
      <w:tblPr>
        <w:tblW w:w="7336" w:type="dxa"/>
        <w:jc w:val="left"/>
        <w:tblInd w:w="0" w:type="dxa"/>
        <w:tblLayout w:type="fixed"/>
        <w:tblCellMar>
          <w:top w:w="28" w:type="dxa"/>
          <w:left w:w="28" w:type="dxa"/>
          <w:bottom w:w="28" w:type="dxa"/>
          <w:right w:w="28" w:type="dxa"/>
        </w:tblCellMar>
      </w:tblPr>
      <w:tblGrid>
        <w:gridCol w:w="641"/>
        <w:gridCol w:w="562"/>
        <w:gridCol w:w="567"/>
        <w:gridCol w:w="196"/>
        <w:gridCol w:w="556"/>
        <w:gridCol w:w="109"/>
        <w:gridCol w:w="109"/>
        <w:gridCol w:w="109"/>
        <w:gridCol w:w="109"/>
        <w:gridCol w:w="303"/>
        <w:gridCol w:w="443"/>
        <w:gridCol w:w="168"/>
        <w:gridCol w:w="109"/>
        <w:gridCol w:w="109"/>
        <w:gridCol w:w="109"/>
        <w:gridCol w:w="467"/>
        <w:gridCol w:w="1326"/>
        <w:gridCol w:w="261"/>
        <w:gridCol w:w="109"/>
        <w:gridCol w:w="109"/>
        <w:gridCol w:w="109"/>
        <w:gridCol w:w="196"/>
        <w:gridCol w:w="40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Venture investments: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26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Venture investments by form and measurement category as of December 31, 2025 were as follows:</w:t>
      </w:r>
    </w:p>
    <w:tbl>
      <w:tblPr>
        <w:tblW w:w="7247" w:type="dxa"/>
        <w:jc w:val="left"/>
        <w:tblInd w:w="0" w:type="dxa"/>
        <w:tblLayout w:type="fixed"/>
        <w:tblCellMar>
          <w:top w:w="28" w:type="dxa"/>
          <w:left w:w="28" w:type="dxa"/>
          <w:bottom w:w="28" w:type="dxa"/>
          <w:right w:w="28" w:type="dxa"/>
        </w:tblCellMar>
      </w:tblPr>
      <w:tblGrid>
        <w:gridCol w:w="641"/>
        <w:gridCol w:w="562"/>
        <w:gridCol w:w="567"/>
        <w:gridCol w:w="196"/>
        <w:gridCol w:w="466"/>
        <w:gridCol w:w="109"/>
        <w:gridCol w:w="109"/>
        <w:gridCol w:w="109"/>
        <w:gridCol w:w="109"/>
        <w:gridCol w:w="263"/>
        <w:gridCol w:w="505"/>
        <w:gridCol w:w="146"/>
        <w:gridCol w:w="109"/>
        <w:gridCol w:w="109"/>
        <w:gridCol w:w="109"/>
        <w:gridCol w:w="521"/>
        <w:gridCol w:w="1241"/>
        <w:gridCol w:w="293"/>
        <w:gridCol w:w="109"/>
        <w:gridCol w:w="109"/>
        <w:gridCol w:w="109"/>
        <w:gridCol w:w="196"/>
        <w:gridCol w:w="40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Fair Value</w:t>
            </w:r>
          </w:p>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Other</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Venture investments: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9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Unrealized gain (loss) on venture investments, net, was as follows and recorded in “Other expense (income), net” in the unaudited Condensed Consolidated Statements of Income: </w:t>
      </w:r>
    </w:p>
    <w:tbl>
      <w:tblPr>
        <w:tblW w:w="9337" w:type="dxa"/>
        <w:jc w:val="left"/>
        <w:tblInd w:w="0" w:type="dxa"/>
        <w:tblLayout w:type="fixed"/>
        <w:tblCellMar>
          <w:top w:w="28" w:type="dxa"/>
          <w:left w:w="28" w:type="dxa"/>
          <w:bottom w:w="28" w:type="dxa"/>
          <w:right w:w="28" w:type="dxa"/>
        </w:tblCellMar>
      </w:tblPr>
      <w:tblGrid>
        <w:gridCol w:w="1324"/>
        <w:gridCol w:w="1164"/>
        <w:gridCol w:w="1171"/>
        <w:gridCol w:w="340"/>
        <w:gridCol w:w="627"/>
        <w:gridCol w:w="188"/>
        <w:gridCol w:w="120"/>
        <w:gridCol w:w="120"/>
        <w:gridCol w:w="120"/>
        <w:gridCol w:w="383"/>
        <w:gridCol w:w="560"/>
        <w:gridCol w:w="212"/>
        <w:gridCol w:w="109"/>
        <w:gridCol w:w="109"/>
        <w:gridCol w:w="109"/>
        <w:gridCol w:w="340"/>
        <w:gridCol w:w="626"/>
        <w:gridCol w:w="189"/>
        <w:gridCol w:w="109"/>
        <w:gridCol w:w="109"/>
        <w:gridCol w:w="109"/>
        <w:gridCol w:w="293"/>
        <w:gridCol w:w="676"/>
        <w:gridCol w:w="230"/>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venture investments, net</w:t>
            </w:r>
          </w:p>
        </w:tc>
        <w:tc>
          <w:tcPr>
            <w:tcW w:w="34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8"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3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Cumulative upward adjustments on venture investments recorded under the measurement alternative were $27.7 million at June 30, 2026 and December 31, 2025. Cumulative downward adjustments and impairments on venture investments recorded under the measurement alternative were $7.6 million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11. Commitments and Contingencies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Legal Proceedings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we incur liabilities that were not previously accrued. Probable insurance reimbursements are not offset against potential liabilities.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Because of the uncertainties associated with claims resolution and litigation, future expenses to resolve legal proceedings could be higher than the liabilities we have accrued. If information were to become available that allowed us to reasonably estimate an amount higher or lower than what we have accrued in the range of potential expenses determined to be probable,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their resolution cannot be determined. Based upon current information, we believe that the impact of the resolution of legal proceedings would not be, individually or in the aggregate, material to our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Environmental Expenditures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Environmental expenditures are generally expensed.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matters could affect future results of operations should our exposure be materially different from our estimates or should we incur liabilities that were not previously accrued. Probable insurance reimbursements are not offset against potential liabilities. We review our estimates of the costs of complying with environmental laws related to the remediation and cleanup of various sites, including sites in which governmental agencies have designated us as a potentially responsible party (“PRP”). However, environmental expenditures for newly acquired assets and those that extend or improve the economic useful life of existing assets are capitalized and amortized over the shorter of the estimated useful life of the acquired asset or the remaining life of the existing asset.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we have been designated by the U.S. Environmental Protection Agency (“EPA”) and/or other responsible state agencies as a PRP at ten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enter into with the EPA or other governmental authorities.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our future expenses to remediate these sites could be higher than the liabilities we have accrued. If information were to become available that allowed us to reasonably estimate an amount higher or lower than what we have accrued in the range of potential expenses, we would adjust our environmental liabilities accordingly. In addition, we may be identified as a PRP at additional sites in the future. The range of expenses for remediation of any future-identified sites would be addressed as they arise; until then, a range of expenses for their remediation cannot be determined.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activity related to our environmental liabilities for the six months ended June 30, 2026 is shown below. </w:t>
      </w:r>
    </w:p>
    <w:tbl>
      <w:tblPr>
        <w:tblW w:w="3095" w:type="dxa"/>
        <w:jc w:val="left"/>
        <w:tblInd w:w="0" w:type="dxa"/>
        <w:tblLayout w:type="fixed"/>
        <w:tblCellMar>
          <w:top w:w="28" w:type="dxa"/>
          <w:left w:w="28" w:type="dxa"/>
          <w:bottom w:w="28" w:type="dxa"/>
          <w:right w:w="28" w:type="dxa"/>
        </w:tblCellMar>
      </w:tblPr>
      <w:tblGrid>
        <w:gridCol w:w="825"/>
        <w:gridCol w:w="724"/>
        <w:gridCol w:w="730"/>
        <w:gridCol w:w="196"/>
        <w:gridCol w:w="46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net of reversals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Approximately $2 million of this balance was classified as short-term and included in “Other current liabilities” in the unaudited Condensed Consolidated Balance Sheets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12. Segment and Disaggregated Revenue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Disaggregated Revenue Information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Disaggregated revenue information is shown below in the manner that best reflects how the nature, amount, timing and uncertainty of our revenue and cash flows are affected by economic factors. Revenue from our Materials Group reportable segment is attributed to geographic areas based on the location from which products are shipped. Revenue from our Solutions Group reportable segment is shown by product group. </w:t>
      </w:r>
    </w:p>
    <w:tbl>
      <w:tblPr>
        <w:tblW w:w="9036" w:type="dxa"/>
        <w:jc w:val="left"/>
        <w:tblInd w:w="0" w:type="dxa"/>
        <w:tblLayout w:type="fixed"/>
        <w:tblCellMar>
          <w:top w:w="28" w:type="dxa"/>
          <w:left w:w="28" w:type="dxa"/>
          <w:bottom w:w="28" w:type="dxa"/>
          <w:right w:w="28" w:type="dxa"/>
        </w:tblCellMar>
      </w:tblPr>
      <w:tblGrid>
        <w:gridCol w:w="1118"/>
        <w:gridCol w:w="983"/>
        <w:gridCol w:w="989"/>
        <w:gridCol w:w="257"/>
        <w:gridCol w:w="906"/>
        <w:gridCol w:w="142"/>
        <w:gridCol w:w="109"/>
        <w:gridCol w:w="109"/>
        <w:gridCol w:w="109"/>
        <w:gridCol w:w="227"/>
        <w:gridCol w:w="802"/>
        <w:gridCol w:w="126"/>
        <w:gridCol w:w="109"/>
        <w:gridCol w:w="109"/>
        <w:gridCol w:w="109"/>
        <w:gridCol w:w="257"/>
        <w:gridCol w:w="906"/>
        <w:gridCol w:w="142"/>
        <w:gridCol w:w="109"/>
        <w:gridCol w:w="109"/>
        <w:gridCol w:w="109"/>
        <w:gridCol w:w="226"/>
        <w:gridCol w:w="797"/>
        <w:gridCol w:w="177"/>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June 30, 2026</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8"/>
              </w:rPr>
              <w:t>June 30, 2026</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 to unaffiliated customers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Europe, the Middle East and North Africa</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Materials Group</w:t>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3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Apparel and other</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Identification Solutions and Vestcom</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Solutions Group</w:t>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257"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2,462.9 </w:t>
            </w:r>
          </w:p>
        </w:tc>
        <w:tc>
          <w:tcPr>
            <w:tcW w:w="142"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26"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4,761.4 </w:t>
            </w:r>
          </w:p>
        </w:tc>
        <w:tc>
          <w:tcPr>
            <w:tcW w:w="142"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4,368.8 </w:t>
            </w:r>
          </w:p>
        </w:tc>
        <w:tc>
          <w:tcPr>
            <w:tcW w:w="177" w:type="dxa"/>
            <w:tcBorders>
              <w:top w:val="single" w:sz="16"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5946"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Beginning in the first quarter of 2026 and to better align with our growth strategy, incremental revenues for certain radio-frequency identification products were included in the Materials Group reportable segment; in prior years, these revenues were included in the Solutions Group reportable segment. Prior-year amounts were not material.</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Segment Information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chief operating decision maker uses segment adjusted operating income to evaluate segment performance and allocate resources. Segment adjusted operating income is defined as income before taxes adjusted for other expense (income), net; interest expense; and other non-operating expense (income), net. Segment results and reconciliation to income before taxes are presented below.</w:t>
      </w:r>
    </w:p>
    <w:tbl>
      <w:tblPr>
        <w:tblW w:w="8270" w:type="dxa"/>
        <w:jc w:val="left"/>
        <w:tblInd w:w="0" w:type="dxa"/>
        <w:tblLayout w:type="fixed"/>
        <w:tblCellMar>
          <w:top w:w="28" w:type="dxa"/>
          <w:left w:w="28" w:type="dxa"/>
          <w:bottom w:w="28" w:type="dxa"/>
          <w:right w:w="28" w:type="dxa"/>
        </w:tblCellMar>
      </w:tblPr>
      <w:tblGrid>
        <w:gridCol w:w="950"/>
        <w:gridCol w:w="835"/>
        <w:gridCol w:w="839"/>
        <w:gridCol w:w="227"/>
        <w:gridCol w:w="802"/>
        <w:gridCol w:w="126"/>
        <w:gridCol w:w="109"/>
        <w:gridCol w:w="109"/>
        <w:gridCol w:w="109"/>
        <w:gridCol w:w="227"/>
        <w:gridCol w:w="802"/>
        <w:gridCol w:w="126"/>
        <w:gridCol w:w="109"/>
        <w:gridCol w:w="109"/>
        <w:gridCol w:w="109"/>
        <w:gridCol w:w="227"/>
        <w:gridCol w:w="802"/>
        <w:gridCol w:w="126"/>
        <w:gridCol w:w="109"/>
        <w:gridCol w:w="109"/>
        <w:gridCol w:w="109"/>
        <w:gridCol w:w="226"/>
        <w:gridCol w:w="797"/>
        <w:gridCol w:w="177"/>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Materials Group</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Segment expense</w:t>
            </w:r>
            <w:r>
              <w:rPr>
                <w:rFonts w:ascii="Times New Roman;serif" w:hAnsi="Times New Roman;serif"/>
                <w:b w:val="false"/>
                <w:color w:val="000000"/>
                <w:sz w:val="12"/>
              </w:rPr>
              <w:t>(1)</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operating income</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Solutions Group</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Segment expense</w:t>
            </w:r>
            <w:r>
              <w:rPr>
                <w:rFonts w:ascii="Times New Roman;serif" w:hAnsi="Times New Roman;serif"/>
                <w:b w:val="false"/>
                <w:color w:val="000000"/>
                <w:sz w:val="12"/>
              </w:rPr>
              <w:t>(1)</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operating income</w:t>
            </w:r>
          </w:p>
        </w:tc>
        <w:tc>
          <w:tcPr>
            <w:tcW w:w="2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expense included cost of products sold and marketing, general and administrative expense and excluded other expense (income), 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tbl>
      <w:tblPr>
        <w:tblW w:w="8796" w:type="dxa"/>
        <w:jc w:val="left"/>
        <w:tblInd w:w="0" w:type="dxa"/>
        <w:tblLayout w:type="fixed"/>
        <w:tblCellMar>
          <w:top w:w="28" w:type="dxa"/>
          <w:left w:w="28" w:type="dxa"/>
          <w:bottom w:w="28" w:type="dxa"/>
          <w:right w:w="28" w:type="dxa"/>
        </w:tblCellMar>
      </w:tblPr>
      <w:tblGrid>
        <w:gridCol w:w="1137"/>
        <w:gridCol w:w="1001"/>
        <w:gridCol w:w="1012"/>
        <w:gridCol w:w="263"/>
        <w:gridCol w:w="746"/>
        <w:gridCol w:w="146"/>
        <w:gridCol w:w="109"/>
        <w:gridCol w:w="109"/>
        <w:gridCol w:w="109"/>
        <w:gridCol w:w="263"/>
        <w:gridCol w:w="746"/>
        <w:gridCol w:w="146"/>
        <w:gridCol w:w="109"/>
        <w:gridCol w:w="109"/>
        <w:gridCol w:w="109"/>
        <w:gridCol w:w="263"/>
        <w:gridCol w:w="746"/>
        <w:gridCol w:w="146"/>
        <w:gridCol w:w="109"/>
        <w:gridCol w:w="109"/>
        <w:gridCol w:w="109"/>
        <w:gridCol w:w="259"/>
        <w:gridCol w:w="737"/>
        <w:gridCol w:w="204"/>
      </w:tblGrid>
      <w:tr>
        <w:trPr/>
        <w:tc>
          <w:tcPr>
            <w:tcW w:w="113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Segment adjusted operating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608.0 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w:t>
            </w:r>
            <w:r>
              <w:rPr>
                <w:rFonts w:ascii="Times New Roman;serif" w:hAnsi="Times New Roman;serif"/>
                <w:b w:val="false"/>
                <w:color w:val="000000"/>
                <w:sz w:val="12"/>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net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2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Corporate expense generally includes unallocated corporate headquarter expenses such as administrative and stock-based compensation costs. </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Additional Segment Information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 financial information by reportable segment is shown below. We do not disclose total assets by reportable segment since we neither generate nor review that information internally.</w:t>
      </w:r>
    </w:p>
    <w:tbl>
      <w:tblPr>
        <w:tblW w:w="8898" w:type="dxa"/>
        <w:jc w:val="left"/>
        <w:tblInd w:w="0" w:type="dxa"/>
        <w:tblLayout w:type="fixed"/>
        <w:tblCellMar>
          <w:top w:w="28" w:type="dxa"/>
          <w:left w:w="28" w:type="dxa"/>
          <w:bottom w:w="28" w:type="dxa"/>
          <w:right w:w="28" w:type="dxa"/>
        </w:tblCellMar>
      </w:tblPr>
      <w:tblGrid>
        <w:gridCol w:w="1178"/>
        <w:gridCol w:w="1035"/>
        <w:gridCol w:w="1041"/>
        <w:gridCol w:w="293"/>
        <w:gridCol w:w="698"/>
        <w:gridCol w:w="163"/>
        <w:gridCol w:w="109"/>
        <w:gridCol w:w="109"/>
        <w:gridCol w:w="109"/>
        <w:gridCol w:w="293"/>
        <w:gridCol w:w="698"/>
        <w:gridCol w:w="163"/>
        <w:gridCol w:w="109"/>
        <w:gridCol w:w="109"/>
        <w:gridCol w:w="109"/>
        <w:gridCol w:w="263"/>
        <w:gridCol w:w="746"/>
        <w:gridCol w:w="146"/>
        <w:gridCol w:w="109"/>
        <w:gridCol w:w="109"/>
        <w:gridCol w:w="109"/>
        <w:gridCol w:w="259"/>
        <w:gridCol w:w="737"/>
        <w:gridCol w:w="20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sales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sales</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Capital expenditures</w:t>
            </w:r>
            <w:r>
              <w:rPr>
                <w:rFonts w:ascii="Times New Roman;serif" w:hAnsi="Times New Roman;serif"/>
                <w:b/>
                <w:color w:val="000000"/>
                <w:sz w:val="12"/>
              </w:rPr>
              <w:t>(1)(2)</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Depreciation and amortization expense</w:t>
            </w:r>
            <w:r>
              <w:rPr>
                <w:rFonts w:ascii="Times New Roman;serif" w:hAnsi="Times New Roman;serif"/>
                <w:b/>
                <w:color w:val="000000"/>
                <w:sz w:val="12"/>
              </w:rPr>
              <w:t>(1)</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Group</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Solutions Group</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9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20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5644" w:type="dxa"/>
            <w:gridSpan w:val="21"/>
            <w:tcBorders/>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Corporate capital expenditures and depreciation and amortization expense are allocated to the reportable segments based on their percentage of consolidated net sales. </w:t>
      </w:r>
    </w:p>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Capital expenditures for property, plant and equipment included accruals.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expense (income), net, by type was as follows:</w:t>
      </w:r>
    </w:p>
    <w:tbl>
      <w:tblPr>
        <w:tblW w:w="9154" w:type="dxa"/>
        <w:jc w:val="left"/>
        <w:tblInd w:w="0" w:type="dxa"/>
        <w:tblLayout w:type="fixed"/>
        <w:tblCellMar>
          <w:top w:w="28" w:type="dxa"/>
          <w:left w:w="28" w:type="dxa"/>
          <w:bottom w:w="28" w:type="dxa"/>
          <w:right w:w="28" w:type="dxa"/>
        </w:tblCellMar>
      </w:tblPr>
      <w:tblGrid>
        <w:gridCol w:w="1270"/>
        <w:gridCol w:w="1118"/>
        <w:gridCol w:w="1121"/>
        <w:gridCol w:w="293"/>
        <w:gridCol w:w="698"/>
        <w:gridCol w:w="163"/>
        <w:gridCol w:w="110"/>
        <w:gridCol w:w="110"/>
        <w:gridCol w:w="110"/>
        <w:gridCol w:w="332"/>
        <w:gridCol w:w="638"/>
        <w:gridCol w:w="184"/>
        <w:gridCol w:w="109"/>
        <w:gridCol w:w="109"/>
        <w:gridCol w:w="109"/>
        <w:gridCol w:w="293"/>
        <w:gridCol w:w="698"/>
        <w:gridCol w:w="163"/>
        <w:gridCol w:w="109"/>
        <w:gridCol w:w="109"/>
        <w:gridCol w:w="109"/>
        <w:gridCol w:w="288"/>
        <w:gridCol w:w="685"/>
        <w:gridCol w:w="226"/>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 net, by type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 net of reversals: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 net of reversals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impairment and lease cancellation charges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venture and other investments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Argentine peso remeasurement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sales of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Outcomes of legal matters and settlements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related costs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29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6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5645"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Note 13. Supplemental Financial Information </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Inventories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amounts in inventories. </w:t>
      </w:r>
    </w:p>
    <w:tbl>
      <w:tblPr>
        <w:tblW w:w="4467" w:type="dxa"/>
        <w:jc w:val="center"/>
        <w:tblInd w:w="0" w:type="dxa"/>
        <w:tblLayout w:type="fixed"/>
        <w:tblCellMar>
          <w:top w:w="28" w:type="dxa"/>
          <w:left w:w="28" w:type="dxa"/>
          <w:bottom w:w="28" w:type="dxa"/>
          <w:right w:w="28" w:type="dxa"/>
        </w:tblCellMar>
      </w:tblPr>
      <w:tblGrid>
        <w:gridCol w:w="574"/>
        <w:gridCol w:w="455"/>
        <w:gridCol w:w="367"/>
        <w:gridCol w:w="227"/>
        <w:gridCol w:w="802"/>
        <w:gridCol w:w="126"/>
        <w:gridCol w:w="109"/>
        <w:gridCol w:w="109"/>
        <w:gridCol w:w="109"/>
        <w:gridCol w:w="343"/>
        <w:gridCol w:w="976"/>
        <w:gridCol w:w="270"/>
      </w:tblGrid>
      <w:tr>
        <w:trPr/>
        <w:tc>
          <w:tcPr>
            <w:tcW w:w="57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387.6 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Work-in-progress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22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1,031.7 </w:t>
            </w:r>
          </w:p>
        </w:tc>
        <w:tc>
          <w:tcPr>
            <w:tcW w:w="1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975.8 </w:t>
            </w:r>
          </w:p>
        </w:tc>
        <w:tc>
          <w:tcPr>
            <w:tcW w:w="27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Property, Plant and Equipment, Net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amounts in property, plant and equipment, net. </w:t>
      </w:r>
    </w:p>
    <w:tbl>
      <w:tblPr>
        <w:tblW w:w="5621" w:type="dxa"/>
        <w:jc w:val="left"/>
        <w:tblInd w:w="0" w:type="dxa"/>
        <w:tblLayout w:type="fixed"/>
        <w:tblCellMar>
          <w:top w:w="28" w:type="dxa"/>
          <w:left w:w="28" w:type="dxa"/>
          <w:bottom w:w="28" w:type="dxa"/>
          <w:right w:w="28" w:type="dxa"/>
        </w:tblCellMar>
      </w:tblPr>
      <w:tblGrid>
        <w:gridCol w:w="920"/>
        <w:gridCol w:w="810"/>
        <w:gridCol w:w="819"/>
        <w:gridCol w:w="227"/>
        <w:gridCol w:w="802"/>
        <w:gridCol w:w="126"/>
        <w:gridCol w:w="109"/>
        <w:gridCol w:w="109"/>
        <w:gridCol w:w="109"/>
        <w:gridCol w:w="299"/>
        <w:gridCol w:w="1056"/>
        <w:gridCol w:w="235"/>
      </w:tblGrid>
      <w:tr>
        <w:trPr/>
        <w:tc>
          <w:tcPr>
            <w:tcW w:w="9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4,271.9 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1,565.1 </w:t>
            </w:r>
          </w:p>
        </w:tc>
        <w:tc>
          <w:tcPr>
            <w:tcW w:w="1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1,607.7 </w:t>
            </w:r>
          </w:p>
        </w:tc>
        <w:tc>
          <w:tcPr>
            <w:tcW w:w="2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Allowance for Credit Losses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activity related to our allowance for credit losses is shown below.</w:t>
      </w:r>
    </w:p>
    <w:tbl>
      <w:tblPr>
        <w:tblW w:w="5950" w:type="dxa"/>
        <w:jc w:val="left"/>
        <w:tblInd w:w="0" w:type="dxa"/>
        <w:tblLayout w:type="fixed"/>
        <w:tblCellMar>
          <w:top w:w="28" w:type="dxa"/>
          <w:left w:w="28" w:type="dxa"/>
          <w:bottom w:w="28" w:type="dxa"/>
          <w:right w:w="28" w:type="dxa"/>
        </w:tblCellMar>
      </w:tblPr>
      <w:tblGrid>
        <w:gridCol w:w="1180"/>
        <w:gridCol w:w="1039"/>
        <w:gridCol w:w="1051"/>
        <w:gridCol w:w="293"/>
        <w:gridCol w:w="698"/>
        <w:gridCol w:w="163"/>
        <w:gridCol w:w="109"/>
        <w:gridCol w:w="109"/>
        <w:gridCol w:w="109"/>
        <w:gridCol w:w="288"/>
        <w:gridCol w:w="685"/>
        <w:gridCol w:w="226"/>
      </w:tblGrid>
      <w:tr>
        <w:trPr/>
        <w:tc>
          <w:tcPr>
            <w:tcW w:w="118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2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written off</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including foreign currency translation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rFonts w:ascii="Times New Roman;serif" w:hAnsi="Times New Roman;serif"/>
          <w:b/>
          <w:i/>
          <w:color w:val="000000"/>
          <w:sz w:val="18"/>
        </w:rPr>
      </w:pPr>
      <w:r>
        <w:rPr>
          <w:rFonts w:ascii="Times New Roman;serif" w:hAnsi="Times New Roman;serif"/>
          <w:b/>
          <w:i/>
          <w:color w:val="000000"/>
          <w:sz w:val="18"/>
        </w:rPr>
        <w:t>Supplier Finance Programs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agreements with third-party financial institutions to facilitate payments to suppliers. These third-party financial institutions offer voluntary supply chain finance programs that enable certain of our suppliers, at the supplier’s sole discretion, to sell our payment obligations to a financial institution on terms directly negotiated with the financial institution. Participating suppliers decide which payment obligations are sold to the financial institution and we have no economic interest in a supplier’s decision to sell these payment obligations. We make payments to the financial institution on the invoice due date, regardless of whether an individual invoice is sold by the supplier to the financial institution. Our obligations to our suppliers, including amounts due and scheduled payment dates, are not impacted by suppliers' decisions to sell amounts under these arrangements. Amounts due under our supply chain finance programs were included in accounts payable in our unaudited Condensed Consolidated Balance Sheets and activities related to these programs were presented as operating activities in our unaudited Condensed Consolidated Statements of Cash Flows. As of June 30, 2026 and December 31, 2025, $429.2 million and $383.8 million, respectively, were due to financial institutions for suppliers that participate in these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300" w:after="283"/>
        <w:jc w:val="left"/>
        <w:rPr>
          <w:rFonts w:ascii="Times New Roman;serif" w:hAnsi="Times New Roman;serif"/>
          <w:b/>
          <w:color w:val="000000"/>
          <w:sz w:val="18"/>
        </w:rPr>
      </w:pPr>
      <w:r>
        <w:rPr>
          <w:rFonts w:ascii="Times New Roman;serif" w:hAnsi="Times New Roman;serif"/>
          <w:b/>
          <w:color w:val="000000"/>
          <w:sz w:val="18"/>
        </w:rPr>
        <w:t xml:space="preserve">ITEM 2. MANAGEMENT’S DISCUSSION AND ANALYSIS OF FINANCIAL CONDITION AND RESULTS OF OPERATIONS </w:t>
      </w:r>
    </w:p>
    <w:p>
      <w:pPr>
        <w:pStyle w:val="TextBody"/>
        <w:bidi w:val="0"/>
        <w:spacing w:lineRule="auto" w:line="288" w:before="3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Management’s Discussion and Analysis of Financial Condition and Results of Operations, or MD&amp;A, should be read in conjunction with the accompanying unaudited Condensed Consolidated Financial Statements and related notes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NON-GAAP FINANCIAL MEASURES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prepared in accordance with GAAP. We use these non-GAAP financial measures internally to evaluate trends in our underlying performance, as well as to facilitate comparisons with the results of competitors for quarters and year-to-date periods, as applicable. Based on feedback from investors and financial analysts, we believe that the supplemental non-GAAP financial measures we provide are also useful to their assessments of our performance and operating trends, as well as liquidity. Reconciliations of our non-GAAP financial measures from the most directly comparable GAAP financial measures are provided in accordance with Regulations G and S-K.</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non-GAAP financial measures exclude the impact of certain events, activities or strategic decisions. The accounting effects of these events, activities or decisions, which are included in the GAAP financial measures, may make it more difficult to assess our underlying performance in a single period. By excluding the accounting effects, positive or negative, of certain items (e.g., restructuring charges, outcomes of certain legal matters and settlements, certain effects of strategic transactions and related costs, losses from debt extinguishments, gains or losses from curtailment or settlement of pension obligations, gains or losses on sales of certain assets, gains or losses on venture and other investments, currency adjustments due to highly inflationary economies, and other items), we believe that we are providing meaningful supplemental information that facilitates an understanding of our core operating results and liquidity measures. While some of the items we exclude from GAAP financial measures recur, they tend to be disparate in amount, frequency or timing.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use the non-GAAP financial measures described below in this MD&amp;A.</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Sales change ex. currency</w:t>
      </w:r>
      <w:r>
        <w:rPr>
          <w:color w:val="000000"/>
        </w:rPr>
        <w:t xml:space="preserve"> </w:t>
      </w:r>
      <w:r>
        <w:rPr>
          <w:rFonts w:ascii="Times New Roman;serif" w:hAnsi="Times New Roman;serif"/>
          <w:b w:val="false"/>
          <w:color w:val="000000"/>
          <w:sz w:val="18"/>
        </w:rPr>
        <w:t>refers to the increase or decrease in net sales, excluding the estimated impact of foreign currency translation, and, where applicable, currency adjustments for transitional reporting of highly inflationary economies and the reclassification of sales between segments. Additionally, where applicable, sales change ex. currency is also adjusted for the estimated impact of extra days in our fiscal year and the calendar shift resulting from extra days in the prior fiscal year. The estimated impact of foreign currency translation is calculated on a constant currency basis, with prior-period results translated at current-period average exchange rates to exclude the effect of foreign currency fluctuations. Our 2025 fiscal year began on December 29, 2024 and ended on December 31, 2025; fiscal years 2026 and beyond are coincident with the calendar year, beginning on January 1 and ending on December 31.</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Organic sales change</w:t>
      </w:r>
      <w:r>
        <w:rPr>
          <w:color w:val="000000"/>
        </w:rPr>
        <w:t xml:space="preserve"> </w:t>
      </w:r>
      <w:r>
        <w:rPr>
          <w:rFonts w:ascii="Times New Roman;serif" w:hAnsi="Times New Roman;serif"/>
          <w:b w:val="false"/>
          <w:color w:val="000000"/>
          <w:sz w:val="18"/>
        </w:rPr>
        <w:t xml:space="preserve">refers to sales change ex. currency, excluding the estimated impact of acquisitions and product line divestitures.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that sales change ex. currency and organic sales change assist investors in evaluating the sales change from the ongoing activities of our businesses and enhance their ability to evaluate our results from period to period.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Adjusted free cash flow</w:t>
      </w:r>
      <w:r>
        <w:rPr>
          <w:color w:val="000000"/>
        </w:rPr>
        <w:t xml:space="preserve"> </w:t>
      </w:r>
      <w:r>
        <w:rPr>
          <w:rFonts w:ascii="Times New Roman;serif" w:hAnsi="Times New Roman;serif"/>
          <w:b w:val="false"/>
          <w:color w:val="000000"/>
          <w:sz w:val="18"/>
        </w:rPr>
        <w:t xml:space="preserve">refers to cash flow provided by (used in) operating activities, less payments for property, plant and equipment, less payments for software and other deferred charges, plus proceeds from sales of property, plant and equipment, plus (minus) net proceeds from insurance and sales (purchases) of investments. Where applicable, adjusted free cash flow is also adjusted for certain acquisition-related transaction costs, proceeds from company-owned life insurance policies and net cash used for Argentine Blue Chip Swap securities. We believe that adjusted free cash flow assists investors by showing the amount of cash we have available for debt reductions, dividends, share repurchases and acquisitions.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18"/>
        </w:rPr>
        <w:t xml:space="preserve">Operational working capital as a percentage of annualized current quarter net sales </w:t>
      </w:r>
      <w:r>
        <w:rPr>
          <w:rFonts w:ascii="Times New Roman;serif" w:hAnsi="Times New Roman;serif"/>
          <w:b w:val="false"/>
          <w:color w:val="000000"/>
          <w:sz w:val="18"/>
        </w:rPr>
        <w:t xml:space="preserve">refers to trade accounts receivable and inventories, net of accounts payable, divided by annualized current quarter net sales, and excludes cash and cash equivalents, short-term borrowings, deferred taxes, other current assets and other current liabilities. We believe that operational working capital as a percentage of annualized current quarter net sales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OVERVIEW AND OUTLOOK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Fiscal Year</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three and six months ended June 30, 2026 consisted of 91 and 181 days, respectively, and the three and six months ended June 28, 2025 consisted of 91 and 182 days, respectively.</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Our 2026 fiscal year is coincident with the calendar year, beginning on January 1 and ending on December 31; our 2025 fiscal year began on December 29, 2024 and ended on December 31, 2025.</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Net Sales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5876" w:type="dxa"/>
        <w:jc w:val="center"/>
        <w:tblInd w:w="0" w:type="dxa"/>
        <w:tblLayout w:type="fixed"/>
        <w:tblCellMar>
          <w:top w:w="28" w:type="dxa"/>
          <w:left w:w="28" w:type="dxa"/>
          <w:bottom w:w="28" w:type="dxa"/>
          <w:right w:w="28" w:type="dxa"/>
        </w:tblCellMar>
      </w:tblPr>
      <w:tblGrid>
        <w:gridCol w:w="765"/>
        <w:gridCol w:w="673"/>
        <w:gridCol w:w="676"/>
        <w:gridCol w:w="412"/>
        <w:gridCol w:w="412"/>
        <w:gridCol w:w="976"/>
        <w:gridCol w:w="109"/>
        <w:gridCol w:w="109"/>
        <w:gridCol w:w="109"/>
        <w:gridCol w:w="343"/>
        <w:gridCol w:w="343"/>
        <w:gridCol w:w="94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Three Months Ended </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Six Months Ended </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824"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97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9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three months ended June 30, 2026, net sales increased on an organic basis compared to the same period in the prior year primarily due to higher volume, partially offset by unfavorable mix. In the six months ended June 30, 2026, net sales increased on an organic basis compared to the same period in the prior year primarily due to higher volume, partially offset by unfavorable mix and the impact of raw material deflation-related price reductions.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Net Income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increased from approximately $355 million in the first six months of 2025 to approximately $372 million in the first six months of 2026. The primary factors affecting this increase were: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volume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Benefits from productivity initiatives, including savings from restructuring actions, net of transition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Net benefit of pricing and raw material costs, including material re-engineering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Favorable foreign currency translation</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These items were partially offset by the following factors: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Unfavorable mix</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employee-related costs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provision for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18"/>
        </w:rPr>
        <w:t>Higher restructuring charges, net of reversals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Cost Reduction Actions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2026 Actions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recorded $34.7 million in restructuring charges during the six months ended June 30, 2026 related to our 2026 actions. These charges consisted of severance and related costs for the reduction of approximately 600 positions, as well as asset impairment charges, at various locations across our company related to actions taken to optimize our operational footprint and workforce headcount.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Restructuring charges were included in “Other expense (income), net” in the unaudited Condensed Consolidated Statements of Income. Refer to Note 4, “Cost Reduction Actions,” to the unaudited Condensed Consolidated Financial Statements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Cash Flow </w:t>
      </w:r>
    </w:p>
    <w:tbl>
      <w:tblPr>
        <w:tblW w:w="7497" w:type="dxa"/>
        <w:jc w:val="center"/>
        <w:tblInd w:w="0" w:type="dxa"/>
        <w:tblLayout w:type="fixed"/>
        <w:tblCellMar>
          <w:top w:w="28" w:type="dxa"/>
          <w:left w:w="28" w:type="dxa"/>
          <w:bottom w:w="28" w:type="dxa"/>
          <w:right w:w="28" w:type="dxa"/>
        </w:tblCellMar>
      </w:tblPr>
      <w:tblGrid>
        <w:gridCol w:w="1742"/>
        <w:gridCol w:w="1534"/>
        <w:gridCol w:w="1539"/>
        <w:gridCol w:w="263"/>
        <w:gridCol w:w="746"/>
        <w:gridCol w:w="146"/>
        <w:gridCol w:w="109"/>
        <w:gridCol w:w="109"/>
        <w:gridCol w:w="109"/>
        <w:gridCol w:w="259"/>
        <w:gridCol w:w="737"/>
        <w:gridCol w:w="204"/>
      </w:tblGrid>
      <w:tr>
        <w:trPr/>
        <w:tc>
          <w:tcPr>
            <w:tcW w:w="17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8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81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544.7 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469.8 </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20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six months of 2026, net cash provided by operating activities increased compared to the same period last year primarily due to changes in operational working capital and lower incentive compensation payments, partially offset by higher tax payments, net of refunds. During the first six months of 2026, adjusted free cash flow increased compared to the same period last year primarily due to an increase in net cash provided by operating activities. </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Outlook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Certain factors that we anticipate will contribute to our 2026 results are described below.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Based on recent rates, a favorable impact from foreign currency translation to our full-year net sales and operating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Higher interest expense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full-year effective tax rate in the high-twenty percent range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Incremental savings from restructuring actions, net of transition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An unfavorable impact to our operating income resulting from the normalization of the majority of our prior-year temporary cost-saving actions, which largely relate to lower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ANALYSIS OF RESULTS OF OPERATIONS FOR THE SECOND QUARTER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Income Before Taxes </w:t>
      </w:r>
    </w:p>
    <w:tbl>
      <w:tblPr>
        <w:tblW w:w="6087" w:type="dxa"/>
        <w:jc w:val="center"/>
        <w:tblInd w:w="0" w:type="dxa"/>
        <w:tblLayout w:type="fixed"/>
        <w:tblCellMar>
          <w:top w:w="28" w:type="dxa"/>
          <w:left w:w="28" w:type="dxa"/>
          <w:bottom w:w="28" w:type="dxa"/>
          <w:right w:w="28" w:type="dxa"/>
        </w:tblCellMar>
      </w:tblPr>
      <w:tblGrid>
        <w:gridCol w:w="1233"/>
        <w:gridCol w:w="1084"/>
        <w:gridCol w:w="1088"/>
        <w:gridCol w:w="227"/>
        <w:gridCol w:w="802"/>
        <w:gridCol w:w="126"/>
        <w:gridCol w:w="109"/>
        <w:gridCol w:w="109"/>
        <w:gridCol w:w="109"/>
        <w:gridCol w:w="226"/>
        <w:gridCol w:w="797"/>
        <w:gridCol w:w="177"/>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4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2,462.9 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1,581.4 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2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729.4 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639.1 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2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17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Gross Profit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Gross profit for the second quarter of 2026 increased from the same period last year due to higher volume, the net benefit of pricing and raw material costs, including material re-engineering, benefits from productivity initiatives, including savings from restructuring actions, net of transition costs, and favorable foreign currency translation, partially offset by unfavorable mix and higher employee-related costs.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Marketing, General and Administrative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 increased in the second quarter of 2026 compared to the same period last year primarily due to higher employee-related costs, unfavorable foreign currency translation and growth investments, partially offset by benefits from productivity initiatives and savings from restructuring actions, net of transition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Other Expense (Income), Net </w:t>
      </w:r>
    </w:p>
    <w:tbl>
      <w:tblPr>
        <w:tblW w:w="6190" w:type="dxa"/>
        <w:jc w:val="center"/>
        <w:tblInd w:w="0" w:type="dxa"/>
        <w:tblLayout w:type="fixed"/>
        <w:tblCellMar>
          <w:top w:w="28" w:type="dxa"/>
          <w:left w:w="28" w:type="dxa"/>
          <w:bottom w:w="28" w:type="dxa"/>
          <w:right w:w="28" w:type="dxa"/>
        </w:tblCellMar>
      </w:tblPr>
      <w:tblGrid>
        <w:gridCol w:w="1270"/>
        <w:gridCol w:w="1118"/>
        <w:gridCol w:w="1121"/>
        <w:gridCol w:w="293"/>
        <w:gridCol w:w="698"/>
        <w:gridCol w:w="163"/>
        <w:gridCol w:w="109"/>
        <w:gridCol w:w="109"/>
        <w:gridCol w:w="109"/>
        <w:gridCol w:w="324"/>
        <w:gridCol w:w="622"/>
        <w:gridCol w:w="2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5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expense (income), net, by type</w:t>
            </w:r>
          </w:p>
        </w:tc>
        <w:tc>
          <w:tcPr>
            <w:tcW w:w="115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 net of reversals: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 net of reversals</w:t>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impairment and lease cancellation charges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venture and other investments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Argentine peso remeasurement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sales of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Outcomes of legal matters and settlements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29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6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Refer to Note 4, “Cost Reduction Actions,” to the unaudited Condensed Consolidated Financial Statements for more information regarding restructuring charges.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Interest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Interest expense increased in the second quarter of 2026 compared to the same period last year primarily due to the €500 million of senior notes we issued in September 2025, partially offset by a decrease in commercial paper borrowings.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Net Income and Earnings per Share </w:t>
      </w:r>
    </w:p>
    <w:tbl>
      <w:tblPr>
        <w:tblW w:w="6311" w:type="dxa"/>
        <w:jc w:val="left"/>
        <w:tblInd w:w="0" w:type="dxa"/>
        <w:tblLayout w:type="fixed"/>
        <w:tblCellMar>
          <w:top w:w="28" w:type="dxa"/>
          <w:left w:w="28" w:type="dxa"/>
          <w:bottom w:w="28" w:type="dxa"/>
          <w:right w:w="28" w:type="dxa"/>
        </w:tblCellMar>
      </w:tblPr>
      <w:tblGrid>
        <w:gridCol w:w="1313"/>
        <w:gridCol w:w="1154"/>
        <w:gridCol w:w="1163"/>
        <w:gridCol w:w="224"/>
        <w:gridCol w:w="637"/>
        <w:gridCol w:w="293"/>
        <w:gridCol w:w="109"/>
        <w:gridCol w:w="109"/>
        <w:gridCol w:w="109"/>
        <w:gridCol w:w="223"/>
        <w:gridCol w:w="634"/>
        <w:gridCol w:w="343"/>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3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 and percentages)</w:t>
            </w:r>
          </w:p>
        </w:tc>
        <w:tc>
          <w:tcPr>
            <w:tcW w:w="11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63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255.5 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amounts:</w:t>
            </w:r>
          </w:p>
        </w:tc>
        <w:tc>
          <w:tcPr>
            <w:tcW w:w="115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1" w:type="dxa"/>
            <w:gridSpan w:val="2"/>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93"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343"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Provision for Income Taxes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effective tax rate for the three months ended June 30, 2026 increased compared to the same period last year primarily due to lower discrete benefits from decreases in certain tax reserves. Refer to Note 6, “Taxes Based on Income,” to the unaudited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RESULTS OF OPERATIONS BY REPORTABLE SEGMENT FOR THE SECOND QUARTER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Our chief operating decision maker uses segment adjusted operating income to evaluate segment performance and allocate resources. Segment adjusted operating income is defined as income before taxes adjusted for other expense (income), net; interest expense; and other non-operating expense (income), net.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Refer to Note 12, “Segment and Disaggregated Revenue Information,” to the unaudited Condensed Consolidated Financial Statements for more information.</w:t>
      </w:r>
    </w:p>
    <w:p>
      <w:pPr>
        <w:pStyle w:val="TextBody"/>
        <w:bidi w:val="0"/>
        <w:spacing w:lineRule="auto" w:line="288" w:before="180" w:after="283"/>
        <w:jc w:val="left"/>
        <w:rPr>
          <w:rFonts w:ascii="Times New Roman;serif" w:hAnsi="Times New Roman;serif"/>
          <w:b/>
          <w:i/>
          <w:color w:val="000000"/>
          <w:sz w:val="18"/>
        </w:rPr>
      </w:pPr>
      <w:r>
        <w:rPr>
          <w:rFonts w:ascii="Times New Roman;serif" w:hAnsi="Times New Roman;serif"/>
          <w:b/>
          <w:i/>
          <w:color w:val="000000"/>
          <w:sz w:val="18"/>
        </w:rPr>
        <w:t xml:space="preserve">Materials Group </w:t>
      </w:r>
    </w:p>
    <w:tbl>
      <w:tblPr>
        <w:tblW w:w="5487" w:type="dxa"/>
        <w:jc w:val="center"/>
        <w:tblInd w:w="0" w:type="dxa"/>
        <w:tblLayout w:type="fixed"/>
        <w:tblCellMar>
          <w:top w:w="28" w:type="dxa"/>
          <w:left w:w="28" w:type="dxa"/>
          <w:bottom w:w="28" w:type="dxa"/>
          <w:right w:w="28" w:type="dxa"/>
        </w:tblCellMar>
      </w:tblPr>
      <w:tblGrid>
        <w:gridCol w:w="1014"/>
        <w:gridCol w:w="890"/>
        <w:gridCol w:w="901"/>
        <w:gridCol w:w="227"/>
        <w:gridCol w:w="802"/>
        <w:gridCol w:w="126"/>
        <w:gridCol w:w="109"/>
        <w:gridCol w:w="109"/>
        <w:gridCol w:w="109"/>
        <w:gridCol w:w="226"/>
        <w:gridCol w:w="797"/>
        <w:gridCol w:w="17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1,832.7 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1,596.2 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12"/>
              </w:rPr>
              <w:t>(1)</w:t>
            </w:r>
          </w:p>
        </w:tc>
        <w:tc>
          <w:tcPr>
            <w:tcW w:w="1029"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2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7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adjusted operating income excluded other expense (income), net, of $3.9 million and $(7.0) million in the second quarters of 2026 and 2025, respectively. Exclusions related to charges associated with restructuring actions, loss from Argentine peso remeasurement, (gain) loss on venture and other investments and (gain) loss on sales of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Net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4948" w:type="dxa"/>
        <w:jc w:val="center"/>
        <w:tblInd w:w="0" w:type="dxa"/>
        <w:tblLayout w:type="fixed"/>
        <w:tblCellMar>
          <w:top w:w="28" w:type="dxa"/>
          <w:left w:w="28" w:type="dxa"/>
          <w:bottom w:w="28" w:type="dxa"/>
          <w:right w:w="28" w:type="dxa"/>
        </w:tblCellMar>
      </w:tblPr>
      <w:tblGrid>
        <w:gridCol w:w="1140"/>
        <w:gridCol w:w="1002"/>
        <w:gridCol w:w="1007"/>
        <w:gridCol w:w="376"/>
        <w:gridCol w:w="376"/>
        <w:gridCol w:w="1047"/>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31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7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75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4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second quarter of 2026, net sales increased on an organic basis compared to the same period in the prior year primarily due to higher volume in part resulting from customer inventory stocking and our pricing actions, partially offset by unfavorable mix. On an organic basis, net sales increased by a high single digit rate in North America, a mid-teens rate in Europe, the Middle East and North Africa, a high single digit rate in Asia Pacific and a low single digit rate in Latin America.</w:t>
      </w:r>
    </w:p>
    <w:p>
      <w:pPr>
        <w:pStyle w:val="TextBody"/>
        <w:bidi w:val="0"/>
        <w:spacing w:lineRule="auto" w:line="288" w:before="240" w:after="283"/>
        <w:jc w:val="left"/>
        <w:rPr/>
      </w:pPr>
      <w:r>
        <w:rPr>
          <w:rFonts w:ascii="Times New Roman;serif" w:hAnsi="Times New Roman;serif"/>
          <w:b w:val="false"/>
          <w:i/>
          <w:color w:val="000000"/>
          <w:sz w:val="18"/>
        </w:rPr>
        <w:t>Segment Adjusted Operating Income</w:t>
      </w:r>
      <w:r>
        <w:rPr>
          <w:color w:val="000000"/>
        </w:rPr>
        <w:t xml:space="preserv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increased in the second quarter of 2026 compared to the same period last year primarily due to higher volume, the net benefit of pricing and raw material costs, including material re-engineering, and benefits from productivity initiatives, including savings from restructuring actions, net of transition costs, partially offset by unfavorable mix and higher employee-related costs.</w:t>
      </w:r>
    </w:p>
    <w:p>
      <w:pPr>
        <w:pStyle w:val="TextBody"/>
        <w:bidi w:val="0"/>
        <w:spacing w:lineRule="auto" w:line="288" w:before="240" w:after="283"/>
        <w:jc w:val="both"/>
        <w:rPr/>
      </w:pPr>
      <w:r>
        <w:rPr>
          <w:rFonts w:ascii="Times New Roman;serif" w:hAnsi="Times New Roman;serif"/>
          <w:b/>
          <w:i/>
          <w:color w:val="000000"/>
          <w:sz w:val="18"/>
        </w:rPr>
        <w:t>Solutions Group</w:t>
      </w:r>
      <w:r>
        <w:rPr>
          <w:color w:val="000000"/>
        </w:rPr>
        <w:t xml:space="preserve"> </w:t>
      </w:r>
    </w:p>
    <w:tbl>
      <w:tblPr>
        <w:tblW w:w="5487" w:type="dxa"/>
        <w:jc w:val="center"/>
        <w:tblInd w:w="0" w:type="dxa"/>
        <w:tblLayout w:type="fixed"/>
        <w:tblCellMar>
          <w:top w:w="28" w:type="dxa"/>
          <w:left w:w="28" w:type="dxa"/>
          <w:bottom w:w="28" w:type="dxa"/>
          <w:right w:w="28" w:type="dxa"/>
        </w:tblCellMar>
      </w:tblPr>
      <w:tblGrid>
        <w:gridCol w:w="1014"/>
        <w:gridCol w:w="890"/>
        <w:gridCol w:w="901"/>
        <w:gridCol w:w="263"/>
        <w:gridCol w:w="746"/>
        <w:gridCol w:w="146"/>
        <w:gridCol w:w="109"/>
        <w:gridCol w:w="109"/>
        <w:gridCol w:w="109"/>
        <w:gridCol w:w="259"/>
        <w:gridCol w:w="737"/>
        <w:gridCol w:w="204"/>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Three Months Ended</w:t>
            </w:r>
            <w:r>
              <w:rPr>
                <w:color w:val="000000"/>
              </w:rPr>
              <w:t xml:space="preserve"> </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692.4 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682.8 </w:t>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670.3 </w:t>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12"/>
              </w:rPr>
              <w:t>(1)</w:t>
            </w:r>
          </w:p>
        </w:tc>
        <w:tc>
          <w:tcPr>
            <w:tcW w:w="100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4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0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Segment adjusted operating income excluded other expense (income), net, of $17.2 million and $7.2 million in the second quarters of 2026 and 2025, respectively. Exclusions related to charges associated with restructuring actions, (gain) loss on venture and other investments and outcomes of legal matters and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Net Sales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factors impacting net sales change, as compared to the prior-year period, are shown in the table below.</w:t>
      </w:r>
    </w:p>
    <w:tbl>
      <w:tblPr>
        <w:tblW w:w="4949" w:type="dxa"/>
        <w:jc w:val="left"/>
        <w:tblInd w:w="0" w:type="dxa"/>
        <w:tblLayout w:type="fixed"/>
        <w:tblCellMar>
          <w:top w:w="28" w:type="dxa"/>
          <w:left w:w="28" w:type="dxa"/>
          <w:bottom w:w="28" w:type="dxa"/>
          <w:right w:w="28" w:type="dxa"/>
        </w:tblCellMar>
      </w:tblPr>
      <w:tblGrid>
        <w:gridCol w:w="1142"/>
        <w:gridCol w:w="997"/>
        <w:gridCol w:w="1011"/>
        <w:gridCol w:w="376"/>
        <w:gridCol w:w="376"/>
        <w:gridCol w:w="1047"/>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31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sales change</w:t>
            </w:r>
          </w:p>
        </w:tc>
        <w:tc>
          <w:tcPr>
            <w:tcW w:w="7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752" w:type="dxa"/>
            <w:gridSpan w:val="2"/>
            <w:tcBorders>
              <w:top w:val="single" w:sz="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47" w:type="dxa"/>
            <w:tcBorders>
              <w:top w:val="single" w:sz="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second quarter of 2026, net sales increased on an organic basis compared to the same period in the prior year due to low single digit rate increases in both the base business and high-value categories.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Company-wide, on an organic basis, net sales of intelligent labels increased by a low single digit rate compared to the same period in the prior year.</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Segment Adjusted Operating Income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increased in the second quarter of 2026 compared to the same period last year primarily due to benefits from productivity initiatives, including savings from restructuring actions, net of transition costs, and the net benefit of pricing and raw material costs, partially offset by higher employee-related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ANALYSIS OF RESULTS OF OPERATIONS FOR THE SIX MONTHS YEAR-TO-DATE</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Income Before Taxes </w:t>
      </w:r>
    </w:p>
    <w:tbl>
      <w:tblPr>
        <w:tblW w:w="6087" w:type="dxa"/>
        <w:jc w:val="center"/>
        <w:tblInd w:w="0" w:type="dxa"/>
        <w:tblLayout w:type="fixed"/>
        <w:tblCellMar>
          <w:top w:w="28" w:type="dxa"/>
          <w:left w:w="28" w:type="dxa"/>
          <w:bottom w:w="28" w:type="dxa"/>
          <w:right w:w="28" w:type="dxa"/>
        </w:tblCellMar>
      </w:tblPr>
      <w:tblGrid>
        <w:gridCol w:w="1233"/>
        <w:gridCol w:w="1084"/>
        <w:gridCol w:w="1088"/>
        <w:gridCol w:w="227"/>
        <w:gridCol w:w="802"/>
        <w:gridCol w:w="126"/>
        <w:gridCol w:w="109"/>
        <w:gridCol w:w="109"/>
        <w:gridCol w:w="109"/>
        <w:gridCol w:w="226"/>
        <w:gridCol w:w="797"/>
        <w:gridCol w:w="177"/>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4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4,761.4 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4,368.8 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3,108.2 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2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1,394.2 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1,260.6 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expense (income), net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27"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126"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77" w:type="dxa"/>
            <w:tcBorders>
              <w:top w:val="single" w:sz="4"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Gross Profit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Gross profit for the first six months of 2026 increased from the same period last year primarily due to higher volume, favorable foreign currency translation, the net impact of pricing and raw material input costs, including material re-engineering, and benefits from productivity initiatives, including savings from restructuring actions, net of transition costs. These increases were partially offset by unfavorable mix and higher employee-related costs. </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Marketing, General and Administrative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 increased in the first six months of 2026 compared to the same period last year primarily due to higher employee-related costs, unfavorable foreign currency translation, and growth investments, partially offset by benefits from productivity initiatives and savings from restructuring actions, net of transition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Other Expense (Income), Net </w:t>
      </w:r>
    </w:p>
    <w:tbl>
      <w:tblPr>
        <w:tblW w:w="6189" w:type="dxa"/>
        <w:jc w:val="center"/>
        <w:tblInd w:w="0" w:type="dxa"/>
        <w:tblLayout w:type="fixed"/>
        <w:tblCellMar>
          <w:top w:w="28" w:type="dxa"/>
          <w:left w:w="28" w:type="dxa"/>
          <w:bottom w:w="28" w:type="dxa"/>
          <w:right w:w="28" w:type="dxa"/>
        </w:tblCellMar>
      </w:tblPr>
      <w:tblGrid>
        <w:gridCol w:w="1270"/>
        <w:gridCol w:w="1118"/>
        <w:gridCol w:w="1121"/>
        <w:gridCol w:w="293"/>
        <w:gridCol w:w="698"/>
        <w:gridCol w:w="163"/>
        <w:gridCol w:w="109"/>
        <w:gridCol w:w="109"/>
        <w:gridCol w:w="109"/>
        <w:gridCol w:w="288"/>
        <w:gridCol w:w="685"/>
        <w:gridCol w:w="226"/>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5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expense (income), net, by type</w:t>
            </w:r>
          </w:p>
        </w:tc>
        <w:tc>
          <w:tcPr>
            <w:tcW w:w="115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 net of reversals: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Severance and related costs, net of reversals</w:t>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impairment and lease cancellation charges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on venture and other investments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Losses from Argentine peso remeasurement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on sales of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Outcomes of legal matters and settlements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Transaction and related costs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29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Refer to Note 4, “Cost Reduction Actions,” to the unaudited Condensed Consolidated Financial Statements for more information regarding restructuring charges.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Interest Expense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Interest expense increased for the first six months of 2026 compared to the same period last year primarily due to the €500 million of senior notes we issued in September 2025, partially offset by a decrease in commercial paper borrowings.</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Net Income and Earnings per Share </w:t>
      </w:r>
    </w:p>
    <w:tbl>
      <w:tblPr>
        <w:tblW w:w="6311" w:type="dxa"/>
        <w:jc w:val="center"/>
        <w:tblInd w:w="0" w:type="dxa"/>
        <w:tblLayout w:type="fixed"/>
        <w:tblCellMar>
          <w:top w:w="28" w:type="dxa"/>
          <w:left w:w="28" w:type="dxa"/>
          <w:bottom w:w="28" w:type="dxa"/>
          <w:right w:w="28" w:type="dxa"/>
        </w:tblCellMar>
      </w:tblPr>
      <w:tblGrid>
        <w:gridCol w:w="1313"/>
        <w:gridCol w:w="1154"/>
        <w:gridCol w:w="1163"/>
        <w:gridCol w:w="224"/>
        <w:gridCol w:w="637"/>
        <w:gridCol w:w="293"/>
        <w:gridCol w:w="109"/>
        <w:gridCol w:w="109"/>
        <w:gridCol w:w="109"/>
        <w:gridCol w:w="223"/>
        <w:gridCol w:w="634"/>
        <w:gridCol w:w="343"/>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 share amounts and percentages)</w:t>
            </w:r>
          </w:p>
        </w:tc>
        <w:tc>
          <w:tcPr>
            <w:tcW w:w="11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63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523.1 </w:t>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34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amounts:</w:t>
            </w:r>
          </w:p>
        </w:tc>
        <w:tc>
          <w:tcPr>
            <w:tcW w:w="115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34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assuming dilution</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34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op w:val="single" w:sz="12"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61" w:type="dxa"/>
            <w:gridSpan w:val="2"/>
            <w:tcBorders>
              <w:top w:val="single" w:sz="12"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93" w:type="dxa"/>
            <w:tcBorders>
              <w:top w:val="single" w:sz="12"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12"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343" w:type="dxa"/>
            <w:tcBorders>
              <w:top w:val="single" w:sz="12"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Provision for Income Taxes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effective tax rate for the six months ended June 30, 2026 increased compared to the same period last year primarily due to a net discrete charge in 2026 from increases in tax reserves related to a foreign court ruling impacting tax group requirements, as compared to discrete benefits from a favorable foreign tax ruling related to deductibility of interest expense and decreases in certain tax reserves in the same period last year. Refer to Note 6, “Taxes Based on Income,” to the unaudited Condensed Consolidated Financial Statements for more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RESULTS OF OPERATIONS BY REPORTABLE SEGMENT FOR THE SIX MONTHS YEAR-TO-DATE</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Materials Group </w:t>
      </w:r>
    </w:p>
    <w:tbl>
      <w:tblPr>
        <w:tblW w:w="5487" w:type="dxa"/>
        <w:jc w:val="center"/>
        <w:tblInd w:w="0" w:type="dxa"/>
        <w:tblLayout w:type="fixed"/>
        <w:tblCellMar>
          <w:top w:w="28" w:type="dxa"/>
          <w:left w:w="28" w:type="dxa"/>
          <w:bottom w:w="28" w:type="dxa"/>
          <w:right w:w="28" w:type="dxa"/>
        </w:tblCellMar>
      </w:tblPr>
      <w:tblGrid>
        <w:gridCol w:w="1014"/>
        <w:gridCol w:w="890"/>
        <w:gridCol w:w="901"/>
        <w:gridCol w:w="227"/>
        <w:gridCol w:w="802"/>
        <w:gridCol w:w="126"/>
        <w:gridCol w:w="109"/>
        <w:gridCol w:w="109"/>
        <w:gridCol w:w="109"/>
        <w:gridCol w:w="226"/>
        <w:gridCol w:w="797"/>
        <w:gridCol w:w="17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3,515.7 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3,120.2 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(89.9)</w:t>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3,445.4 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3,030.3 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12"/>
              </w:rPr>
              <w:t>(1)</w:t>
            </w:r>
          </w:p>
        </w:tc>
        <w:tc>
          <w:tcPr>
            <w:tcW w:w="1029"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12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472.8 </w:t>
            </w:r>
          </w:p>
        </w:tc>
        <w:tc>
          <w:tcPr>
            <w:tcW w:w="17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(1)</w:t>
      </w:r>
      <w:r>
        <w:rPr>
          <w:rFonts w:ascii="Times New Roman;serif" w:hAnsi="Times New Roman;serif"/>
          <w:b w:val="false"/>
          <w:color w:val="000000"/>
          <w:sz w:val="14"/>
        </w:rPr>
        <w:t>Segment adjusted operating income excluded other expense (income), net, of $11.6 million and $(2.6) million in the first six months of 2026 and 2025, respectively. Exclusions related to charges associated with restructuring actions, loss from Argentine peso remeasurement, (gain) loss on venture and other investments, (gain) loss on sales of assets, outcomes of legal matters and settlements, and transaction and related costs.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Net Sales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4739" w:type="dxa"/>
        <w:jc w:val="center"/>
        <w:tblInd w:w="0" w:type="dxa"/>
        <w:tblLayout w:type="fixed"/>
        <w:tblCellMar>
          <w:top w:w="28" w:type="dxa"/>
          <w:left w:w="28" w:type="dxa"/>
          <w:bottom w:w="28" w:type="dxa"/>
          <w:right w:w="28" w:type="dxa"/>
        </w:tblCellMar>
      </w:tblPr>
      <w:tblGrid>
        <w:gridCol w:w="1139"/>
        <w:gridCol w:w="1003"/>
        <w:gridCol w:w="1008"/>
        <w:gridCol w:w="332"/>
        <w:gridCol w:w="332"/>
        <w:gridCol w:w="925"/>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31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net sales change</w:t>
            </w:r>
          </w:p>
        </w:tc>
        <w:tc>
          <w:tcPr>
            <w:tcW w:w="66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6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9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12"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664" w:type="dxa"/>
            <w:gridSpan w:val="2"/>
            <w:tcBorders>
              <w:top w:val="single" w:sz="12"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25" w:type="dxa"/>
            <w:tcBorders>
              <w:top w:val="single" w:sz="12"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Totals may not sum due to rounding.</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the first six months of 2026, net sales increased on an organic basis compared to the same period in the prior year primarily due to higher volume, partially offset by unfavorable mix and raw material deflation-related price reductions. On an organic basis, net sales increased by a mid-single digit rate in North America, and high single digit rates in Europe, the Middle East and North Africa and Asia Pacific and decreased by a low single digit rate in Latin America.</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Segment Adjusted Operating Income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increased in the first six months of 2026 compared to the same period last year primarily due to higher volume, favorable foreign currency translation, the net benefit of pricing and raw material costs, including material re-engineering, and benefits from productivity initiatives, including savings from restructuring actions, net of transition costs. These increases were partially offset by unfavorable mix and higher employee-related costs.</w:t>
      </w:r>
    </w:p>
    <w:p>
      <w:pPr>
        <w:pStyle w:val="TextBody"/>
        <w:bidi w:val="0"/>
        <w:spacing w:lineRule="auto" w:line="288" w:before="240" w:after="283"/>
        <w:jc w:val="left"/>
        <w:rPr>
          <w:rFonts w:ascii="Times New Roman;serif" w:hAnsi="Times New Roman;serif"/>
          <w:b/>
          <w:i/>
          <w:color w:val="000000"/>
          <w:sz w:val="18"/>
        </w:rPr>
      </w:pPr>
      <w:r>
        <w:rPr>
          <w:rFonts w:ascii="Times New Roman;serif" w:hAnsi="Times New Roman;serif"/>
          <w:b/>
          <w:i/>
          <w:color w:val="000000"/>
          <w:sz w:val="18"/>
        </w:rPr>
        <w:t xml:space="preserve">Solutions Group </w:t>
      </w:r>
    </w:p>
    <w:tbl>
      <w:tblPr>
        <w:tblW w:w="5487" w:type="dxa"/>
        <w:jc w:val="center"/>
        <w:tblInd w:w="0" w:type="dxa"/>
        <w:tblLayout w:type="fixed"/>
        <w:tblCellMar>
          <w:top w:w="28" w:type="dxa"/>
          <w:left w:w="28" w:type="dxa"/>
          <w:bottom w:w="28" w:type="dxa"/>
          <w:right w:w="28" w:type="dxa"/>
        </w:tblCellMar>
      </w:tblPr>
      <w:tblGrid>
        <w:gridCol w:w="1014"/>
        <w:gridCol w:w="890"/>
        <w:gridCol w:w="901"/>
        <w:gridCol w:w="227"/>
        <w:gridCol w:w="802"/>
        <w:gridCol w:w="126"/>
        <w:gridCol w:w="109"/>
        <w:gridCol w:w="109"/>
        <w:gridCol w:w="109"/>
        <w:gridCol w:w="226"/>
        <w:gridCol w:w="797"/>
        <w:gridCol w:w="17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including intersegment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1,356.1 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1,364.2 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intersegment sales</w:t>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1,316.0 </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1,338.5 </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Segment adjusted operating income</w:t>
            </w:r>
            <w:r>
              <w:rPr>
                <w:rFonts w:ascii="Times New Roman;serif" w:hAnsi="Times New Roman;serif"/>
                <w:b w:val="false"/>
                <w:color w:val="000000"/>
                <w:sz w:val="9"/>
              </w:rPr>
              <w:t>(1)</w:t>
            </w:r>
          </w:p>
        </w:tc>
        <w:tc>
          <w:tcPr>
            <w:tcW w:w="1029"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2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7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(1)</w:t>
      </w:r>
      <w:r>
        <w:rPr>
          <w:rFonts w:ascii="Times New Roman;serif" w:hAnsi="Times New Roman;serif"/>
          <w:b w:val="false"/>
          <w:color w:val="000000"/>
          <w:sz w:val="14"/>
        </w:rPr>
        <w:t>Segment adjusted operating income excluded other expense (income), net, of $27.1 million and $17.3 million in the first six months of 2026 and 2025, respectively. Exclusions related to charges associated with restructuring actions, (gain) loss on venture and other investments and outcomes of legal matters and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Net Sales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factors impacting net sales change, as compared to the prior-year period, are shown in the table below. </w:t>
      </w:r>
    </w:p>
    <w:tbl>
      <w:tblPr>
        <w:tblW w:w="4739" w:type="dxa"/>
        <w:jc w:val="center"/>
        <w:tblInd w:w="0" w:type="dxa"/>
        <w:tblLayout w:type="fixed"/>
        <w:tblCellMar>
          <w:top w:w="28" w:type="dxa"/>
          <w:left w:w="28" w:type="dxa"/>
          <w:bottom w:w="28" w:type="dxa"/>
          <w:right w:w="28" w:type="dxa"/>
        </w:tblCellMar>
      </w:tblPr>
      <w:tblGrid>
        <w:gridCol w:w="1139"/>
        <w:gridCol w:w="1003"/>
        <w:gridCol w:w="1008"/>
        <w:gridCol w:w="332"/>
        <w:gridCol w:w="332"/>
        <w:gridCol w:w="925"/>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31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net sales change</w:t>
            </w:r>
          </w:p>
        </w:tc>
        <w:tc>
          <w:tcPr>
            <w:tcW w:w="66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2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sales between segments</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Sales change ex. currency</w:t>
            </w:r>
            <w:r>
              <w:rPr>
                <w:rFonts w:ascii="Times New Roman;serif" w:hAnsi="Times New Roman;serif"/>
                <w:b w:val="false"/>
                <w:color w:val="000000"/>
                <w:sz w:val="12"/>
              </w:rPr>
              <w:t>(1)</w:t>
            </w:r>
          </w:p>
        </w:tc>
        <w:tc>
          <w:tcPr>
            <w:tcW w:w="6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val="false"/>
                <w:color w:val="000000"/>
                <w:sz w:val="18"/>
              </w:rPr>
              <w:t>Organic sales change</w:t>
            </w:r>
            <w:r>
              <w:rPr>
                <w:rFonts w:ascii="Times New Roman;serif" w:hAnsi="Times New Roman;serif"/>
                <w:b w:val="false"/>
                <w:color w:val="000000"/>
                <w:sz w:val="12"/>
              </w:rPr>
              <w:t>(1)</w:t>
            </w:r>
          </w:p>
        </w:tc>
        <w:tc>
          <w:tcPr>
            <w:tcW w:w="664"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(1)</w:t>
      </w:r>
      <w:r>
        <w:rPr>
          <w:rFonts w:ascii="Times New Roman;serif" w:hAnsi="Times New Roman;serif"/>
          <w:b w:val="false"/>
          <w:color w:val="000000"/>
          <w:sz w:val="14"/>
        </w:rPr>
        <w:t xml:space="preserve">Totals may not sum due to rounding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first six months of 2026, net sales increased on an organic basis compared to the same period in the prior year due to a low single digit rate increase in high-value categories, partially offset by a low single digit rate decrease in the base business.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Company-wide, on an organic basis, net sales of intelligent labels increased by a low single digit rate compared to the same period in the prior year.</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Segment Adjusted Operating Income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Segment adjusted operating income in the first six months of 2026 was comparable to the same period last year primarily due to higher employee-related costs, which were offset by benefits from productivity initiatives, including savings from restructuring actions, net of transition costs, and the net benefit of pricing and raw material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FINANCIAL CONDITION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Liquidity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bl>
      <w:tblPr>
        <w:tblW w:w="6762" w:type="dxa"/>
        <w:jc w:val="center"/>
        <w:tblInd w:w="0" w:type="dxa"/>
        <w:tblLayout w:type="fixed"/>
        <w:tblCellMar>
          <w:top w:w="28" w:type="dxa"/>
          <w:left w:w="28" w:type="dxa"/>
          <w:bottom w:w="28" w:type="dxa"/>
          <w:right w:w="28" w:type="dxa"/>
        </w:tblCellMar>
      </w:tblPr>
      <w:tblGrid>
        <w:gridCol w:w="1537"/>
        <w:gridCol w:w="1265"/>
        <w:gridCol w:w="1278"/>
        <w:gridCol w:w="263"/>
        <w:gridCol w:w="746"/>
        <w:gridCol w:w="146"/>
        <w:gridCol w:w="109"/>
        <w:gridCol w:w="109"/>
        <w:gridCol w:w="109"/>
        <w:gridCol w:w="259"/>
        <w:gridCol w:w="737"/>
        <w:gridCol w:w="204"/>
      </w:tblGrid>
      <w:tr>
        <w:trPr/>
        <w:tc>
          <w:tcPr>
            <w:tcW w:w="15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and sales returns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and other non-cash taxes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 and loss (income and gain),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and other adjustments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544.7 </w:t>
            </w:r>
          </w:p>
        </w:tc>
        <w:tc>
          <w:tcPr>
            <w:tcW w:w="1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2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2026, net cash provided by operating activities increased compared to the same period last year primarily due to changes in operational working capital and lower incentive compensation payments, partially offset by higher tax payments, net of refunds.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Investing Activities </w:t>
      </w:r>
    </w:p>
    <w:tbl>
      <w:tblPr>
        <w:tblW w:w="7931" w:type="dxa"/>
        <w:jc w:val="center"/>
        <w:tblInd w:w="0" w:type="dxa"/>
        <w:tblLayout w:type="fixed"/>
        <w:tblCellMar>
          <w:top w:w="28" w:type="dxa"/>
          <w:left w:w="28" w:type="dxa"/>
          <w:bottom w:w="28" w:type="dxa"/>
          <w:right w:w="28" w:type="dxa"/>
        </w:tblCellMar>
      </w:tblPr>
      <w:tblGrid>
        <w:gridCol w:w="1896"/>
        <w:gridCol w:w="1668"/>
        <w:gridCol w:w="1685"/>
        <w:gridCol w:w="242"/>
        <w:gridCol w:w="779"/>
        <w:gridCol w:w="134"/>
        <w:gridCol w:w="109"/>
        <w:gridCol w:w="109"/>
        <w:gridCol w:w="109"/>
        <w:gridCol w:w="264"/>
        <w:gridCol w:w="729"/>
        <w:gridCol w:w="207"/>
      </w:tblGrid>
      <w:tr>
        <w:trPr/>
        <w:tc>
          <w:tcPr>
            <w:tcW w:w="189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5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and other deferred charges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plant and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insurance and sales (purchases) of investments,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settlement of net investment hedges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acquisitions, net of cash acquired, and venture investments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4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3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20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Purchases of Property, Plant and Equipment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six months of 2026, in our Materials Group reportable segment, we primarily invested in equipment to support growth and improve productivity in the U.S., certain countries in Europe, including Ireland and Luxembourg, and certain countries in Asia Pacific, including China and Malaysia; in our Solutions Group reportable segment, we primarily invested in equipment to support growth and improve productivity in certain countries in Asia Pacific, including Vietnam and China, the U.S. and certain countries in Latin America, primarily Mexico.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2025, in our Materials Group reportable segment, we primarily invested in equipment to support growth in the U.S., certain countries in Europe and certain countries in Asia Pacific, primarily China; in our Solutions Group reportable segment, we primarily invested in buildings and equipment to support growth in certain countries in Asia Pacific, including Vietnam and China, and the U.S.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Purchases of Software and Other Deferred Charges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2026 and 2025, we primarily invested in information technology upgrades in the U.S.</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Proceeds from Insurance and Sales (Purchases) of Investments, Net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2026, we received lower proceeds from sales of investments.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Proceeds from Settlement of Net Investment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2025, we settled €420 million notional amount of net investment hedges.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Payments for Acquisitions, Net of Cash Acquired, and Venture Investments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2026, we made an approximately $75 million minority investment in Wiliot Ltd. We funded this investment using a combination of cash and commercial paper borrowings. In addition, we paid for purchase price adjustments related to our acquisition of W.F. Taylor Holdings, Inc. and for another venture investment. During the first six months of 2025, we paid $10.7 million for venture investments.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Financing Activities </w:t>
      </w:r>
    </w:p>
    <w:tbl>
      <w:tblPr>
        <w:tblW w:w="8246" w:type="dxa"/>
        <w:jc w:val="center"/>
        <w:tblInd w:w="0" w:type="dxa"/>
        <w:tblLayout w:type="fixed"/>
        <w:tblCellMar>
          <w:top w:w="28" w:type="dxa"/>
          <w:left w:w="28" w:type="dxa"/>
          <w:bottom w:w="28" w:type="dxa"/>
          <w:right w:w="28" w:type="dxa"/>
        </w:tblCellMar>
      </w:tblPr>
      <w:tblGrid>
        <w:gridCol w:w="2012"/>
        <w:gridCol w:w="1771"/>
        <w:gridCol w:w="1782"/>
        <w:gridCol w:w="242"/>
        <w:gridCol w:w="779"/>
        <w:gridCol w:w="134"/>
        <w:gridCol w:w="109"/>
        <w:gridCol w:w="109"/>
        <w:gridCol w:w="109"/>
        <w:gridCol w:w="239"/>
        <w:gridCol w:w="772"/>
        <w:gridCol w:w="188"/>
      </w:tblGrid>
      <w:tr>
        <w:trPr/>
        <w:tc>
          <w:tcPr>
            <w:tcW w:w="201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5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borrowings with maturities of three months or less</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816.2 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 and finance leases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(tax withholding) proceeds related to 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settlement of fair value hedges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2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w:t>
            </w:r>
          </w:p>
        </w:tc>
        <w:tc>
          <w:tcPr>
            <w:tcW w:w="1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w:t>
            </w:r>
          </w:p>
        </w:tc>
        <w:tc>
          <w:tcPr>
            <w:tcW w:w="18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Borrowings and Repayment of Debt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2026 and 2025, our commercial paper borrowings were used to fund dividend payments, share repurchases, venture investments, capital expenditures and other general corporate purposes. During the first six months of 2025, commercial paper borrowings were also used to repay long-term debt.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 the first quarter of 2025, we repaid our €500 million of senior notes at maturity using the net proceeds from the €500 million of senior notes we issued in the fourth quarter of 2024, cash flows from operations and commercial paper borrowings.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 the second quarter of 2025, we repaid our $25 million of medium-term notes at maturity using cash flows from operations and commercial paper borrowings.</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Dividends Paid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paid dividends of $1.94 per share in the first six months of 2026 compared to $1.82 per share in the same period last year. In April 2026, we increased our quarterly dividend rate from $0.94 per share to $1.00 per share, representing an increase of approximately 6%.</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Share Repurchases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six months of 2026 and 2025, we repurchased approximately 1.2 million and 2.0 million shares of our common stock,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Payments for Settlement of Fair Value Hedges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six months of 2025, we settled €420 million notional amount of fair value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 xml:space="preserve">Analysis of Selected Balance Sheet Accounts </w:t>
      </w:r>
    </w:p>
    <w:p>
      <w:pPr>
        <w:pStyle w:val="TextBody"/>
        <w:bidi w:val="0"/>
        <w:spacing w:lineRule="auto" w:line="288" w:before="18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Long-lived Assets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six months ended June 30, 2026, goodwill decreased by approximately $11 million to $2.26 billion, primarily reflecting the impact of foreign currency translation.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six months ended June 30, 2026, other intangibles resulting from business acquisitions, net, decreased by approximately $51 million to $776.2 million, primarily reflecting current-year amortization expense.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Refer to Note 2, “Goodwill and Other Intangibles Resulting from Business Acquisitions,” to the unaudited Condensed Consolidated Financial Statements for more information.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Shareholders’ Equity Accounts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balance of our shareholders’ equity was $2.32 billion. Refer to Note 8, “Supplemental Equity and Comprehensive Income Information,” to the unaudited Condensed Consolidated Financial Statements for more information.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Impact of Foreign Currency Translation </w:t>
      </w:r>
    </w:p>
    <w:tbl>
      <w:tblPr>
        <w:tblW w:w="3074" w:type="dxa"/>
        <w:jc w:val="left"/>
        <w:tblInd w:w="0" w:type="dxa"/>
        <w:tblLayout w:type="fixed"/>
        <w:tblCellMar>
          <w:top w:w="28" w:type="dxa"/>
          <w:left w:w="28" w:type="dxa"/>
          <w:bottom w:w="28" w:type="dxa"/>
          <w:right w:w="28" w:type="dxa"/>
        </w:tblCellMar>
      </w:tblPr>
      <w:tblGrid>
        <w:gridCol w:w="537"/>
        <w:gridCol w:w="473"/>
        <w:gridCol w:w="475"/>
        <w:gridCol w:w="404"/>
        <w:gridCol w:w="868"/>
        <w:gridCol w:w="317"/>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18"/>
              </w:rPr>
            </w:pPr>
            <w:r>
              <w:rPr>
                <w:rFonts w:ascii="Times New Roman;serif" w:hAnsi="Times New Roman;serif"/>
                <w:b/>
                <w:color w:val="000000"/>
                <w:sz w:val="18"/>
              </w:rPr>
              <w:t>June 30, 2026</w:t>
            </w:r>
          </w:p>
        </w:tc>
      </w:tr>
      <w:tr>
        <w:trPr/>
        <w:tc>
          <w:tcPr>
            <w:tcW w:w="148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net sales</w:t>
            </w:r>
          </w:p>
        </w:tc>
        <w:tc>
          <w:tcPr>
            <w:tcW w:w="4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International operations generated approximately 69% of our net sales during the six months ended June 30, 2026. Our future results are subject to changes in worldwide economic conditions, tariffs, and social, geopolitical and market conditions in the regions in which we operate, as well as the impact of fluctuations in foreign currency exchange and interest rates.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favorable impact of foreign currency translation on net sales in the first six months of 2026 compared to the same period last year was primarily related to euro-denominated sales and sales in China.</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Effect of Foreign Currency Transactions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Refer to Note 5, “Financial Instruments,” to the unaudited Condensed Consolidated Financial Statements for more information.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Analysis of Selected Financial Ratios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utilize the financial ratios discussed below to assess our financial condition and operating performance. We believe this information assists our investors in understanding the factors impacting our cash flow other than net income and capital expenditures.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Operational Working Capital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Operational working capital, as a percentage of annualized current-quarter net sales, is reconciled to working capital below. Our objective is to minimize our investment in operational working capital, as a percentage of annualized current-quarter net sales, to maximize our cash flow and return on investment. As shown below, operational working capital, as a percentage of annualized current-quarter net sales, in the second quarter of 2026 decreased compared to the second quarter of 2025. </w:t>
      </w:r>
    </w:p>
    <w:tbl>
      <w:tblPr>
        <w:tblW w:w="8696" w:type="dxa"/>
        <w:jc w:val="center"/>
        <w:tblInd w:w="0" w:type="dxa"/>
        <w:tblLayout w:type="fixed"/>
        <w:tblCellMar>
          <w:top w:w="28" w:type="dxa"/>
          <w:left w:w="28" w:type="dxa"/>
          <w:bottom w:w="28" w:type="dxa"/>
          <w:right w:w="28" w:type="dxa"/>
        </w:tblCellMar>
      </w:tblPr>
      <w:tblGrid>
        <w:gridCol w:w="2177"/>
        <w:gridCol w:w="1912"/>
        <w:gridCol w:w="1926"/>
        <w:gridCol w:w="198"/>
        <w:gridCol w:w="698"/>
        <w:gridCol w:w="258"/>
        <w:gridCol w:w="109"/>
        <w:gridCol w:w="109"/>
        <w:gridCol w:w="109"/>
        <w:gridCol w:w="198"/>
        <w:gridCol w:w="698"/>
        <w:gridCol w:w="304"/>
      </w:tblGrid>
      <w:tr>
        <w:trPr/>
        <w:tc>
          <w:tcPr>
            <w:tcW w:w="217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 except percentages)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6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 Working capital</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Reconciling items: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 and finance leases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 and other current liabilities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 Operational working capital</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1,345.9 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 Second-quarter net sales, annualized</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9,878.7 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8,882.0 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Operational working capital, as a percentage of annualized current-quarter net sales:</w:t>
              <w:br/>
              <w:t>(B) ÷ (C)</w:t>
            </w:r>
          </w:p>
        </w:tc>
        <w:tc>
          <w:tcPr>
            <w:tcW w:w="896" w:type="dxa"/>
            <w:gridSpan w:val="2"/>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8"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04" w:type="dxa"/>
            <w:tcBorders>
              <w:top w:val="single" w:sz="16"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Accounts Receivable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average number of days sales outstanding was 66 days in the second quarter of 2026 compared to 67 days in the second quarter of 2025, calculated using the accounts receivable balance at quarter-end divided by the average daily sales in the respective quarter. The decrease in average number of days sales outstanding primarily reflected the impact of foreign currency translation, partially offset by the timing of collections.</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Inventory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Average inventory turnover was 6.7 in the second quarter of 2026 compared to 6.2 in the second quarter of 2025, calculated using the annualized second-quarter cost of products sold and divided by the inventory balance at the respective quarter-end. The increase in average inventory turnover primarily reflected higher volumes due to customer inventory stocking.</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Accounts Payable Ratio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average number of days payable outstanding was 80 days in the second quarter of 2026 compared to 75 days in the second quarter of 2025, calculated using the respective accounts payable balance at quarter-end divided by the annualized second-quarter cost of products sold. The increase in average number of days payable outstanding primarily reflected the timing of vendor payments, partially offset by the impact of foreign currency translation and acquisitions.</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Capital Resources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Capital resources used to fund our operational needs include cash flows from operations, cash and cash equivalents, and debt financing, including access to commercial paper borrowings supported by our $1.20 billion revolving credit facility (the “Revolver”).</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Revolver is used as a back-up facility for our commercial paper borrowings and can be used for other corporate purposes. No balance was outstanding under the Revolver as of June 30, 2026 or December 31, 2025.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we had cash and cash equivalents of $227.3 million held in accounts at third-party financial institutions. Our cash balances are held in numerous locations around the world. As of June 30, 2026, the majority of our cash and cash equivalents was held by our foreign subsidiaries, primarily in Asia Pacific.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meet our U.S. cash requirements, we have several cost-effective liquidity options available. These options include borrowing funds at reasonable rates, including borrowings from foreign subsidiaries, and repatriating foreign earnings and profits. However, if we were to repatriate foreign earnings and profits, a portion would be subject to cash payments of withholding taxes imposed by foreign tax authorities. Additional U.S. taxes may also result from the impact of foreign currency fluctuations related to these earnings and profits. </w:t>
      </w:r>
    </w:p>
    <w:p>
      <w:pPr>
        <w:pStyle w:val="TextBody"/>
        <w:bidi w:val="0"/>
        <w:spacing w:lineRule="auto" w:line="288" w:before="24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Capital from Debt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value of our total debt decreased by approximately $55 million in the first six months of 2026 to $3.68 billion, primarily due to the revaluation of our euro-denominated debt and lower commercial paper borrowings.</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Credit ratings are a significant factor in our ability to raise short- and long-term financing. The credit ratings assigned to us also impact the interest rates we pay and our access to commercial paper, credit facilities and other borrowings. A downgrade of our short-term credit ratings could impact our ability to access commercial paper markets. If our access to commercial paper markets were to become limited, we believe that the Revolver and our other credit facilities would be available to meet our short-term funding requirements.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Off-Balance Sheet Arrangements, Contractual Obligations, and Other Matters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Refer to Note 11, “Commitments and Contingencies,” to the unaudited Condensed Consolidated Financial Statements for this information. Except as otherwise indicated therein, we have no material off-balance sheet arrangements as described in Item 303(b)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3. QUANTITATIVE AND QUALITATIVE DISCLOSURES ABOUT MARKET RISK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no material changes to the information provided in Part II, Item 7A of our Annual Report on Form 10-K for the fiscal year ended December 31, 2025 that have not been disclosed in our periodic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Evaluation of Disclosure Controls and Procedures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disclosure controls system is based upon a global chain of financial and general business reporting lines that converge in our headquarters in Mentor, Ohio.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 </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Changes in Internal Control Over Financial Reporting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were no changes in our internal control over financial reporting during the most recent fiscal quarter that have materially affected, or are reasonably likely to materially affect, our internal control over financial reporting. </w:t>
      </w:r>
    </w:p>
    <w:p>
      <w:pPr>
        <w:pStyle w:val="TextBody"/>
        <w:bidi w:val="0"/>
        <w:spacing w:before="240" w:after="283"/>
        <w:jc w:val="both"/>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1. LEGAL PROCEEDINGS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Refer to “Legal Proceedings” in Note 11, “Commitments and Contingencies,” to the unaudited Condensed Consolidated Financial Statements in Part I, Item 1 for this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1A. RISK FACTORS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no material changes to the risk factors included in Part I, Item 1A, of our Annual Report on Form 10-K for the fiscal year ended December 31, 2025 that have not been disclosed in our periodic filings with the SEC, except as set forth below. </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The demand for our products is impacted by the effects of, and changes in, worldwide economic, geopolitical, social and labor conditions, which have had in the past and could in the future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have operations in more than 50 countries and our domestic and international operations are strongly influenced by matters beyond our control, including changes in economic, geopolitical, social and labor conditions, tax laws, and U.S. and international trade regulations (including tariffs), as well as the impact these changes have on demand for our products. In 2025, approximately 69% of our net sales originated outside the U.S.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Macroeconomic developments such as impacts from slower growth in the geographic regions in which we operate; inflation resulting from, among other things, increased raw material, energy and freight costs; labor shortages; geopolitical, social, supply chain and other disruptions; epidemics, pandemics or other outbreaks of illness, disease or virus; and uncertainty in global credit or financial markets could result in a material adverse effect on our business as a result of, among other things, lower consumer spending, fluctuations in foreign currency exchange rates, reduced asset valuations, diminished liquidity and credit availability, volatility in securities prices, and credit rating downgrades.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Trade-related uncertainty remains elevated between the U.S. and other regions and countries, including Canada, Mexico, China, India and the European Union. In 2025, the U.S. implemented a 10% global baseline tariff rate on nearly all imports, with higher rates on certain goods. Additionally, it applied significant tariffs on goods from Canada, Mexico, China and the European Union, each of which announced reciprocal tariffs. The amount of these tariffs or the classes of goods on which they are applied continues to evolve and could significantly change. The U.S. government continues to negotiate with countries regarding the tariffs. In July 2025, the U.S. and the European Union agreed to a framework for a trade deal that included a baseline tariff rate of 15% on most goods imported from the European Union into the U.S. While the direct impacts on our operations after our mitigating actions have not been significant, our business could be materially adversely impacted by changes in U.S. and non-U.S. trade policies, including potential modifications to existing trade agreements and additional tariffs or other restrictions on free trade, impacting our raw materials or finished products. The indirect impact on demand for our products and solutions as a result of these events, which have resulted in softer consumer volumes, continues to be uncertain and elevated. We estimate that the indirect impact of tariffs resulted in an aggregate low single digit rate decrease in sales in our overall apparel categories over the second, third and fourth quarters of 2025. In February, 2026, the U.S. Supreme Court ruled that the applied tariffs were not authorized under the International Emergency Economic Powers Act. Beginning in the second quarter of 2026, the U.S. Customs Border and Protection began processing refunds related to certain unliquidated tariffs affected by this ruling. In June 2026, the U.S. Department of Justice filed an appeal in the U.S. Court of Appeals for the Federal Circuit asserting that the U.S. Court of International Trade overstepped by ordering refunds to non-litigants on liquidated entries. In July 2026, the U.S applied new tariffs of 10.0% and 12.5% on certain imports from 60 countries. Further developments in international trade relations, including ongoing developments on tariffs required by the U.S. or other countries, and increased deglobalization, could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addition, business and operational disruptions or delays caused by geopolitical, social or economic instability and unrest – such as recent civil, political and economic disturbances in Syria, Yemen, Iran, Turkey, North Korea, and Bangladesh and the related impact on global stability, recent conflicts involving the U.S., Israel and Iran and related hostilities in the Middle East, the Russia-Ukraine war, the Israel-Hamas war, the U.S.'s engagement in Venezuela, terrorist attacks and the potential for other hostilities or natural disasters in various parts of the world – could have a material adverse effect on our business. Since the Russia-Ukraine war began in 2022, we have maintained our position of not shipping products to the Russian market. The impact of the continuing war, as well as any further retaliatory actions taken by Russia, the U.S., the European Union and other jurisdictions, is unknown and could have a material adverse effect on our business. In addition, our sales in Israel have not recovered since the beginning of the Israel-Hamas war in late 2023, with sales representing less than 1% of our total net sales in 2025. The recent conflicts involving the U.S., Israel and Iran have affected our operations in the Middle East, a region that represented approximately 2% of our net sales in 2025. The continued impact of these conflicts and any related hostilities in the Middle East region or elsewhere is unknown and could have a material adverse effect on our business.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We are not able to predict the duration and severity of adverse economic, geopolitical, social, or labor conditions in the U.S. or other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240" w:after="283"/>
        <w:jc w:val="left"/>
        <w:rPr/>
      </w:pPr>
      <w:r>
        <w:rPr>
          <w:rFonts w:ascii="Times New Roman;serif" w:hAnsi="Times New Roman;serif"/>
          <w:b w:val="false"/>
          <w:color w:val="000000"/>
          <w:sz w:val="18"/>
        </w:rPr>
        <w:t>(a)</w:t>
      </w:r>
      <w:r>
        <w:rPr>
          <w:rFonts w:ascii="Times New Roman;serif" w:hAnsi="Times New Roman;serif"/>
          <w:b w:val="false"/>
          <w:color w:val="000000"/>
          <w:sz w:val="18"/>
        </w:rPr>
        <w:t xml:space="preserve">Not Applicable </w:t>
      </w:r>
    </w:p>
    <w:p>
      <w:pPr>
        <w:pStyle w:val="TextBody"/>
        <w:bidi w:val="0"/>
        <w:spacing w:lineRule="auto" w:line="288" w:before="240" w:after="283"/>
        <w:jc w:val="left"/>
        <w:rPr/>
      </w:pPr>
      <w:r>
        <w:rPr>
          <w:rFonts w:ascii="Times New Roman;serif" w:hAnsi="Times New Roman;serif"/>
          <w:b w:val="false"/>
          <w:color w:val="000000"/>
          <w:sz w:val="18"/>
        </w:rPr>
        <w:t>(b)</w:t>
      </w:r>
      <w:r>
        <w:rPr>
          <w:rFonts w:ascii="Times New Roman;serif" w:hAnsi="Times New Roman;serif"/>
          <w:b w:val="false"/>
          <w:color w:val="000000"/>
          <w:sz w:val="18"/>
        </w:rPr>
        <w:t xml:space="preserve">Not Applicable </w:t>
      </w:r>
    </w:p>
    <w:p>
      <w:pPr>
        <w:pStyle w:val="TextBody"/>
        <w:bidi w:val="0"/>
        <w:spacing w:lineRule="auto" w:line="288" w:before="240" w:after="283"/>
        <w:jc w:val="left"/>
        <w:rPr/>
      </w:pPr>
      <w:r>
        <w:rPr>
          <w:rFonts w:ascii="Times New Roman;serif" w:hAnsi="Times New Roman;serif"/>
          <w:b w:val="false"/>
          <w:color w:val="000000"/>
          <w:sz w:val="18"/>
        </w:rPr>
        <w:t>(c)</w:t>
      </w:r>
      <w:r>
        <w:rPr>
          <w:rFonts w:ascii="Times New Roman;serif" w:hAnsi="Times New Roman;serif"/>
          <w:b w:val="false"/>
          <w:color w:val="000000"/>
          <w:sz w:val="18"/>
        </w:rPr>
        <w:t xml:space="preserve">Repurchases of Equity Securities by Issuer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Repurchases by us or our “affiliated purchasers” (as defined in Rule 10b-18(a)(3) of the Securities Exchange Act of 1934, as amended) of registered equity securities in the second quarter of 2026 are shown in the table below. Repurchased shares may be reissued under our long-term incentive plan or used for other corporate purposes. </w:t>
      </w:r>
    </w:p>
    <w:tbl>
      <w:tblPr>
        <w:tblW w:w="9216" w:type="dxa"/>
        <w:jc w:val="center"/>
        <w:tblInd w:w="0" w:type="dxa"/>
        <w:tblLayout w:type="fixed"/>
        <w:tblCellMar>
          <w:top w:w="28" w:type="dxa"/>
          <w:left w:w="28" w:type="dxa"/>
          <w:bottom w:w="28" w:type="dxa"/>
          <w:right w:w="28" w:type="dxa"/>
        </w:tblCellMar>
      </w:tblPr>
      <w:tblGrid>
        <w:gridCol w:w="223"/>
        <w:gridCol w:w="196"/>
        <w:gridCol w:w="197"/>
        <w:gridCol w:w="534"/>
        <w:gridCol w:w="534"/>
        <w:gridCol w:w="536"/>
        <w:gridCol w:w="109"/>
        <w:gridCol w:w="109"/>
        <w:gridCol w:w="109"/>
        <w:gridCol w:w="318"/>
        <w:gridCol w:w="1050"/>
        <w:gridCol w:w="177"/>
        <w:gridCol w:w="109"/>
        <w:gridCol w:w="109"/>
        <w:gridCol w:w="109"/>
        <w:gridCol w:w="814"/>
        <w:gridCol w:w="814"/>
        <w:gridCol w:w="817"/>
        <w:gridCol w:w="109"/>
        <w:gridCol w:w="109"/>
        <w:gridCol w:w="109"/>
        <w:gridCol w:w="437"/>
        <w:gridCol w:w="1242"/>
        <w:gridCol w:w="346"/>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Period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 xml:space="preserve">Total number of </w:t>
            </w:r>
          </w:p>
          <w:p>
            <w:pPr>
              <w:pStyle w:val="TableContents"/>
              <w:bidi w:val="0"/>
              <w:spacing w:lineRule="auto" w:line="240" w:before="0" w:after="0"/>
              <w:jc w:val="right"/>
              <w:rPr/>
            </w:pPr>
            <w:r>
              <w:rPr>
                <w:rFonts w:ascii="Times New Roman;serif" w:hAnsi="Times New Roman;serif"/>
                <w:b/>
                <w:color w:val="000000"/>
                <w:sz w:val="18"/>
              </w:rPr>
              <w:t>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Average price paid</w:t>
            </w:r>
          </w:p>
          <w:p>
            <w:pPr>
              <w:pStyle w:val="TableContents"/>
              <w:bidi w:val="0"/>
              <w:spacing w:lineRule="auto" w:line="240" w:before="0" w:after="0"/>
              <w:jc w:val="right"/>
              <w:rPr/>
            </w:pPr>
            <w:r>
              <w:rPr>
                <w:rFonts w:ascii="Times New Roman;serif" w:hAnsi="Times New Roman;serif"/>
                <w:b/>
                <w:color w:val="000000"/>
                <w:sz w:val="18"/>
              </w:rPr>
              <w:t>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Total number of shares</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purchased as part of</w:t>
            </w:r>
          </w:p>
          <w:p>
            <w:pPr>
              <w:pStyle w:val="TableContents"/>
              <w:bidi w:val="0"/>
              <w:spacing w:lineRule="auto" w:line="240" w:before="0" w:after="0"/>
              <w:jc w:val="right"/>
              <w:rPr/>
            </w:pPr>
            <w:r>
              <w:rPr>
                <w:rFonts w:ascii="Times New Roman;serif" w:hAnsi="Times New Roman;serif"/>
                <w:b/>
                <w:color w:val="000000"/>
                <w:sz w:val="18"/>
              </w:rPr>
              <w:t>publicly announced plans</w:t>
            </w:r>
            <w:r>
              <w:rPr>
                <w:rFonts w:ascii="Times New Roman;serif" w:hAnsi="Times New Roman;serif"/>
                <w:b/>
                <w:color w:val="000000"/>
                <w:sz w:val="12"/>
              </w:rPr>
              <w:t>(1)(3)</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Approximate dollar</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value of shares that may</w:t>
            </w:r>
          </w:p>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yet be purchased under</w:t>
            </w:r>
          </w:p>
          <w:p>
            <w:pPr>
              <w:pStyle w:val="TableContents"/>
              <w:bidi w:val="0"/>
              <w:spacing w:lineRule="auto" w:line="240" w:before="0" w:after="0"/>
              <w:jc w:val="right"/>
              <w:rPr/>
            </w:pPr>
            <w:r>
              <w:rPr>
                <w:rFonts w:ascii="Times New Roman;serif" w:hAnsi="Times New Roman;serif"/>
                <w:b/>
                <w:color w:val="000000"/>
                <w:sz w:val="18"/>
              </w:rPr>
              <w:t>the plans</w:t>
            </w:r>
            <w:r>
              <w:rPr>
                <w:rFonts w:ascii="Times New Roman;serif" w:hAnsi="Times New Roman;serif"/>
                <w:b/>
                <w:color w:val="000000"/>
                <w:sz w:val="12"/>
              </w:rPr>
              <w:t>(3)(4)</w:t>
            </w:r>
          </w:p>
        </w:tc>
      </w:tr>
      <w:tr>
        <w:trPr/>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w:t>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68"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821.7 </w:t>
            </w:r>
          </w:p>
        </w:tc>
        <w:tc>
          <w:tcPr>
            <w:tcW w:w="5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161.49 </w:t>
            </w:r>
          </w:p>
        </w:tc>
        <w:tc>
          <w:tcPr>
            <w:tcW w:w="1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821.7 </w:t>
            </w:r>
          </w:p>
        </w:tc>
        <w:tc>
          <w:tcPr>
            <w:tcW w:w="8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3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Shares in thousands. </w:t>
      </w:r>
    </w:p>
    <w:p>
      <w:pPr>
        <w:pStyle w:val="TextBody"/>
        <w:bidi w:val="0"/>
        <w:spacing w:lineRule="auto" w:line="288" w:before="0" w:after="0"/>
        <w:ind w:left="0" w:right="0" w:hanging="9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 xml:space="preserve">Average price paid per share includes transaction costs to acquire the shares and excludes the non-deductible 1% excise tax on the net value of repurchases imposed under the Inflation Reduction Act of 2022. </w:t>
      </w:r>
    </w:p>
    <w:p>
      <w:pPr>
        <w:pStyle w:val="TextBody"/>
        <w:bidi w:val="0"/>
        <w:spacing w:lineRule="auto" w:line="276" w:before="0" w:after="0"/>
        <w:ind w:left="0" w:right="0" w:hanging="90"/>
        <w:jc w:val="both"/>
        <w:rPr/>
      </w:pPr>
      <w:r>
        <w:rPr>
          <w:rFonts w:ascii="Times New Roman;serif" w:hAnsi="Times New Roman;serif"/>
          <w:b w:val="false"/>
          <w:color w:val="000000"/>
          <w:sz w:val="9"/>
        </w:rPr>
        <w:t xml:space="preserve">(3) </w:t>
      </w:r>
      <w:r>
        <w:rPr>
          <w:rFonts w:ascii="Times New Roman;serif" w:hAnsi="Times New Roman;serif"/>
          <w:b w:val="false"/>
          <w:color w:val="000000"/>
          <w:sz w:val="14"/>
        </w:rPr>
        <w:t>In April 2025, our Board authorized the repurchase of shares of our common stock with a fair market value of up to $750.0 million, excluding any fees, commissions or other expenses related to such purchases and in addition to the amount outstanding under our previous Board authorization. Board authorizations remain in effect until shares in the amount authorized thereunder have been repurchased.</w:t>
      </w:r>
    </w:p>
    <w:p>
      <w:pPr>
        <w:pStyle w:val="TextBody"/>
        <w:bidi w:val="0"/>
        <w:spacing w:lineRule="auto" w:line="288" w:before="0" w:after="0"/>
        <w:ind w:left="0" w:right="0" w:hanging="180"/>
        <w:jc w:val="left"/>
        <w:rPr/>
      </w:pPr>
      <w:r>
        <w:rPr>
          <w:rFonts w:ascii="Times New Roman;serif" w:hAnsi="Times New Roman;serif"/>
          <w:b w:val="false"/>
          <w:color w:val="000000"/>
          <w:sz w:val="9"/>
        </w:rPr>
        <w:t xml:space="preserve">(4) </w:t>
      </w:r>
      <w:r>
        <w:rPr>
          <w:rFonts w:ascii="Times New Roman;serif" w:hAnsi="Times New Roman;serif"/>
          <w:b w:val="false"/>
          <w:color w:val="000000"/>
          <w:sz w:val="14"/>
        </w:rPr>
        <w:t>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3. DEFAULTS UPON SENIOR SECURITIES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4. MINE SAFETY DISCLOSURES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 xml:space="preserve">ITEM 5. OTHER INFORMATION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There were no Rule 10b5-1 trading arrangements or non-Rule 10b5-1 trading arrangements (as defined in Item 408(c) of Regulation S-K) adopted or terminated by any of our directors or executive officers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ITEM 6. EXHIBITS </w:t>
      </w:r>
    </w:p>
    <w:tbl>
      <w:tblPr>
        <w:tblW w:w="10205" w:type="dxa"/>
        <w:jc w:val="left"/>
        <w:tblInd w:w="0" w:type="dxa"/>
        <w:tblLayout w:type="fixed"/>
        <w:tblCellMar>
          <w:top w:w="28" w:type="dxa"/>
          <w:left w:w="28" w:type="dxa"/>
          <w:bottom w:w="28" w:type="dxa"/>
          <w:right w:w="28" w:type="dxa"/>
        </w:tblCellMar>
      </w:tblPr>
      <w:tblGrid>
        <w:gridCol w:w="391"/>
        <w:gridCol w:w="345"/>
        <w:gridCol w:w="346"/>
        <w:gridCol w:w="2718"/>
        <w:gridCol w:w="2645"/>
        <w:gridCol w:w="3760"/>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18"/>
                  <w:u w:val="single"/>
                </w:rPr>
                <w:t>Amended and Restated Certificate of Incorporation, as filed on April 28, 2011 with the Office of Delaware Secretary of State (incorporated by reference to Exhibit 3.1 of the Company’s Current Report on Form 8-K filed on April 29, 2011)</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FF"/>
                  <w:sz w:val="18"/>
                  <w:u w:val="single"/>
                </w:rPr>
                <w:t>Certificate of Amendment to Amended and Restated Certificate of Incorporation of Avery Dennison Corporation, effective as of April 25, 2024 (incorporated by reference to Exhibit 3.1 to the Company’s Current Report on Form 8-K filed on April 26, 2024)</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Exhibit 3.3</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FF"/>
                  <w:sz w:val="18"/>
                  <w:u w:val="single"/>
                </w:rPr>
                <w:t>Amended and Restated Bylaws of Avery Dennison Corporation, effective as of February 26, 2026 (incorporated by reference to Exhibit 3.1 to the Company’s Current Report on Form 8-K filed on February 26, 2026)</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84x10qex101.htm">
              <w:r>
                <w:rPr>
                  <w:rStyle w:val="InternetLink"/>
                  <w:rFonts w:ascii="Times New Roman;serif" w:hAnsi="Times New Roman;serif"/>
                  <w:b w:val="false"/>
                  <w:color w:val="000080"/>
                  <w:sz w:val="18"/>
                  <w:u w:val="single"/>
                </w:rPr>
                <w:t>O</w:t>
              </w:r>
            </w:hyperlink>
            <w:hyperlink w:anchor="avy-202684x10qex101.htm">
              <w:r>
                <w:rPr>
                  <w:rStyle w:val="InternetLink"/>
                  <w:rFonts w:ascii="Times New Roman;serif" w:hAnsi="Times New Roman;serif"/>
                  <w:b w:val="false"/>
                  <w:color w:val="000080"/>
                  <w:sz w:val="18"/>
                  <w:u w:val="single"/>
                </w:rPr>
                <w:t>ffer letter to Danny Allouc</w:t>
              </w:r>
            </w:hyperlink>
            <w:hyperlink w:anchor="avy-202684x10qex101.htm">
              <w:r>
                <w:rPr>
                  <w:rStyle w:val="InternetLink"/>
                  <w:rFonts w:ascii="Times New Roman;serif" w:hAnsi="Times New Roman;serif"/>
                  <w:b w:val="false"/>
                  <w:color w:val="000080"/>
                  <w:sz w:val="18"/>
                  <w:u w:val="single"/>
                </w:rPr>
                <w:t>he</w:t>
              </w:r>
            </w:hyperlink>
            <w:hyperlink w:anchor="avy-202684x10qex101.htm">
              <w:r>
                <w:rPr>
                  <w:rStyle w:val="InternetLink"/>
                  <w:rFonts w:ascii="Times New Roman;serif" w:hAnsi="Times New Roman;serif"/>
                  <w:b w:val="false"/>
                  <w:color w:val="000080"/>
                  <w:sz w:val="18"/>
                  <w:u w:val="single"/>
                </w:rPr>
                <w:t>, dated June 1, 2026</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31.1*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84x10qex311.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31.2*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84x10qex312.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32.1**</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84x10qex321.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32.2**</w:t>
            </w:r>
          </w:p>
        </w:tc>
        <w:tc>
          <w:tcPr>
            <w:tcW w:w="912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vy-202684x10qex322.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101.INS***</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101.SCH***</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Schema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101.CAL***</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Calculation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101.LAB***</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Label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101.PRE***</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Presentation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101.DEF***</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Extension Definition Linkbase Document</w:t>
            </w:r>
          </w:p>
        </w:tc>
      </w:tr>
      <w:tr>
        <w:trPr/>
        <w:tc>
          <w:tcPr>
            <w:tcW w:w="10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w:t>
            </w:r>
          </w:p>
        </w:tc>
        <w:tc>
          <w:tcPr>
            <w:tcW w:w="912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for the cover page of this Quarterly Report on Form 10-Q, included as part of this Exhibit 101 Inline XBRL document set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tbl>
      <w:tblPr>
        <w:tblW w:w="10205" w:type="dxa"/>
        <w:jc w:val="left"/>
        <w:tblInd w:w="0" w:type="dxa"/>
        <w:tblLayout w:type="fixed"/>
        <w:tblCellMar>
          <w:top w:w="28" w:type="dxa"/>
          <w:left w:w="28" w:type="dxa"/>
          <w:bottom w:w="28" w:type="dxa"/>
          <w:right w:w="28" w:type="dxa"/>
        </w:tblCellMar>
      </w:tblPr>
      <w:tblGrid>
        <w:gridCol w:w="129"/>
        <w:gridCol w:w="114"/>
        <w:gridCol w:w="114"/>
        <w:gridCol w:w="2882"/>
        <w:gridCol w:w="2882"/>
        <w:gridCol w:w="4084"/>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57" w:type="dxa"/>
            <w:gridSpan w:val="3"/>
            <w:tcBorders/>
            <w:vAlign w:val="center"/>
          </w:tcPr>
          <w:p>
            <w:pPr>
              <w:pStyle w:val="TableContents"/>
              <w:bidi w:val="0"/>
              <w:spacing w:before="0" w:after="283"/>
              <w:jc w:val="left"/>
              <w:rPr>
                <w:sz w:val="4"/>
                <w:szCs w:val="4"/>
              </w:rPr>
            </w:pPr>
            <w:r>
              <w:rPr>
                <w:sz w:val="4"/>
                <w:szCs w:val="4"/>
              </w:rPr>
            </w:r>
          </w:p>
        </w:tc>
        <w:tc>
          <w:tcPr>
            <w:tcW w:w="9848" w:type="dxa"/>
            <w:gridSpan w:val="3"/>
            <w:tcBorders/>
            <w:vAlign w:val="center"/>
          </w:tcPr>
          <w:p>
            <w:pPr>
              <w:pStyle w:val="TableContents"/>
              <w:bidi w:val="0"/>
              <w:spacing w:before="0" w:after="283"/>
              <w:jc w:val="left"/>
              <w:rPr>
                <w:sz w:val="4"/>
                <w:szCs w:val="4"/>
              </w:rPr>
            </w:pPr>
            <w:r>
              <w:rPr>
                <w:sz w:val="4"/>
                <w:szCs w:val="4"/>
              </w:rPr>
            </w:r>
          </w:p>
        </w:tc>
      </w:tr>
      <w:tr>
        <w:trPr/>
        <w:tc>
          <w:tcPr>
            <w:tcW w:w="357" w:type="dxa"/>
            <w:gridSpan w:val="3"/>
            <w:tcBorders/>
            <w:vAlign w:val="center"/>
          </w:tcPr>
          <w:p>
            <w:pPr>
              <w:pStyle w:val="TableContents"/>
              <w:bidi w:val="0"/>
              <w:spacing w:before="0" w:after="283"/>
              <w:jc w:val="left"/>
              <w:rPr>
                <w:sz w:val="4"/>
                <w:szCs w:val="4"/>
              </w:rPr>
            </w:pPr>
            <w:r>
              <w:rPr>
                <w:sz w:val="4"/>
                <w:szCs w:val="4"/>
              </w:rPr>
            </w:r>
          </w:p>
        </w:tc>
        <w:tc>
          <w:tcPr>
            <w:tcW w:w="9848" w:type="dxa"/>
            <w:gridSpan w:val="3"/>
            <w:tcBorders/>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Management contract or compensatory plan or arrangement required to be filed as an exhibit to this Form 10-Q.</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76" w:before="0" w:after="0"/>
        <w:jc w:val="left"/>
        <w:rPr/>
      </w:pPr>
      <w:hyperlink w:anchor="ia30e852aaa534ea98ef0185fdbfb2482_7">
        <w:r>
          <w:rPr>
            <w:rStyle w:val="InternetLink"/>
            <w:rFonts w:ascii="Times New Roman;serif" w:hAnsi="Times New Roman;serif"/>
            <w:b/>
            <w:color w:val="0000FF"/>
            <w:sz w:val="18"/>
            <w:u w:val="single"/>
          </w:rPr>
          <w:t>Table of Contents</w:t>
        </w:r>
      </w:hyperlink>
    </w:p>
    <w:p>
      <w:pPr>
        <w:pStyle w:val="TextBody"/>
        <w:bidi w:val="0"/>
        <w:spacing w:lineRule="auto" w:line="288" w:before="120" w:after="283"/>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SIGNATURES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the registrant has duly caused this report to be signed on its behalf by the undersigned, thereunto duly authorized. </w:t>
      </w:r>
    </w:p>
    <w:tbl>
      <w:tblPr>
        <w:tblW w:w="4497" w:type="dxa"/>
        <w:jc w:val="lef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AVERY DENNISON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Gregory S. Lovins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Divina F. Santiago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Divina F. Santiago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August 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tbl>
      <w:tblPr>
        <w:tblW w:w="6595" w:type="dxa"/>
        <w:jc w:val="left"/>
        <w:tblInd w:w="0" w:type="dxa"/>
        <w:tblLayout w:type="fixed"/>
        <w:tblCellMar>
          <w:top w:w="28" w:type="dxa"/>
          <w:left w:w="28" w:type="dxa"/>
          <w:bottom w:w="28" w:type="dxa"/>
          <w:right w:w="28" w:type="dxa"/>
        </w:tblCellMar>
      </w:tblPr>
      <w:tblGrid>
        <w:gridCol w:w="901"/>
        <w:gridCol w:w="792"/>
        <w:gridCol w:w="793"/>
        <w:gridCol w:w="719"/>
        <w:gridCol w:w="719"/>
        <w:gridCol w:w="721"/>
        <w:gridCol w:w="571"/>
        <w:gridCol w:w="571"/>
        <w:gridCol w:w="808"/>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0"/>
              <w:jc w:val="left"/>
              <w:rPr/>
            </w:pPr>
            <w:r>
              <w:rPr/>
              <w:drawing>
                <wp:inline distT="0" distB="0" distL="0" distR="0">
                  <wp:extent cx="1514475" cy="495300"/>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5"/>
                          <a:stretch>
                            <a:fillRect/>
                          </a:stretch>
                        </pic:blipFill>
                        <pic:spPr bwMode="auto">
                          <a:xfrm>
                            <a:off x="0" y="0"/>
                            <a:ext cx="1514475" cy="495300"/>
                          </a:xfrm>
                          <a:prstGeom prst="rect">
                            <a:avLst/>
                          </a:prstGeom>
                        </pic:spPr>
                      </pic:pic>
                    </a:graphicData>
                  </a:graphic>
                </wp:inline>
              </w:drawing>
            </w:r>
          </w:p>
        </w:tc>
        <w:tc>
          <w:tcPr>
            <w:tcW w:w="2159" w:type="dxa"/>
            <w:gridSpan w:val="3"/>
            <w:tcBorders>
              <w:top w:val="single" w:sz="8" w:space="0" w:color="FFFFFF"/>
              <w:left w:val="single" w:sz="8" w:space="0" w:color="000000"/>
              <w:bottom w:val="single" w:sz="8" w:space="0" w:color="FFFFFF"/>
            </w:tcBorders>
            <w:tcMar>
              <w:top w:w="30" w:type="dxa"/>
              <w:bottom w:w="30" w:type="dxa"/>
              <w:right w:w="0" w:type="dxa"/>
            </w:tcMar>
            <w:vAlign w:val="center"/>
          </w:tcPr>
          <w:p>
            <w:pPr>
              <w:pStyle w:val="TableContents"/>
              <w:bidi w:val="0"/>
              <w:spacing w:lineRule="auto" w:line="319" w:before="0" w:after="0"/>
              <w:jc w:val="left"/>
              <w:rPr>
                <w:rFonts w:ascii="Nunito Sans;sans-serif" w:hAnsi="Nunito Sans;sans-serif"/>
                <w:b/>
                <w:color w:val="000000"/>
                <w:sz w:val="16"/>
              </w:rPr>
            </w:pPr>
            <w:r>
              <w:rPr>
                <w:rFonts w:ascii="Nunito Sans;sans-serif" w:hAnsi="Nunito Sans;sans-serif"/>
                <w:b/>
                <w:color w:val="000000"/>
                <w:sz w:val="16"/>
              </w:rPr>
              <w:t>Avery Dennison</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Corporate Headquarters</w:t>
            </w:r>
          </w:p>
        </w:tc>
        <w:tc>
          <w:tcPr>
            <w:tcW w:w="1950" w:type="dxa"/>
            <w:gridSpan w:val="3"/>
            <w:tcBorders>
              <w:top w:val="single" w:sz="8" w:space="0" w:color="FFFFFF"/>
              <w:left w:val="single" w:sz="8" w:space="0" w:color="000000"/>
              <w:bottom w:val="single" w:sz="8" w:space="0" w:color="FFFFFF"/>
              <w:right w:val="single" w:sz="8" w:space="0" w:color="000000"/>
            </w:tcBorders>
            <w:tcMar>
              <w:top w:w="30" w:type="dxa"/>
              <w:bottom w:w="30" w:type="dxa"/>
            </w:tcMar>
            <w:vAlign w:val="center"/>
          </w:tcPr>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8080 Norton Parkway</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 xml:space="preserve">Mentor, Ohio 44060 </w:t>
            </w:r>
          </w:p>
          <w:p>
            <w:pPr>
              <w:pStyle w:val="TableContents"/>
              <w:bidi w:val="0"/>
              <w:spacing w:lineRule="auto" w:line="319" w:before="60" w:after="283"/>
              <w:jc w:val="left"/>
              <w:rPr>
                <w:rFonts w:ascii="Nunito Sans;sans-serif" w:hAnsi="Nunito Sans;sans-serif"/>
                <w:b w:val="false"/>
                <w:color w:val="000000"/>
                <w:sz w:val="16"/>
              </w:rPr>
            </w:pPr>
            <w:r>
              <w:rPr>
                <w:rFonts w:ascii="Nunito Sans;sans-serif" w:hAnsi="Nunito Sans;sans-serif"/>
                <w:b w:val="false"/>
                <w:color w:val="000000"/>
                <w:sz w:val="16"/>
              </w:rPr>
              <w:t>P +1 440-534-6000</w:t>
            </w:r>
          </w:p>
        </w:tc>
      </w:tr>
    </w:tbl>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June 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Danny Allouche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[Address]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[Address]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[Address]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Dear Danny: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I am very pleased to confirm your appointment to President, Materials Group, effective June 1, 2026, reporting to me. This is an Executive Level 2 position, and the compensation package described in this letter has been approved by the Board’s Talent and Compensation Committee.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Specific details of your compensation are as follows: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rPr>
        <w:t>Base Salary:</w:t>
      </w:r>
      <w:r>
        <w:rPr>
          <w:color w:val="000000"/>
        </w:rPr>
        <w:t xml:space="preserve"> </w:t>
      </w:r>
      <w:r>
        <w:rPr>
          <w:rFonts w:ascii="Arial;sans-serif" w:hAnsi="Arial;sans-serif"/>
          <w:b w:val="false"/>
          <w:color w:val="000000"/>
          <w:sz w:val="22"/>
        </w:rPr>
        <w:t xml:space="preserve">Your annualized base salary will continue to be </w:t>
      </w:r>
      <w:r>
        <w:rPr>
          <w:rFonts w:ascii="Arial;sans-serif" w:hAnsi="Arial;sans-serif"/>
          <w:b/>
          <w:color w:val="000000"/>
          <w:sz w:val="24"/>
        </w:rPr>
        <w:t>ILS 1,989,960</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subject to applicable withholdings and paid pursuant to customary payroll practices in your home country of Israel.</w:t>
      </w:r>
      <w:r>
        <w:rPr>
          <w:color w:val="000000"/>
        </w:rPr>
        <w:t xml:space="preserve"> </w:t>
      </w:r>
      <w:r>
        <w:rPr>
          <w:rFonts w:ascii="Arial;sans-serif" w:hAnsi="Arial;sans-serif"/>
          <w:b w:val="false"/>
          <w:color w:val="000000"/>
          <w:sz w:val="22"/>
        </w:rPr>
        <w:t>Your next salary review will be effective April 2027.</w:t>
      </w:r>
      <w:r>
        <w:rPr>
          <w:color w:val="000000"/>
        </w:rPr>
        <w:t xml:space="preserve"> </w:t>
      </w:r>
      <w:r>
        <w:rPr>
          <w:rFonts w:ascii="Arial;sans-serif" w:hAnsi="Arial;sans-serif"/>
          <w:b w:val="false"/>
          <w:color w:val="000000"/>
          <w:sz w:val="22"/>
        </w:rPr>
        <w:t>Subsequent salary reviews will be made effective in April of each year, or on another date designated by the Company for a given year.</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rPr>
        <w:t>AIP Award:</w:t>
      </w:r>
      <w:r>
        <w:rPr>
          <w:color w:val="000000"/>
        </w:rPr>
        <w:t xml:space="preserve"> </w:t>
      </w:r>
      <w:r>
        <w:rPr>
          <w:rFonts w:ascii="Arial;sans-serif" w:hAnsi="Arial;sans-serif"/>
          <w:b w:val="false"/>
          <w:color w:val="000000"/>
          <w:sz w:val="22"/>
        </w:rPr>
        <w:t xml:space="preserve">You will continue to be eligible to participate in the Company’s Annual Incentive Plan (“AIP”) with a target AIP opportunity of </w:t>
      </w:r>
      <w:r>
        <w:rPr>
          <w:rFonts w:ascii="Arial;sans-serif" w:hAnsi="Arial;sans-serif"/>
          <w:b/>
          <w:color w:val="000000"/>
          <w:sz w:val="24"/>
        </w:rPr>
        <w:t>60%</w:t>
      </w:r>
      <w:r>
        <w:rPr>
          <w:color w:val="000000"/>
        </w:rPr>
        <w:t xml:space="preserve"> </w:t>
      </w:r>
      <w:r>
        <w:rPr>
          <w:rFonts w:ascii="Arial;sans-serif" w:hAnsi="Arial;sans-serif"/>
          <w:b w:val="false"/>
          <w:color w:val="000000"/>
          <w:sz w:val="22"/>
        </w:rPr>
        <w:t>of base salary, subject to applicable withholdings. Your AIP linkage will change from Corporate to Global Materials Group effective June 1, 2026. The AIP, including eligibility criteria, may change at any time, with or without notice, in accordance with applicable laws and at the discretion of the Company.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rPr>
        <w:t>Annual Long-Term Incentive (LTI) Award:</w:t>
      </w:r>
      <w:r>
        <w:rPr>
          <w:color w:val="000000"/>
        </w:rPr>
        <w:t xml:space="preserve"> </w:t>
      </w:r>
      <w:r>
        <w:rPr>
          <w:rFonts w:ascii="Arial;sans-serif" w:hAnsi="Arial;sans-serif"/>
          <w:b w:val="false"/>
          <w:color w:val="000000"/>
          <w:sz w:val="22"/>
        </w:rPr>
        <w:t xml:space="preserve">You will continue to be eligible for an annual LTI award, now with a target opportunity of </w:t>
      </w:r>
      <w:r>
        <w:rPr>
          <w:rFonts w:ascii="Arial;sans-serif" w:hAnsi="Arial;sans-serif"/>
          <w:b/>
          <w:color w:val="000000"/>
          <w:sz w:val="24"/>
        </w:rPr>
        <w:t>200%</w:t>
      </w:r>
      <w:r>
        <w:rPr>
          <w:color w:val="000000"/>
        </w:rPr>
        <w:t xml:space="preserve"> </w:t>
      </w:r>
      <w:r>
        <w:rPr>
          <w:rFonts w:ascii="Arial;sans-serif" w:hAnsi="Arial;sans-serif"/>
          <w:b w:val="false"/>
          <w:color w:val="000000"/>
          <w:sz w:val="22"/>
        </w:rPr>
        <w:t>of base salary (an increase from your previous opportunity of 180% of base salary).</w:t>
      </w:r>
      <w:r>
        <w:rPr>
          <w:color w:val="000000"/>
        </w:rPr>
        <w:t xml:space="preserve"> </w:t>
      </w:r>
      <w:r>
        <w:rPr>
          <w:rFonts w:ascii="Arial;sans-serif" w:hAnsi="Arial;sans-serif"/>
          <w:b w:val="false"/>
          <w:color w:val="000000"/>
          <w:sz w:val="22"/>
        </w:rPr>
        <w:t xml:space="preserve">Executive LTI awards are currently delivered via a mix of performance units and restricted stock units. The LTI program, including eligibility criteria, may change at any time, with or without notice, in accordance with applicable laws and at the discretion of the Company. To effectuate this increase in your annual LTI award for 2026, you will be granted a supplemental LTI award on September 1, 2026 with a grant date fair value of </w:t>
      </w:r>
      <w:r>
        <w:rPr>
          <w:rFonts w:ascii="Arial;sans-serif" w:hAnsi="Arial;sans-serif"/>
          <w:b/>
          <w:color w:val="000000"/>
          <w:sz w:val="24"/>
        </w:rPr>
        <w:t>US$117,500</w:t>
      </w:r>
      <w:r>
        <w:rPr>
          <w:rFonts w:ascii="Arial;sans-serif" w:hAnsi="Arial;sans-serif"/>
          <w:b w:val="false"/>
          <w:color w:val="000000"/>
          <w:sz w:val="22"/>
        </w:rPr>
        <w:t>, which is approximately 20% of your base salary. This award will be composed of the following awards: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 xml:space="preserve">An award of performance units with a target grant date fair value of </w:t>
      </w:r>
      <w:r>
        <w:rPr>
          <w:rFonts w:ascii="Arial;sans-serif" w:hAnsi="Arial;sans-serif"/>
          <w:b/>
          <w:color w:val="000000"/>
          <w:sz w:val="24"/>
        </w:rPr>
        <w:t xml:space="preserve">US$70,500 </w:t>
      </w:r>
      <w:r>
        <w:rPr>
          <w:rFonts w:ascii="Arial;sans-serif" w:hAnsi="Arial;sans-serif"/>
          <w:b w:val="false"/>
          <w:color w:val="000000"/>
          <w:sz w:val="22"/>
        </w:rPr>
        <w:t>with the same performance objectives and vesting criteria as your March 1, 2026 award of performance units, subject to your continued employment through the vesting 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 xml:space="preserve">An award of restricted stock units with a target grant date fair value of </w:t>
      </w:r>
      <w:r>
        <w:rPr>
          <w:rFonts w:ascii="Arial;sans-serif" w:hAnsi="Arial;sans-serif"/>
          <w:b/>
          <w:color w:val="000000"/>
          <w:sz w:val="24"/>
        </w:rPr>
        <w:t xml:space="preserve">US$47,000 </w:t>
      </w:r>
      <w:r>
        <w:rPr>
          <w:rFonts w:ascii="Arial;sans-serif" w:hAnsi="Arial;sans-serif"/>
          <w:b w:val="false"/>
          <w:color w:val="000000"/>
          <w:sz w:val="22"/>
        </w:rPr>
        <w:t>that will vest ratably on September 1, 2027 and March 1, 2028, 2029 and 2030, subject to your continued employment through each vesting date.</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95" w:type="dxa"/>
        <w:jc w:val="left"/>
        <w:tblInd w:w="0" w:type="dxa"/>
        <w:tblLayout w:type="fixed"/>
        <w:tblCellMar>
          <w:top w:w="28" w:type="dxa"/>
          <w:left w:w="28" w:type="dxa"/>
          <w:bottom w:w="28" w:type="dxa"/>
          <w:right w:w="28" w:type="dxa"/>
        </w:tblCellMar>
      </w:tblPr>
      <w:tblGrid>
        <w:gridCol w:w="901"/>
        <w:gridCol w:w="792"/>
        <w:gridCol w:w="793"/>
        <w:gridCol w:w="719"/>
        <w:gridCol w:w="719"/>
        <w:gridCol w:w="721"/>
        <w:gridCol w:w="571"/>
        <w:gridCol w:w="571"/>
        <w:gridCol w:w="808"/>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0"/>
              <w:jc w:val="left"/>
              <w:rPr/>
            </w:pPr>
            <w:r>
              <w:rPr/>
              <w:drawing>
                <wp:inline distT="0" distB="0" distL="0" distR="0">
                  <wp:extent cx="1514475" cy="495300"/>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6"/>
                          <a:stretch>
                            <a:fillRect/>
                          </a:stretch>
                        </pic:blipFill>
                        <pic:spPr bwMode="auto">
                          <a:xfrm>
                            <a:off x="0" y="0"/>
                            <a:ext cx="1514475" cy="495300"/>
                          </a:xfrm>
                          <a:prstGeom prst="rect">
                            <a:avLst/>
                          </a:prstGeom>
                        </pic:spPr>
                      </pic:pic>
                    </a:graphicData>
                  </a:graphic>
                </wp:inline>
              </w:drawing>
            </w:r>
          </w:p>
        </w:tc>
        <w:tc>
          <w:tcPr>
            <w:tcW w:w="2159" w:type="dxa"/>
            <w:gridSpan w:val="3"/>
            <w:tcBorders>
              <w:top w:val="single" w:sz="8" w:space="0" w:color="FFFFFF"/>
              <w:left w:val="single" w:sz="8" w:space="0" w:color="000000"/>
              <w:bottom w:val="single" w:sz="8" w:space="0" w:color="FFFFFF"/>
            </w:tcBorders>
            <w:tcMar>
              <w:top w:w="30" w:type="dxa"/>
              <w:bottom w:w="30" w:type="dxa"/>
              <w:right w:w="0" w:type="dxa"/>
            </w:tcMar>
            <w:vAlign w:val="center"/>
          </w:tcPr>
          <w:p>
            <w:pPr>
              <w:pStyle w:val="TableContents"/>
              <w:bidi w:val="0"/>
              <w:spacing w:lineRule="auto" w:line="319" w:before="0" w:after="0"/>
              <w:jc w:val="left"/>
              <w:rPr>
                <w:rFonts w:ascii="Nunito Sans;sans-serif" w:hAnsi="Nunito Sans;sans-serif"/>
                <w:b/>
                <w:color w:val="000000"/>
                <w:sz w:val="16"/>
              </w:rPr>
            </w:pPr>
            <w:r>
              <w:rPr>
                <w:rFonts w:ascii="Nunito Sans;sans-serif" w:hAnsi="Nunito Sans;sans-serif"/>
                <w:b/>
                <w:color w:val="000000"/>
                <w:sz w:val="16"/>
              </w:rPr>
              <w:t>Avery Dennison</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Corporate Headquarters</w:t>
            </w:r>
          </w:p>
        </w:tc>
        <w:tc>
          <w:tcPr>
            <w:tcW w:w="1950" w:type="dxa"/>
            <w:gridSpan w:val="3"/>
            <w:tcBorders>
              <w:top w:val="single" w:sz="8" w:space="0" w:color="FFFFFF"/>
              <w:left w:val="single" w:sz="8" w:space="0" w:color="000000"/>
              <w:bottom w:val="single" w:sz="8" w:space="0" w:color="FFFFFF"/>
              <w:right w:val="single" w:sz="8" w:space="0" w:color="000000"/>
            </w:tcBorders>
            <w:tcMar>
              <w:top w:w="30" w:type="dxa"/>
              <w:bottom w:w="30" w:type="dxa"/>
            </w:tcMar>
            <w:vAlign w:val="center"/>
          </w:tcPr>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8080 Norton Parkway</w:t>
            </w:r>
          </w:p>
          <w:p>
            <w:pPr>
              <w:pStyle w:val="TableContents"/>
              <w:bidi w:val="0"/>
              <w:spacing w:lineRule="auto" w:line="319" w:before="0" w:after="0"/>
              <w:jc w:val="left"/>
              <w:rPr>
                <w:rFonts w:ascii="Nunito Sans;sans-serif" w:hAnsi="Nunito Sans;sans-serif"/>
                <w:b w:val="false"/>
                <w:color w:val="000000"/>
                <w:sz w:val="16"/>
              </w:rPr>
            </w:pPr>
            <w:r>
              <w:rPr>
                <w:rFonts w:ascii="Nunito Sans;sans-serif" w:hAnsi="Nunito Sans;sans-serif"/>
                <w:b w:val="false"/>
                <w:color w:val="000000"/>
                <w:sz w:val="16"/>
              </w:rPr>
              <w:t xml:space="preserve">Mentor, Ohio 44060 </w:t>
            </w:r>
          </w:p>
          <w:p>
            <w:pPr>
              <w:pStyle w:val="TableContents"/>
              <w:bidi w:val="0"/>
              <w:spacing w:lineRule="auto" w:line="319" w:before="60" w:after="283"/>
              <w:jc w:val="left"/>
              <w:rPr>
                <w:rFonts w:ascii="Nunito Sans;sans-serif" w:hAnsi="Nunito Sans;sans-serif"/>
                <w:b w:val="false"/>
                <w:color w:val="000000"/>
                <w:sz w:val="16"/>
              </w:rPr>
            </w:pPr>
            <w:r>
              <w:rPr>
                <w:rFonts w:ascii="Nunito Sans;sans-serif" w:hAnsi="Nunito Sans;sans-serif"/>
                <w:b w:val="false"/>
                <w:color w:val="000000"/>
                <w:sz w:val="16"/>
              </w:rPr>
              <w:t>P +1 440-534-6000</w:t>
            </w:r>
          </w:p>
        </w:tc>
      </w:tr>
    </w:tbl>
    <w:p>
      <w:pPr>
        <w:pStyle w:val="TextBody"/>
        <w:bidi w:val="0"/>
        <w:spacing w:lineRule="auto" w:line="268" w:before="0" w:after="0"/>
        <w:jc w:val="both"/>
        <w:rPr/>
      </w:pPr>
      <w:r>
        <w:rPr>
          <w:rFonts w:ascii="Arial;sans-serif" w:hAnsi="Arial;sans-serif"/>
          <w:b/>
          <w:color w:val="000000"/>
          <w:sz w:val="22"/>
          <w:shd w:fill="FFFFFF" w:val="clear"/>
        </w:rPr>
        <w:t>Special Award:</w:t>
      </w:r>
      <w:r>
        <w:rPr>
          <w:color w:val="000000"/>
        </w:rPr>
        <w:t xml:space="preserve"> </w:t>
      </w:r>
      <w:r>
        <w:rPr>
          <w:rFonts w:ascii="Arial;sans-serif" w:hAnsi="Arial;sans-serif"/>
          <w:b w:val="false"/>
          <w:color w:val="000000"/>
          <w:sz w:val="22"/>
        </w:rPr>
        <w:t xml:space="preserve">You will be granted a special one-time award on September 1, 2026 of restricted stock units with a grant date fair value of </w:t>
      </w:r>
      <w:r>
        <w:rPr>
          <w:rFonts w:ascii="Arial;sans-serif" w:hAnsi="Arial;sans-serif"/>
          <w:b/>
          <w:color w:val="000000"/>
          <w:sz w:val="24"/>
        </w:rPr>
        <w:t>US$500,000</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 award will cliff-vest on June 1, 2029, subject to your continued employment through the vesting date. This award is not eligible for accelerated vesting upon qualifying retirement as defined in the Company’s equity plan.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shd w:fill="FFFFFF" w:val="clear"/>
        </w:rPr>
        <w:t>Other Benefits:</w:t>
      </w:r>
      <w:r>
        <w:rPr>
          <w:color w:val="000000"/>
        </w:rPr>
        <w:t xml:space="preserve"> </w:t>
      </w:r>
      <w:r>
        <w:rPr>
          <w:rFonts w:ascii="Arial;sans-serif" w:hAnsi="Arial;sans-serif"/>
          <w:b w:val="false"/>
          <w:color w:val="000000"/>
          <w:sz w:val="22"/>
        </w:rPr>
        <w:t xml:space="preserve">You will continue to be eligible for financial planning reimbursement up to US$15,000 per year and an annual executive physical up to US$7,500 per year.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shd w:fill="FFFFFF" w:val="clear"/>
        </w:rPr>
        <w:t>Stock Ownership Requirement</w:t>
      </w:r>
      <w:r>
        <w:rPr>
          <w:rFonts w:ascii="Arial;sans-serif" w:hAnsi="Arial;sans-serif"/>
          <w:b w:val="false"/>
          <w:color w:val="000000"/>
          <w:sz w:val="22"/>
          <w:shd w:fill="FFFFFF" w:val="clear"/>
        </w:rPr>
        <w:t>: You will continue to be required to comply with the Company’s Stock Ownership Policy with a minimum ownership requirement of 3X your base salary.</w:t>
      </w:r>
      <w:r>
        <w:rPr>
          <w:color w:val="000000"/>
        </w:rPr>
        <w:t xml:space="preserve"> </w:t>
      </w:r>
    </w:p>
    <w:p>
      <w:pPr>
        <w:pStyle w:val="TextBody"/>
        <w:bidi w:val="0"/>
        <w:spacing w:lineRule="auto" w:line="268" w:before="0" w:after="0"/>
        <w:jc w:val="both"/>
        <w:rPr/>
      </w:pPr>
      <w:r>
        <w:rPr>
          <w:rFonts w:ascii="Arial;sans-serif" w:hAnsi="Arial;sans-serif"/>
          <w:b/>
          <w:color w:val="000000"/>
          <w:sz w:val="22"/>
        </w:rPr>
        <w:t>Section 16 Designation</w:t>
      </w:r>
      <w:r>
        <w:rPr>
          <w:rFonts w:ascii="Arial;sans-serif" w:hAnsi="Arial;sans-serif"/>
          <w:b w:val="false"/>
          <w:color w:val="000000"/>
          <w:sz w:val="22"/>
        </w:rPr>
        <w:t>: You will continue to be designated as a Section 16 officer under U.S. securities laws. As a result, you have obligations to report any transactions you make with respect to Company stock within two business days of the transaction. In addition to these reporting requirements, you can be subject to civil liability for certain “short-swing” transactions. You should discuss these matters with the Company’s Corporate Secretary.</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rPr>
        <w:t>Executive Severance Plan</w:t>
      </w:r>
      <w:r>
        <w:rPr>
          <w:rFonts w:ascii="Arial;sans-serif" w:hAnsi="Arial;sans-serif"/>
          <w:b w:val="false"/>
          <w:color w:val="000000"/>
          <w:sz w:val="22"/>
        </w:rPr>
        <w:t>: You will continue to be eligible for severance and other benefits applicable to Level 2 Executives upon qualifying involuntary termination not for cause in accordance with the terms and conditions of the Avery Dennison Executive Severance Plan.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2"/>
        </w:rPr>
        <w:t>Change of Control Severance Plan</w:t>
      </w:r>
      <w:r>
        <w:rPr>
          <w:rFonts w:ascii="Arial;sans-serif" w:hAnsi="Arial;sans-serif"/>
          <w:b w:val="false"/>
          <w:color w:val="000000"/>
          <w:sz w:val="22"/>
        </w:rPr>
        <w:t>: You will continue to be eligible for severance and other benefits applicable to Level 2 Executives upon qualifying termination not for cause or for good reason within 24 months of a change of control of the Company, in accordance with the terms and conditions of the Avery Dennison Key Executive Change of Control Severance Plan.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All other aspects of your compensation and benefits you receive as an employee in Israel will remain the same. As a condition of your new role, we must receive a signed and dated copy of this letter. Congratulations on your well deserved appointment. You have my full support in ensuring your success.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Deon M. Stander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Deon Stander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President &amp; CEO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Accepted by: </w:t>
      </w:r>
      <w:r>
        <w:rPr>
          <w:rFonts w:ascii="Arial;sans-serif" w:hAnsi="Arial;sans-serif"/>
          <w:b/>
          <w:color w:val="000000"/>
          <w:sz w:val="22"/>
          <w:u w:val="single"/>
        </w:rPr>
        <w:t>/s/ Danny Allouche    </w:t>
      </w:r>
      <w:r>
        <w:rPr>
          <w:color w:val="000000"/>
        </w:rPr>
        <w:t>    </w:t>
      </w:r>
      <w:r>
        <w:rPr>
          <w:rFonts w:ascii="Arial;sans-serif" w:hAnsi="Arial;sans-serif"/>
          <w:b/>
          <w:color w:val="000000"/>
          <w:sz w:val="22"/>
        </w:rPr>
        <w:t xml:space="preserve">Date: </w:t>
      </w:r>
      <w:r>
        <w:rPr>
          <w:rFonts w:ascii="Arial;sans-serif" w:hAnsi="Arial;sans-serif"/>
          <w:b/>
          <w:color w:val="000000"/>
          <w:sz w:val="22"/>
          <w:u w:val="single"/>
        </w:rPr>
        <w:t xml:space="preserve">June 1, 2026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lineRule="auto" w:line="288" w:before="240" w:after="283"/>
        <w:jc w:val="both"/>
        <w:rPr>
          <w:rFonts w:ascii="Times New Roman;serif" w:hAnsi="Times New Roman;serif"/>
          <w:b/>
          <w:color w:val="000000"/>
          <w:sz w:val="18"/>
          <w:u w:val="single"/>
        </w:rPr>
      </w:pPr>
      <w:r>
        <w:rPr>
          <w:rFonts w:ascii="Times New Roman;serif" w:hAnsi="Times New Roman;serif"/>
          <w:b/>
          <w:color w:val="000000"/>
          <w:sz w:val="18"/>
          <w:u w:val="single"/>
        </w:rPr>
        <w:t>CERTIFICATION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Deon M. Stander,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Avery Dennison Corporation;</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062" w:type="dxa"/>
        <w:jc w:val="left"/>
        <w:tblInd w:w="0" w:type="dxa"/>
        <w:tblLayout w:type="fixed"/>
        <w:tblCellMar>
          <w:top w:w="28" w:type="dxa"/>
          <w:left w:w="28" w:type="dxa"/>
          <w:bottom w:w="28" w:type="dxa"/>
          <w:right w:w="28" w:type="dxa"/>
        </w:tblCellMar>
      </w:tblPr>
      <w:tblGrid>
        <w:gridCol w:w="445"/>
        <w:gridCol w:w="391"/>
        <w:gridCol w:w="393"/>
        <w:gridCol w:w="181"/>
        <w:gridCol w:w="181"/>
        <w:gridCol w:w="181"/>
        <w:gridCol w:w="669"/>
        <w:gridCol w:w="669"/>
        <w:gridCol w:w="95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August 4, 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CERTIFICATION OF CHIEF FINANCIAL OFFICER</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PURSUANT TO SECTION 302 OF THE SARBANES-OXLEY ACT OF 2002</w:t>
      </w:r>
    </w:p>
    <w:p>
      <w:pPr>
        <w:pStyle w:val="TextBody"/>
        <w:bidi w:val="0"/>
        <w:spacing w:lineRule="auto" w:line="288" w:before="240" w:after="283"/>
        <w:jc w:val="both"/>
        <w:rPr>
          <w:rFonts w:ascii="Times New Roman;serif" w:hAnsi="Times New Roman;serif"/>
          <w:b/>
          <w:color w:val="000000"/>
          <w:sz w:val="18"/>
          <w:u w:val="single"/>
          <w:shd w:fill="FFFFFF" w:val="clear"/>
        </w:rPr>
      </w:pPr>
      <w:r>
        <w:rPr>
          <w:rFonts w:ascii="Times New Roman;serif" w:hAnsi="Times New Roman;serif"/>
          <w:b/>
          <w:color w:val="000000"/>
          <w:sz w:val="18"/>
          <w:u w:val="single"/>
          <w:shd w:fill="FFFFFF" w:val="clear"/>
        </w:rPr>
        <w:t>CERTIFICATION</w:t>
      </w:r>
    </w:p>
    <w:p>
      <w:pPr>
        <w:pStyle w:val="TextBody"/>
        <w:bidi w:val="0"/>
        <w:spacing w:lineRule="auto" w:line="288" w:before="240" w:after="283"/>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 Gregory S. Lovins, certify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Avery Dennison Corporation;</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903" w:type="dxa"/>
        <w:jc w:val="left"/>
        <w:tblInd w:w="0" w:type="dxa"/>
        <w:tblLayout w:type="fixed"/>
        <w:tblCellMar>
          <w:top w:w="28" w:type="dxa"/>
          <w:left w:w="28" w:type="dxa"/>
          <w:bottom w:w="28" w:type="dxa"/>
          <w:right w:w="28" w:type="dxa"/>
        </w:tblCellMar>
      </w:tblPr>
      <w:tblGrid>
        <w:gridCol w:w="445"/>
        <w:gridCol w:w="391"/>
        <w:gridCol w:w="393"/>
        <w:gridCol w:w="221"/>
        <w:gridCol w:w="221"/>
        <w:gridCol w:w="221"/>
        <w:gridCol w:w="882"/>
        <w:gridCol w:w="882"/>
        <w:gridCol w:w="1247"/>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3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br/>
              <w:t>Senior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August 4,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18 U.S.C. Section 1350, as created by Section 906 of the Sarbanes-Oxley Act of 2002, the undersigned officer of Avery Dennison Corporation (the “Company”) hereby certifies, to the best of his knowledge,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(i)the Quarterly Report on Form 10-Q of the Company for the fiscal quarter ended June 30,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tbl>
      <w:tblPr>
        <w:tblW w:w="4572" w:type="dxa"/>
        <w:jc w:val="left"/>
        <w:tblInd w:w="0" w:type="dxa"/>
        <w:tblLayout w:type="fixed"/>
        <w:tblCellMar>
          <w:top w:w="28" w:type="dxa"/>
          <w:left w:w="28" w:type="dxa"/>
          <w:bottom w:w="28" w:type="dxa"/>
          <w:right w:w="28" w:type="dxa"/>
        </w:tblCellMar>
      </w:tblPr>
      <w:tblGrid>
        <w:gridCol w:w="629"/>
        <w:gridCol w:w="552"/>
        <w:gridCol w:w="558"/>
        <w:gridCol w:w="181"/>
        <w:gridCol w:w="181"/>
        <w:gridCol w:w="181"/>
        <w:gridCol w:w="669"/>
        <w:gridCol w:w="669"/>
        <w:gridCol w:w="952"/>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Dated: August 4, 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2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Deon M. Stander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bl>
    <w:p>
      <w:pPr>
        <w:pStyle w:val="TextBody"/>
        <w:bidi w:val="0"/>
        <w:spacing w:lineRule="auto" w:line="288" w:before="240" w:after="283"/>
        <w:ind w:left="0" w:right="0" w:hanging="360"/>
        <w:jc w:val="both"/>
        <w:rPr/>
      </w:pPr>
      <w:r>
        <w:rPr>
          <w:rFonts w:ascii="sans-serif" w:hAnsi="sans-serif"/>
          <w:b w:val="false"/>
          <w:color w:val="000000"/>
          <w:sz w:val="22"/>
        </w:rPr>
        <w:t>*</w:t>
      </w:r>
      <w:r>
        <w:rPr>
          <w:rFonts w:ascii="Times New Roman;serif" w:hAnsi="Times New Roman;serif"/>
          <w:b w:val="false"/>
          <w:color w:val="000000"/>
          <w:sz w:val="18"/>
        </w:rPr>
        <w:t>The above certification accompanies the Company’s Quarterly Report on Form 10-Q and is furnished, not filed, as provided in SEC Release 33-8238, dated June 5, 2003.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Avery Dennison Corporation</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OF CHIEF FINANCIAL OFFICER*</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18 U.S.C. Section 1350, as created by Section 906 of the Sarbanes-Oxley Act of 2002, the undersigned officer of Avery Dennison Corporation (the “Company”) hereby certifies, to the best of his knowledge, that:</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(i)the Quarterly Report on Form 10-Q of the Company for the fiscal quarter ended June 30, 2026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(ii)the information contained in the Report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629"/>
        <w:gridCol w:w="552"/>
        <w:gridCol w:w="558"/>
        <w:gridCol w:w="221"/>
        <w:gridCol w:w="221"/>
        <w:gridCol w:w="221"/>
        <w:gridCol w:w="882"/>
        <w:gridCol w:w="882"/>
        <w:gridCol w:w="124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68" w:before="240" w:after="283"/>
              <w:jc w:val="left"/>
              <w:rPr>
                <w:rFonts w:ascii="Times New Roman;serif" w:hAnsi="Times New Roman;serif"/>
                <w:b w:val="false"/>
                <w:color w:val="000000"/>
                <w:sz w:val="18"/>
              </w:rPr>
            </w:pPr>
            <w:r>
              <w:rPr>
                <w:rFonts w:ascii="Times New Roman;serif" w:hAnsi="Times New Roman;serif"/>
                <w:b w:val="false"/>
                <w:color w:val="000000"/>
                <w:sz w:val="18"/>
              </w:rPr>
              <w:t>Dated: August 4, 2026</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w:t>
            </w:r>
          </w:p>
        </w:tc>
        <w:tc>
          <w:tcPr>
            <w:tcW w:w="3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Gregory S. Lovins</w:t>
              <w:br/>
              <w:t>Senior Vice President and Chief Financial Officer</w:t>
            </w:r>
          </w:p>
        </w:tc>
      </w:tr>
    </w:tbl>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*The above certification accompanies the Company’s Quarterly Report on Form 10-Q and is furnished, not filed, as provided in SEC Release 33-8238, dated June 5, 2003.</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Nunito San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18/000129993311001274/exhibit1.htm" TargetMode="External"/><Relationship Id="rId3" Type="http://schemas.openxmlformats.org/officeDocument/2006/relationships/hyperlink" Target="https://www.sec.gov/Archives/edgar/data/8818/000000881824000007/ex318k4-26x24.htm" TargetMode="External"/><Relationship Id="rId4" Type="http://schemas.openxmlformats.org/officeDocument/2006/relationships/hyperlink" Target="https://www.sec.gov/Archives/edgar/data/8818/000000881826000017/ex-31avy8k2x26x26.htm" TargetMode="External"/><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17819</Words>
  <Characters>98829</Characters>
  <CharactersWithSpaces>115106</CharactersWithSpaces>
  <Paragraphs>2769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