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40" w:before="0" w:after="0"/>
        <w:jc w:val="center"/>
        <w:rPr>
          <w:rFonts w:ascii="Times New Roman;serif" w:hAnsi="Times New Roman;serif"/>
          <w:b/>
          <w:color w:val="212529"/>
          <w:sz w:val="24"/>
          <w:shd w:fill="FFFFFF" w:val="clear"/>
        </w:rPr>
      </w:pPr>
      <w:r>
        <w:rPr>
          <w:rFonts w:ascii="Times New Roman;serif" w:hAnsi="Times New Roman;serif"/>
          <w:b/>
          <w:color w:val="212529"/>
          <w:sz w:val="24"/>
          <w:shd w:fill="FFFFFF" w:val="clear"/>
        </w:rPr>
        <w:t>UNITED STATES</w:t>
      </w:r>
    </w:p>
    <w:p>
      <w:pPr>
        <w:pStyle w:val="TextBody"/>
        <w:bidi w:val="0"/>
        <w:spacing w:lineRule="auto" w:line="240" w:before="0" w:after="0"/>
        <w:jc w:val="center"/>
        <w:rPr>
          <w:rFonts w:ascii="Times New Roman;serif" w:hAnsi="Times New Roman;serif"/>
          <w:b/>
          <w:color w:val="212529"/>
          <w:sz w:val="24"/>
          <w:shd w:fill="FFFFFF" w:val="clear"/>
        </w:rPr>
      </w:pPr>
      <w:r>
        <w:rPr>
          <w:rFonts w:ascii="Times New Roman;serif" w:hAnsi="Times New Roman;serif"/>
          <w:b/>
          <w:color w:val="212529"/>
          <w:sz w:val="24"/>
          <w:shd w:fill="FFFFFF" w:val="clear"/>
        </w:rPr>
        <w:t>SECURITIES AND EXCHANGE COMMISSION</w:t>
      </w:r>
    </w:p>
    <w:p>
      <w:pPr>
        <w:pStyle w:val="TextBody"/>
        <w:bidi w:val="0"/>
        <w:spacing w:lineRule="auto" w:line="240" w:before="0" w:after="0"/>
        <w:jc w:val="center"/>
        <w:rPr>
          <w:rFonts w:ascii="Times New Roman;serif" w:hAnsi="Times New Roman;serif"/>
          <w:b/>
          <w:color w:val="212529"/>
          <w:sz w:val="20"/>
          <w:shd w:fill="FFFFFF" w:val="clear"/>
        </w:rPr>
      </w:pPr>
      <w:r>
        <w:rPr>
          <w:rFonts w:ascii="Times New Roman;serif" w:hAnsi="Times New Roman;serif"/>
          <w:b/>
          <w:color w:val="212529"/>
          <w:sz w:val="20"/>
          <w:shd w:fill="FFFFFF" w:val="clear"/>
        </w:rPr>
        <w:t>Washington, D.C. 20549</w:t>
      </w:r>
    </w:p>
    <w:p>
      <w:pPr>
        <w:pStyle w:val="TextBody"/>
        <w:bidi w:val="0"/>
        <w:spacing w:lineRule="auto" w:line="240" w:before="240" w:after="283"/>
        <w:jc w:val="center"/>
        <w:rPr>
          <w:rFonts w:ascii="Times New Roman;serif" w:hAnsi="Times New Roman;serif"/>
          <w:b/>
          <w:color w:val="212529"/>
          <w:sz w:val="36"/>
          <w:shd w:fill="FFFFFF" w:val="clear"/>
        </w:rPr>
      </w:pPr>
      <w:r>
        <w:rPr>
          <w:rFonts w:ascii="Times New Roman;serif" w:hAnsi="Times New Roman;serif"/>
          <w:b/>
          <w:color w:val="212529"/>
          <w:sz w:val="36"/>
          <w:shd w:fill="FFFFFF" w:val="clear"/>
        </w:rPr>
        <w:t>FORM 8-K</w:t>
      </w:r>
    </w:p>
    <w:p>
      <w:pPr>
        <w:pStyle w:val="TextBody"/>
        <w:bidi w:val="0"/>
        <w:spacing w:lineRule="auto" w:line="240" w:before="360" w:after="283"/>
        <w:jc w:val="center"/>
        <w:rPr>
          <w:rFonts w:ascii="Times New Roman;serif" w:hAnsi="Times New Roman;serif"/>
          <w:b/>
          <w:color w:val="212529"/>
          <w:sz w:val="24"/>
          <w:shd w:fill="FFFFFF" w:val="clear"/>
        </w:rPr>
      </w:pPr>
      <w:r>
        <w:rPr>
          <w:rFonts w:ascii="Times New Roman;serif" w:hAnsi="Times New Roman;serif"/>
          <w:b/>
          <w:color w:val="212529"/>
          <w:sz w:val="24"/>
          <w:shd w:fill="FFFFFF" w:val="clear"/>
        </w:rPr>
        <w:t>CURRENT REPORT</w:t>
      </w:r>
    </w:p>
    <w:p>
      <w:pPr>
        <w:pStyle w:val="TextBody"/>
        <w:bidi w:val="0"/>
        <w:spacing w:lineRule="auto" w:line="240" w:before="0" w:after="0"/>
        <w:jc w:val="center"/>
        <w:rPr>
          <w:rFonts w:ascii="Times New Roman;serif" w:hAnsi="Times New Roman;serif"/>
          <w:b/>
          <w:color w:val="212529"/>
          <w:sz w:val="24"/>
          <w:shd w:fill="FFFFFF" w:val="clear"/>
        </w:rPr>
      </w:pPr>
      <w:r>
        <w:rPr>
          <w:rFonts w:ascii="Times New Roman;serif" w:hAnsi="Times New Roman;serif"/>
          <w:b/>
          <w:color w:val="212529"/>
          <w:sz w:val="24"/>
          <w:shd w:fill="FFFFFF" w:val="clear"/>
        </w:rPr>
        <w:t>Pursuant to Section 13 or 15(d) of the</w:t>
      </w:r>
    </w:p>
    <w:p>
      <w:pPr>
        <w:pStyle w:val="TextBody"/>
        <w:bidi w:val="0"/>
        <w:spacing w:lineRule="auto" w:line="240" w:before="0" w:after="0"/>
        <w:jc w:val="center"/>
        <w:rPr>
          <w:rFonts w:ascii="Times New Roman;serif" w:hAnsi="Times New Roman;serif"/>
          <w:b/>
          <w:color w:val="212529"/>
          <w:sz w:val="24"/>
          <w:shd w:fill="FFFFFF" w:val="clear"/>
        </w:rPr>
      </w:pPr>
      <w:r>
        <w:rPr>
          <w:rFonts w:ascii="Times New Roman;serif" w:hAnsi="Times New Roman;serif"/>
          <w:b/>
          <w:color w:val="212529"/>
          <w:sz w:val="24"/>
          <w:shd w:fill="FFFFFF" w:val="clear"/>
        </w:rPr>
        <w:t>Securities Exchange Act of 1934</w:t>
      </w:r>
    </w:p>
    <w:p>
      <w:pPr>
        <w:pStyle w:val="TextBody"/>
        <w:bidi w:val="0"/>
        <w:spacing w:lineRule="auto" w:line="240" w:before="360" w:after="283"/>
        <w:jc w:val="center"/>
        <w:rPr>
          <w:rFonts w:ascii="Times New Roman;serif" w:hAnsi="Times New Roman;serif"/>
          <w:b/>
          <w:color w:val="212529"/>
          <w:sz w:val="22"/>
          <w:shd w:fill="FFFFFF" w:val="clear"/>
        </w:rPr>
      </w:pPr>
      <w:r>
        <w:rPr>
          <w:rFonts w:ascii="Times New Roman;serif" w:hAnsi="Times New Roman;serif"/>
          <w:b/>
          <w:color w:val="212529"/>
          <w:sz w:val="22"/>
          <w:shd w:fill="FFFFFF" w:val="clear"/>
        </w:rPr>
        <w:t>September 30, 2026</w:t>
      </w:r>
    </w:p>
    <w:p>
      <w:pPr>
        <w:pStyle w:val="TextBody"/>
        <w:bidi w:val="0"/>
        <w:spacing w:lineRule="auto" w:line="240" w:before="0" w:after="0"/>
        <w:jc w:val="center"/>
        <w:rPr>
          <w:rFonts w:ascii="Times New Roman;serif" w:hAnsi="Times New Roman;serif"/>
          <w:b w:val="false"/>
          <w:color w:val="212529"/>
          <w:sz w:val="20"/>
          <w:shd w:fill="FFFFFF" w:val="clear"/>
        </w:rPr>
      </w:pPr>
      <w:r>
        <w:rPr>
          <w:rFonts w:ascii="Times New Roman;serif" w:hAnsi="Times New Roman;serif"/>
          <w:b w:val="false"/>
          <w:color w:val="212529"/>
          <w:sz w:val="20"/>
          <w:shd w:fill="FFFFFF" w:val="clear"/>
        </w:rPr>
        <w:t>Date of Report (Date of earliest event reported)</w:t>
      </w:r>
    </w:p>
    <w:p>
      <w:pPr>
        <w:pStyle w:val="TextBody"/>
        <w:bidi w:val="0"/>
        <w:spacing w:lineRule="auto" w:line="240" w:before="480" w:after="283"/>
        <w:jc w:val="center"/>
        <w:rPr>
          <w:rFonts w:ascii="Times New Roman;serif" w:hAnsi="Times New Roman;serif"/>
          <w:b/>
          <w:color w:val="212529"/>
          <w:sz w:val="40"/>
          <w:shd w:fill="FFFFFF" w:val="clear"/>
        </w:rPr>
      </w:pPr>
      <w:r>
        <w:rPr>
          <w:rFonts w:ascii="Times New Roman;serif" w:hAnsi="Times New Roman;serif"/>
          <w:b/>
          <w:color w:val="212529"/>
          <w:sz w:val="40"/>
          <w:shd w:fill="FFFFFF" w:val="clear"/>
        </w:rPr>
        <w:t xml:space="preserve">AVERY DENNISON CORPORATION </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40" w:before="0" w:after="0"/>
        <w:jc w:val="center"/>
        <w:rPr>
          <w:rFonts w:ascii="Times New Roman;serif" w:hAnsi="Times New Roman;serif"/>
          <w:b w:val="false"/>
          <w:color w:val="212529"/>
          <w:sz w:val="20"/>
          <w:shd w:fill="FFFFFF" w:val="clear"/>
        </w:rPr>
      </w:pPr>
      <w:r>
        <w:rPr>
          <w:rFonts w:ascii="Times New Roman;serif" w:hAnsi="Times New Roman;serif"/>
          <w:b w:val="false"/>
          <w:color w:val="212529"/>
          <w:sz w:val="20"/>
          <w:shd w:fill="FFFFFF" w:val="clear"/>
        </w:rPr>
        <w:t>(Exact name of registrant as specified in its charter)</w:t>
      </w:r>
    </w:p>
    <w:p>
      <w:pPr>
        <w:pStyle w:val="TextBody"/>
        <w:bidi w:val="0"/>
        <w:spacing w:lineRule="auto" w:line="240" w:before="0" w:after="0"/>
        <w:jc w:val="left"/>
        <w:rPr>
          <w:color w:val="212529"/>
          <w:shd w:fill="FFFFFF" w:val="clear"/>
        </w:rPr>
      </w:pPr>
      <w:r>
        <w:rPr>
          <w:color w:val="212529"/>
          <w:shd w:fill="FFFFFF" w:val="clear"/>
        </w:rPr>
        <w:t> </w:t>
      </w:r>
    </w:p>
    <w:tbl>
      <w:tblPr>
        <w:tblW w:w="5738" w:type="dxa"/>
        <w:jc w:val="left"/>
        <w:tblInd w:w="0" w:type="dxa"/>
        <w:tblLayout w:type="fixed"/>
        <w:tblCellMar>
          <w:top w:w="28" w:type="dxa"/>
          <w:left w:w="28" w:type="dxa"/>
          <w:bottom w:w="28" w:type="dxa"/>
          <w:right w:w="28" w:type="dxa"/>
        </w:tblCellMar>
      </w:tblPr>
      <w:tblGrid>
        <w:gridCol w:w="813"/>
        <w:gridCol w:w="714"/>
        <w:gridCol w:w="722"/>
        <w:gridCol w:w="109"/>
        <w:gridCol w:w="109"/>
        <w:gridCol w:w="109"/>
        <w:gridCol w:w="394"/>
        <w:gridCol w:w="394"/>
        <w:gridCol w:w="398"/>
        <w:gridCol w:w="109"/>
        <w:gridCol w:w="109"/>
        <w:gridCol w:w="109"/>
        <w:gridCol w:w="481"/>
        <w:gridCol w:w="481"/>
        <w:gridCol w:w="687"/>
      </w:tblGrid>
      <w:tr>
        <w:trPr/>
        <w:tc>
          <w:tcPr>
            <w:tcW w:w="813" w:type="dxa"/>
            <w:tcBorders/>
            <w:vAlign w:val="center"/>
          </w:tcPr>
          <w:p>
            <w:pPr>
              <w:pStyle w:val="TableContents"/>
              <w:bidi w:val="0"/>
              <w:spacing w:before="0" w:after="283"/>
              <w:jc w:val="left"/>
              <w:rPr>
                <w:sz w:val="4"/>
                <w:szCs w:val="4"/>
              </w:rPr>
            </w:pPr>
            <w:r>
              <w:rPr>
                <w:sz w:val="4"/>
                <w:szCs w:val="4"/>
              </w:rPr>
            </w:r>
          </w:p>
        </w:tc>
        <w:tc>
          <w:tcPr>
            <w:tcW w:w="714" w:type="dxa"/>
            <w:tcBorders/>
            <w:vAlign w:val="center"/>
          </w:tcPr>
          <w:p>
            <w:pPr>
              <w:pStyle w:val="TableContents"/>
              <w:bidi w:val="0"/>
              <w:spacing w:before="0" w:after="283"/>
              <w:jc w:val="left"/>
              <w:rPr>
                <w:sz w:val="4"/>
                <w:szCs w:val="4"/>
              </w:rPr>
            </w:pPr>
            <w:r>
              <w:rPr>
                <w:sz w:val="4"/>
                <w:szCs w:val="4"/>
              </w:rPr>
            </w:r>
          </w:p>
        </w:tc>
        <w:tc>
          <w:tcPr>
            <w:tcW w:w="7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r>
      <w:tr>
        <w:trPr/>
        <w:tc>
          <w:tcPr>
            <w:tcW w:w="224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212529"/>
                <w:sz w:val="20"/>
              </w:rPr>
            </w:pPr>
            <w:r>
              <w:rPr>
                <w:rFonts w:ascii="Times New Roman;serif" w:hAnsi="Times New Roman;serif"/>
                <w:b/>
                <w:color w:val="212529"/>
                <w:sz w:val="20"/>
              </w:rPr>
              <w:t>Delaware</w:t>
            </w:r>
          </w:p>
          <w:p>
            <w:pPr>
              <w:pStyle w:val="TableContents"/>
              <w:bidi w:val="0"/>
              <w:spacing w:lineRule="auto" w:line="240" w:before="0" w:after="20"/>
              <w:jc w:val="left"/>
              <w:rPr>
                <w:color w:val="212529"/>
              </w:rPr>
            </w:pPr>
            <w:r>
              <w:rPr>
                <w:color w:val="212529"/>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212529"/>
                <w:sz w:val="20"/>
              </w:rPr>
            </w:pPr>
            <w:r>
              <w:rPr>
                <w:rFonts w:ascii="Times New Roman;serif" w:hAnsi="Times New Roman;serif"/>
                <w:b/>
                <w:color w:val="212529"/>
                <w:sz w:val="20"/>
              </w:rPr>
              <w:t>1-7685</w:t>
            </w:r>
          </w:p>
          <w:p>
            <w:pPr>
              <w:pStyle w:val="TableContents"/>
              <w:bidi w:val="0"/>
              <w:spacing w:lineRule="auto" w:line="240" w:before="0" w:after="20"/>
              <w:jc w:val="left"/>
              <w:rPr>
                <w:color w:val="212529"/>
              </w:rPr>
            </w:pPr>
            <w:r>
              <w:rPr>
                <w:color w:val="212529"/>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212529"/>
                <w:sz w:val="20"/>
              </w:rPr>
            </w:pPr>
            <w:r>
              <w:rPr>
                <w:rFonts w:ascii="Times New Roman;serif" w:hAnsi="Times New Roman;serif"/>
                <w:b/>
                <w:color w:val="212529"/>
                <w:sz w:val="20"/>
              </w:rPr>
              <w:t>95-1492269</w:t>
            </w:r>
          </w:p>
          <w:p>
            <w:pPr>
              <w:pStyle w:val="TableContents"/>
              <w:bidi w:val="0"/>
              <w:spacing w:lineRule="auto" w:line="240" w:before="0" w:after="20"/>
              <w:jc w:val="left"/>
              <w:rPr>
                <w:color w:val="212529"/>
              </w:rPr>
            </w:pPr>
            <w:r>
              <w:rPr>
                <w:color w:val="212529"/>
              </w:rPr>
              <w:t> </w:t>
            </w:r>
          </w:p>
        </w:tc>
      </w:tr>
      <w:tr>
        <w:trPr/>
        <w:tc>
          <w:tcPr>
            <w:tcW w:w="2249"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212529"/>
                <w:sz w:val="20"/>
              </w:rPr>
            </w:pPr>
            <w:r>
              <w:rPr>
                <w:rFonts w:ascii="Times New Roman;serif" w:hAnsi="Times New Roman;serif"/>
                <w:b w:val="false"/>
                <w:color w:val="212529"/>
                <w:sz w:val="20"/>
              </w:rPr>
              <w:t>(State or other jurisdiction</w:t>
            </w:r>
          </w:p>
          <w:p>
            <w:pPr>
              <w:pStyle w:val="TableContents"/>
              <w:bidi w:val="0"/>
              <w:spacing w:lineRule="auto" w:line="240" w:before="0" w:after="20"/>
              <w:jc w:val="center"/>
              <w:rPr>
                <w:rFonts w:ascii="Times New Roman;serif" w:hAnsi="Times New Roman;serif"/>
                <w:b w:val="false"/>
                <w:color w:val="212529"/>
                <w:sz w:val="20"/>
              </w:rPr>
            </w:pPr>
            <w:r>
              <w:rPr>
                <w:rFonts w:ascii="Times New Roman;serif" w:hAnsi="Times New Roman;serif"/>
                <w:b w:val="false"/>
                <w:color w:val="212529"/>
                <w:sz w:val="20"/>
              </w:rPr>
              <w:t>of incorporation)</w:t>
            </w:r>
          </w:p>
        </w:tc>
        <w:tc>
          <w:tcPr>
            <w:tcW w:w="327" w:type="dxa"/>
            <w:gridSpan w:val="3"/>
            <w:tcBorders>
              <w:top w:val="single" w:sz="6"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212529"/>
                <w:sz w:val="20"/>
              </w:rPr>
            </w:pPr>
            <w:r>
              <w:rPr>
                <w:rFonts w:ascii="Times New Roman;serif" w:hAnsi="Times New Roman;serif"/>
                <w:b w:val="false"/>
                <w:color w:val="212529"/>
                <w:sz w:val="20"/>
              </w:rPr>
              <w:t>(Commission</w:t>
            </w:r>
          </w:p>
          <w:p>
            <w:pPr>
              <w:pStyle w:val="TableContents"/>
              <w:bidi w:val="0"/>
              <w:spacing w:lineRule="auto" w:line="240" w:before="0" w:after="20"/>
              <w:jc w:val="center"/>
              <w:rPr>
                <w:rFonts w:ascii="Times New Roman;serif" w:hAnsi="Times New Roman;serif"/>
                <w:b w:val="false"/>
                <w:color w:val="212529"/>
                <w:sz w:val="20"/>
              </w:rPr>
            </w:pPr>
            <w:r>
              <w:rPr>
                <w:rFonts w:ascii="Times New Roman;serif" w:hAnsi="Times New Roman;serif"/>
                <w:b w:val="false"/>
                <w:color w:val="212529"/>
                <w:sz w:val="20"/>
              </w:rPr>
              <w:t>File Number)</w:t>
            </w:r>
          </w:p>
        </w:tc>
        <w:tc>
          <w:tcPr>
            <w:tcW w:w="327" w:type="dxa"/>
            <w:gridSpan w:val="3"/>
            <w:tcBorders>
              <w:top w:val="single" w:sz="6"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212529"/>
                <w:sz w:val="20"/>
              </w:rPr>
            </w:pPr>
            <w:r>
              <w:rPr>
                <w:rFonts w:ascii="Times New Roman;serif" w:hAnsi="Times New Roman;serif"/>
                <w:b w:val="false"/>
                <w:color w:val="212529"/>
                <w:sz w:val="20"/>
              </w:rPr>
              <w:t>(IRS Employer</w:t>
            </w:r>
          </w:p>
          <w:p>
            <w:pPr>
              <w:pStyle w:val="TableContents"/>
              <w:bidi w:val="0"/>
              <w:spacing w:lineRule="auto" w:line="240" w:before="0" w:after="20"/>
              <w:jc w:val="center"/>
              <w:rPr>
                <w:rFonts w:ascii="Times New Roman;serif" w:hAnsi="Times New Roman;serif"/>
                <w:b w:val="false"/>
                <w:color w:val="212529"/>
                <w:sz w:val="20"/>
              </w:rPr>
            </w:pPr>
            <w:r>
              <w:rPr>
                <w:rFonts w:ascii="Times New Roman;serif" w:hAnsi="Times New Roman;serif"/>
                <w:b w:val="false"/>
                <w:color w:val="212529"/>
                <w:sz w:val="20"/>
              </w:rPr>
              <w:t>Identification No.)</w:t>
            </w:r>
          </w:p>
        </w:tc>
      </w:tr>
    </w:tbl>
    <w:p>
      <w:pPr>
        <w:pStyle w:val="TextBody"/>
        <w:bidi w:val="0"/>
        <w:spacing w:lineRule="auto" w:line="240" w:before="0" w:after="0"/>
        <w:jc w:val="left"/>
        <w:rPr>
          <w:color w:val="212529"/>
          <w:shd w:fill="FFFFFF" w:val="clear"/>
        </w:rPr>
      </w:pPr>
      <w:r>
        <w:rPr>
          <w:color w:val="212529"/>
          <w:shd w:fill="FFFFFF" w:val="clear"/>
        </w:rPr>
        <w:t> </w:t>
      </w:r>
    </w:p>
    <w:tbl>
      <w:tblPr>
        <w:tblW w:w="5141" w:type="dxa"/>
        <w:jc w:val="left"/>
        <w:tblInd w:w="0" w:type="dxa"/>
        <w:tblLayout w:type="fixed"/>
        <w:tblCellMar>
          <w:top w:w="28" w:type="dxa"/>
          <w:left w:w="28" w:type="dxa"/>
          <w:bottom w:w="28" w:type="dxa"/>
          <w:right w:w="28" w:type="dxa"/>
        </w:tblCellMar>
      </w:tblPr>
      <w:tblGrid>
        <w:gridCol w:w="1196"/>
        <w:gridCol w:w="1050"/>
        <w:gridCol w:w="1054"/>
        <w:gridCol w:w="268"/>
        <w:gridCol w:w="268"/>
        <w:gridCol w:w="270"/>
        <w:gridCol w:w="303"/>
        <w:gridCol w:w="303"/>
        <w:gridCol w:w="429"/>
      </w:tblGrid>
      <w:tr>
        <w:trPr/>
        <w:tc>
          <w:tcPr>
            <w:tcW w:w="1196" w:type="dxa"/>
            <w:tcBorders/>
            <w:vAlign w:val="center"/>
          </w:tcPr>
          <w:p>
            <w:pPr>
              <w:pStyle w:val="TableContents"/>
              <w:bidi w:val="0"/>
              <w:spacing w:before="0" w:after="283"/>
              <w:jc w:val="left"/>
              <w:rPr>
                <w:sz w:val="4"/>
                <w:szCs w:val="4"/>
              </w:rPr>
            </w:pPr>
            <w:r>
              <w:rPr>
                <w:sz w:val="4"/>
                <w:szCs w:val="4"/>
              </w:rPr>
            </w:r>
          </w:p>
        </w:tc>
        <w:tc>
          <w:tcPr>
            <w:tcW w:w="1050" w:type="dxa"/>
            <w:tcBorders/>
            <w:vAlign w:val="center"/>
          </w:tcPr>
          <w:p>
            <w:pPr>
              <w:pStyle w:val="TableContents"/>
              <w:bidi w:val="0"/>
              <w:spacing w:before="0" w:after="283"/>
              <w:jc w:val="left"/>
              <w:rPr>
                <w:sz w:val="4"/>
                <w:szCs w:val="4"/>
              </w:rPr>
            </w:pPr>
            <w:r>
              <w:rPr>
                <w:sz w:val="4"/>
                <w:szCs w:val="4"/>
              </w:rPr>
            </w:r>
          </w:p>
        </w:tc>
        <w:tc>
          <w:tcPr>
            <w:tcW w:w="1054"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r>
      <w:tr>
        <w:trPr/>
        <w:tc>
          <w:tcPr>
            <w:tcW w:w="33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212529"/>
                <w:sz w:val="20"/>
              </w:rPr>
            </w:pPr>
            <w:r>
              <w:rPr>
                <w:rFonts w:ascii="Times New Roman;serif" w:hAnsi="Times New Roman;serif"/>
                <w:b/>
                <w:color w:val="212529"/>
                <w:sz w:val="20"/>
              </w:rPr>
              <w:t>8080 Norton Parkway</w:t>
            </w:r>
          </w:p>
        </w:tc>
        <w:tc>
          <w:tcPr>
            <w:tcW w:w="80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212529"/>
              </w:rPr>
            </w:pPr>
            <w:r>
              <w:rPr>
                <w:color w:val="212529"/>
              </w:rPr>
              <w:t>            </w:t>
            </w:r>
          </w:p>
        </w:tc>
        <w:tc>
          <w:tcPr>
            <w:tcW w:w="10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212529"/>
                <w:sz w:val="20"/>
              </w:rPr>
            </w:pPr>
            <w:r>
              <w:rPr>
                <w:rFonts w:ascii="Times New Roman;serif" w:hAnsi="Times New Roman;serif"/>
                <w:b/>
                <w:color w:val="212529"/>
                <w:sz w:val="20"/>
              </w:rPr>
              <w:t>Mentor, Ohio</w:t>
            </w:r>
          </w:p>
        </w:tc>
        <w:tc>
          <w:tcPr>
            <w:tcW w:w="8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212529"/>
                <w:sz w:val="20"/>
              </w:rPr>
            </w:pPr>
            <w:r>
              <w:rPr>
                <w:rFonts w:ascii="Times New Roman;serif" w:hAnsi="Times New Roman;serif"/>
                <w:b/>
                <w:color w:val="212529"/>
                <w:sz w:val="20"/>
              </w:rPr>
              <w:t>44060</w:t>
            </w:r>
          </w:p>
        </w:tc>
      </w:tr>
      <w:tr>
        <w:trPr/>
        <w:tc>
          <w:tcPr>
            <w:tcW w:w="3300"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212529"/>
                <w:sz w:val="20"/>
              </w:rPr>
            </w:pPr>
            <w:r>
              <w:rPr>
                <w:rFonts w:ascii="Times New Roman;serif" w:hAnsi="Times New Roman;serif"/>
                <w:b w:val="false"/>
                <w:color w:val="212529"/>
                <w:sz w:val="20"/>
              </w:rPr>
              <w:t>(Address of principal executive offices)</w:t>
            </w:r>
          </w:p>
          <w:p>
            <w:pPr>
              <w:pStyle w:val="TableContents"/>
              <w:bidi w:val="0"/>
              <w:spacing w:lineRule="auto" w:line="240" w:before="0" w:after="20"/>
              <w:jc w:val="left"/>
              <w:rPr>
                <w:color w:val="212529"/>
              </w:rPr>
            </w:pPr>
            <w:r>
              <w:rPr>
                <w:color w:val="212529"/>
              </w:rPr>
              <w:t> </w:t>
            </w:r>
          </w:p>
        </w:tc>
        <w:tc>
          <w:tcPr>
            <w:tcW w:w="8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212529"/>
                <w:sz w:val="20"/>
              </w:rPr>
            </w:pPr>
            <w:r>
              <w:rPr>
                <w:rFonts w:ascii="Times New Roman;serif" w:hAnsi="Times New Roman;serif"/>
                <w:b w:val="false"/>
                <w:color w:val="212529"/>
                <w:sz w:val="20"/>
              </w:rPr>
              <w:t>(Zip Code)</w:t>
            </w:r>
          </w:p>
        </w:tc>
      </w:tr>
    </w:tbl>
    <w:p>
      <w:pPr>
        <w:pStyle w:val="TextBody"/>
        <w:bidi w:val="0"/>
        <w:spacing w:lineRule="auto" w:line="240" w:before="60" w:after="60"/>
        <w:jc w:val="center"/>
        <w:rPr>
          <w:shd w:fill="FFFFFF" w:val="clear"/>
        </w:rPr>
      </w:pPr>
      <w:r>
        <w:rPr>
          <w:rFonts w:ascii="Times New Roman;serif" w:hAnsi="Times New Roman;serif"/>
          <w:b w:val="false"/>
          <w:color w:val="212529"/>
          <w:sz w:val="20"/>
          <w:shd w:fill="FFFFFF" w:val="clear"/>
        </w:rPr>
        <w:t xml:space="preserve">Registrant’s telephone number, including area code </w:t>
      </w:r>
      <w:r>
        <w:rPr>
          <w:rFonts w:ascii="Times New Roman;serif" w:hAnsi="Times New Roman;serif"/>
          <w:b/>
          <w:color w:val="212529"/>
          <w:sz w:val="20"/>
          <w:shd w:fill="FFFFFF" w:val="clear"/>
        </w:rPr>
        <w:t>(440) 534-6000</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40" w:before="0" w:after="0"/>
        <w:jc w:val="center"/>
        <w:rPr>
          <w:rFonts w:ascii="Times New Roman;serif" w:hAnsi="Times New Roman;serif"/>
          <w:b w:val="false"/>
          <w:color w:val="212529"/>
          <w:sz w:val="20"/>
          <w:shd w:fill="FFFFFF" w:val="clear"/>
        </w:rPr>
      </w:pPr>
      <w:r>
        <w:rPr>
          <w:rFonts w:ascii="Times New Roman;serif" w:hAnsi="Times New Roman;serif"/>
          <w:b w:val="false"/>
          <w:color w:val="212529"/>
          <w:sz w:val="20"/>
          <w:shd w:fill="FFFFFF" w:val="clear"/>
        </w:rPr>
        <w:t>(Former name or former address, if changed since last report.)</w:t>
      </w:r>
    </w:p>
    <w:p>
      <w:pPr>
        <w:pStyle w:val="TextBody"/>
        <w:bidi w:val="0"/>
        <w:spacing w:lineRule="auto" w:line="240" w:before="160" w:after="283"/>
        <w:jc w:val="left"/>
        <w:rPr>
          <w:rFonts w:ascii="Times New Roman;serif" w:hAnsi="Times New Roman;serif"/>
          <w:b w:val="false"/>
          <w:color w:val="212529"/>
          <w:sz w:val="20"/>
          <w:shd w:fill="FFFFFF" w:val="clear"/>
        </w:rPr>
      </w:pPr>
      <w:r>
        <w:rPr>
          <w:rFonts w:ascii="Times New Roman;serif" w:hAnsi="Times New Roman;serif"/>
          <w:b w:val="false"/>
          <w:color w:val="212529"/>
          <w:sz w:val="20"/>
          <w:shd w:fill="FFFFFF" w:val="clear"/>
        </w:rPr>
        <w:t>Check the appropriate box below if the Form 8-K filing is intended to simultaneously satisfy the filing obligation of the registrant under any of the following provisions (see General Instruction A.2. below):</w:t>
      </w:r>
    </w:p>
    <w:p>
      <w:pPr>
        <w:pStyle w:val="TextBody"/>
        <w:bidi w:val="0"/>
        <w:spacing w:lineRule="auto" w:line="240" w:before="120" w:after="283"/>
        <w:jc w:val="left"/>
        <w:rPr>
          <w:color w:val="212529"/>
          <w:shd w:fill="FFFFFF" w:val="clear"/>
        </w:rPr>
      </w:pPr>
      <w:r>
        <w:rPr>
          <w:color w:val="212529"/>
          <w:shd w:fill="FFFFFF" w:val="clear"/>
        </w:rPr>
        <w:t xml:space="preserve">☐ </w:t>
      </w:r>
      <w:r>
        <w:rPr>
          <w:rFonts w:ascii="Times New Roman;serif" w:hAnsi="Times New Roman;serif"/>
          <w:b w:val="false"/>
          <w:color w:val="212529"/>
          <w:sz w:val="20"/>
          <w:shd w:fill="FFFFFF" w:val="clear"/>
        </w:rPr>
        <w:t>Written communications pursuant to Rule 425 under the Securities Act (17 CFR 230.425)</w:t>
      </w:r>
    </w:p>
    <w:p>
      <w:pPr>
        <w:pStyle w:val="TextBody"/>
        <w:bidi w:val="0"/>
        <w:spacing w:lineRule="auto" w:line="240" w:before="120" w:after="283"/>
        <w:jc w:val="left"/>
        <w:rPr>
          <w:color w:val="212529"/>
          <w:shd w:fill="FFFFFF" w:val="clear"/>
        </w:rPr>
      </w:pPr>
      <w:r>
        <w:rPr>
          <w:color w:val="212529"/>
          <w:shd w:fill="FFFFFF" w:val="clear"/>
        </w:rPr>
        <w:t xml:space="preserve">☐ </w:t>
      </w:r>
      <w:r>
        <w:rPr>
          <w:rFonts w:ascii="Times New Roman;serif" w:hAnsi="Times New Roman;serif"/>
          <w:b w:val="false"/>
          <w:color w:val="212529"/>
          <w:sz w:val="20"/>
          <w:shd w:fill="FFFFFF" w:val="clear"/>
        </w:rPr>
        <w:t>Soliciting material pursuant to Rule 14a-12 under the Exchange Act (17 CFR 240.14a-12)</w:t>
      </w:r>
    </w:p>
    <w:p>
      <w:pPr>
        <w:pStyle w:val="TextBody"/>
        <w:bidi w:val="0"/>
        <w:spacing w:lineRule="auto" w:line="240" w:before="120" w:after="283"/>
        <w:jc w:val="left"/>
        <w:rPr>
          <w:color w:val="212529"/>
          <w:shd w:fill="FFFFFF" w:val="clear"/>
        </w:rPr>
      </w:pPr>
      <w:r>
        <w:rPr>
          <w:color w:val="212529"/>
          <w:shd w:fill="FFFFFF" w:val="clear"/>
        </w:rPr>
        <w:t xml:space="preserve">☐ </w:t>
      </w:r>
      <w:r>
        <w:rPr>
          <w:rFonts w:ascii="Times New Roman;serif" w:hAnsi="Times New Roman;serif"/>
          <w:b w:val="false"/>
          <w:color w:val="212529"/>
          <w:sz w:val="20"/>
          <w:shd w:fill="FFFFFF" w:val="clear"/>
        </w:rPr>
        <w:t>Pre-commencement communications pursuant to Rule 14d-2(b) under the Exchange Act (17 CFR 240.14d-2(b))</w:t>
      </w:r>
    </w:p>
    <w:p>
      <w:pPr>
        <w:pStyle w:val="TextBody"/>
        <w:bidi w:val="0"/>
        <w:spacing w:lineRule="auto" w:line="240" w:before="120" w:after="283"/>
        <w:jc w:val="left"/>
        <w:rPr>
          <w:color w:val="212529"/>
          <w:shd w:fill="FFFFFF" w:val="clear"/>
        </w:rPr>
      </w:pPr>
      <w:r>
        <w:rPr>
          <w:color w:val="212529"/>
          <w:shd w:fill="FFFFFF" w:val="clear"/>
        </w:rPr>
        <w:t xml:space="preserve">☐ </w:t>
      </w:r>
      <w:r>
        <w:rPr>
          <w:rFonts w:ascii="Times New Roman;serif" w:hAnsi="Times New Roman;serif"/>
          <w:b w:val="false"/>
          <w:color w:val="212529"/>
          <w:sz w:val="20"/>
          <w:shd w:fill="FFFFFF" w:val="clear"/>
        </w:rPr>
        <w:t>Pre-commencement communications pursuant to Rule 13e-4(c) under the Exchange Act (17 CFR 240.13e-4(c))</w:t>
      </w:r>
    </w:p>
    <w:p>
      <w:pPr>
        <w:pStyle w:val="TextBody"/>
        <w:bidi w:val="0"/>
        <w:spacing w:lineRule="auto" w:line="240" w:before="240" w:after="283"/>
        <w:jc w:val="left"/>
        <w:rPr>
          <w:rFonts w:ascii="Times New Roman;serif" w:hAnsi="Times New Roman;serif"/>
          <w:b w:val="false"/>
          <w:color w:val="212529"/>
          <w:sz w:val="20"/>
          <w:shd w:fill="FFFFFF" w:val="clear"/>
        </w:rPr>
      </w:pPr>
      <w:r>
        <w:rPr>
          <w:rFonts w:ascii="Times New Roman;serif" w:hAnsi="Times New Roman;serif"/>
          <w:b w:val="false"/>
          <w:color w:val="212529"/>
          <w:sz w:val="20"/>
          <w:shd w:fill="FFFFFF" w:val="clear"/>
        </w:rPr>
        <w:t>Securities registered pursuant to Section 12(b) of the Act:</w:t>
      </w:r>
    </w:p>
    <w:p>
      <w:pPr>
        <w:pStyle w:val="TextBody"/>
        <w:bidi w:val="0"/>
        <w:spacing w:lineRule="auto" w:line="240" w:before="0" w:after="0"/>
        <w:jc w:val="left"/>
        <w:rPr>
          <w:color w:val="212529"/>
          <w:shd w:fill="FFFFFF" w:val="clear"/>
        </w:rPr>
      </w:pPr>
      <w:r>
        <w:rPr>
          <w:color w:val="212529"/>
          <w:shd w:fill="FFFFFF" w:val="clear"/>
        </w:rPr>
        <w:t> </w:t>
      </w:r>
    </w:p>
    <w:tbl>
      <w:tblPr>
        <w:tblW w:w="8062" w:type="dxa"/>
        <w:jc w:val="left"/>
        <w:tblInd w:w="0" w:type="dxa"/>
        <w:tblLayout w:type="fixed"/>
        <w:tblCellMar>
          <w:top w:w="28" w:type="dxa"/>
          <w:left w:w="28" w:type="dxa"/>
          <w:bottom w:w="28" w:type="dxa"/>
          <w:right w:w="28" w:type="dxa"/>
        </w:tblCellMar>
      </w:tblPr>
      <w:tblGrid>
        <w:gridCol w:w="954"/>
        <w:gridCol w:w="837"/>
        <w:gridCol w:w="849"/>
        <w:gridCol w:w="109"/>
        <w:gridCol w:w="109"/>
        <w:gridCol w:w="109"/>
        <w:gridCol w:w="484"/>
        <w:gridCol w:w="484"/>
        <w:gridCol w:w="486"/>
        <w:gridCol w:w="109"/>
        <w:gridCol w:w="109"/>
        <w:gridCol w:w="109"/>
        <w:gridCol w:w="970"/>
        <w:gridCol w:w="970"/>
        <w:gridCol w:w="1374"/>
      </w:tblGrid>
      <w:tr>
        <w:trPr/>
        <w:tc>
          <w:tcPr>
            <w:tcW w:w="954"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1374" w:type="dxa"/>
            <w:tcBorders/>
            <w:vAlign w:val="center"/>
          </w:tcPr>
          <w:p>
            <w:pPr>
              <w:pStyle w:val="TableContents"/>
              <w:bidi w:val="0"/>
              <w:spacing w:before="0" w:after="283"/>
              <w:jc w:val="left"/>
              <w:rPr>
                <w:sz w:val="4"/>
                <w:szCs w:val="4"/>
              </w:rPr>
            </w:pPr>
            <w:r>
              <w:rPr>
                <w:sz w:val="4"/>
                <w:szCs w:val="4"/>
              </w:rPr>
            </w:r>
          </w:p>
        </w:tc>
      </w:tr>
      <w:tr>
        <w:trPr/>
        <w:tc>
          <w:tcPr>
            <w:tcW w:w="26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212529"/>
                <w:sz w:val="16"/>
              </w:rPr>
            </w:pPr>
            <w:r>
              <w:rPr>
                <w:rFonts w:ascii="Times New Roman;serif" w:hAnsi="Times New Roman;serif"/>
                <w:b/>
                <w:color w:val="212529"/>
                <w:sz w:val="16"/>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212529"/>
                <w:sz w:val="16"/>
              </w:rPr>
            </w:pPr>
            <w:r>
              <w:rPr>
                <w:rFonts w:ascii="Times New Roman;serif" w:hAnsi="Times New Roman;serif"/>
                <w:b/>
                <w:color w:val="212529"/>
                <w:sz w:val="16"/>
              </w:rPr>
              <w:t>Trading 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212529"/>
                <w:sz w:val="16"/>
              </w:rPr>
            </w:pPr>
            <w:r>
              <w:rPr>
                <w:rFonts w:ascii="Times New Roman;serif" w:hAnsi="Times New Roman;serif"/>
                <w:b/>
                <w:color w:val="212529"/>
                <w:sz w:val="16"/>
              </w:rPr>
              <w:t>Name of each exchange on which registered</w:t>
            </w:r>
          </w:p>
        </w:tc>
      </w:tr>
      <w:tr>
        <w:trPr/>
        <w:tc>
          <w:tcPr>
            <w:tcW w:w="26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212529"/>
                <w:sz w:val="20"/>
              </w:rPr>
            </w:pPr>
            <w:r>
              <w:rPr>
                <w:rFonts w:ascii="Times New Roman;serif" w:hAnsi="Times New Roman;serif"/>
                <w:b w:val="false"/>
                <w:color w:val="212529"/>
                <w:sz w:val="20"/>
              </w:rPr>
              <w:t>Common stock, $1 par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212529"/>
                <w:sz w:val="20"/>
              </w:rPr>
            </w:pPr>
            <w:r>
              <w:rPr>
                <w:rFonts w:ascii="Times New Roman;serif" w:hAnsi="Times New Roman;serif"/>
                <w:b w:val="false"/>
                <w:color w:val="212529"/>
                <w:sz w:val="20"/>
              </w:rPr>
              <w:t>AVY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212529"/>
                <w:sz w:val="20"/>
              </w:rPr>
            </w:pPr>
            <w:r>
              <w:rPr>
                <w:rFonts w:ascii="Times New Roman;serif" w:hAnsi="Times New Roman;serif"/>
                <w:b w:val="false"/>
                <w:color w:val="212529"/>
                <w:sz w:val="20"/>
              </w:rPr>
              <w:t>New York Stock Exchange</w:t>
            </w:r>
          </w:p>
        </w:tc>
      </w:tr>
      <w:tr>
        <w:trPr/>
        <w:tc>
          <w:tcPr>
            <w:tcW w:w="26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212529"/>
                <w:sz w:val="20"/>
              </w:rPr>
            </w:pPr>
            <w:r>
              <w:rPr>
                <w:rFonts w:ascii="Times New Roman;serif" w:hAnsi="Times New Roman;serif"/>
                <w:b w:val="false"/>
                <w:color w:val="212529"/>
                <w:sz w:val="20"/>
              </w:rPr>
              <w:t>3.750% Senior Notes due 2034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212529"/>
                <w:sz w:val="20"/>
              </w:rPr>
            </w:pPr>
            <w:r>
              <w:rPr>
                <w:rFonts w:ascii="Times New Roman;serif" w:hAnsi="Times New Roman;serif"/>
                <w:b w:val="false"/>
                <w:color w:val="212529"/>
                <w:sz w:val="20"/>
              </w:rPr>
              <w:t>AVY34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212529"/>
                <w:sz w:val="20"/>
              </w:rPr>
            </w:pPr>
            <w:r>
              <w:rPr>
                <w:rFonts w:ascii="Times New Roman;serif" w:hAnsi="Times New Roman;serif"/>
                <w:b w:val="false"/>
                <w:color w:val="212529"/>
                <w:sz w:val="20"/>
              </w:rPr>
              <w:t>Nasdaq Stock Market</w:t>
            </w:r>
          </w:p>
        </w:tc>
      </w:tr>
      <w:tr>
        <w:trPr/>
        <w:tc>
          <w:tcPr>
            <w:tcW w:w="26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212529"/>
                <w:sz w:val="20"/>
              </w:rPr>
            </w:pPr>
            <w:r>
              <w:rPr>
                <w:rFonts w:ascii="Times New Roman;serif" w:hAnsi="Times New Roman;serif"/>
                <w:b w:val="false"/>
                <w:color w:val="212529"/>
                <w:sz w:val="20"/>
              </w:rPr>
              <w:t>4.000% Senior Notes due 2035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212529"/>
                <w:sz w:val="20"/>
              </w:rPr>
            </w:pPr>
            <w:r>
              <w:rPr>
                <w:rFonts w:ascii="Times New Roman;serif" w:hAnsi="Times New Roman;serif"/>
                <w:b w:val="false"/>
                <w:color w:val="212529"/>
                <w:sz w:val="20"/>
              </w:rPr>
              <w:t>AVY35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212529"/>
                <w:sz w:val="20"/>
              </w:rPr>
            </w:pPr>
            <w:r>
              <w:rPr>
                <w:rFonts w:ascii="Times New Roman;serif" w:hAnsi="Times New Roman;serif"/>
                <w:b w:val="false"/>
                <w:color w:val="212529"/>
                <w:sz w:val="20"/>
              </w:rPr>
              <w:t>Nasdaq Stock Market</w:t>
            </w:r>
          </w:p>
        </w:tc>
      </w:tr>
    </w:tbl>
    <w:p>
      <w:pPr>
        <w:pStyle w:val="TextBody"/>
        <w:bidi w:val="0"/>
        <w:spacing w:lineRule="auto" w:line="240" w:before="240" w:after="283"/>
        <w:jc w:val="left"/>
        <w:rPr>
          <w:rFonts w:ascii="Times New Roman;serif" w:hAnsi="Times New Roman;serif"/>
          <w:b w:val="false"/>
          <w:color w:val="212529"/>
          <w:sz w:val="20"/>
          <w:shd w:fill="FFFFFF" w:val="clear"/>
        </w:rPr>
      </w:pPr>
      <w:r>
        <w:rPr>
          <w:rFonts w:ascii="Times New Roman;serif" w:hAnsi="Times New Roman;serif"/>
          <w:b w:val="false"/>
          <w:color w:val="212529"/>
          <w:sz w:val="20"/>
          <w:shd w:fill="FFFFFF" w:val="clear"/>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lineRule="auto" w:line="240" w:before="240" w:after="283"/>
        <w:jc w:val="left"/>
        <w:rPr>
          <w:shd w:fill="FFFFFF" w:val="clear"/>
        </w:rPr>
      </w:pPr>
      <w:r>
        <w:rPr>
          <w:rFonts w:ascii="Times New Roman;serif" w:hAnsi="Times New Roman;serif"/>
          <w:b w:val="false"/>
          <w:color w:val="212529"/>
          <w:sz w:val="20"/>
          <w:shd w:fill="FFFFFF" w:val="clear"/>
        </w:rPr>
        <w:t xml:space="preserve">Emerging growth company </w:t>
      </w:r>
      <w:r>
        <w:rPr>
          <w:color w:val="212529"/>
          <w:shd w:fill="FFFFFF" w:val="clear"/>
        </w:rPr>
        <w:t>☐</w:t>
      </w:r>
    </w:p>
    <w:p>
      <w:pPr>
        <w:pStyle w:val="TextBody"/>
        <w:bidi w:val="0"/>
        <w:spacing w:lineRule="auto" w:line="240" w:before="240" w:after="283"/>
        <w:jc w:val="left"/>
        <w:rPr>
          <w:shd w:fill="FFFFFF" w:val="clear"/>
        </w:rPr>
      </w:pPr>
      <w:r>
        <w:rPr>
          <w:rFonts w:ascii="Times New Roman;serif" w:hAnsi="Times New Roman;serif"/>
          <w:b w:val="false"/>
          <w:color w:val="212529"/>
          <w:sz w:val="20"/>
          <w:shd w:fill="FFFFFF" w:val="clear"/>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212529"/>
          <w:shd w:fill="FFFFFF" w:val="clear"/>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color w:val="212529"/>
          <w:sz w:val="20"/>
          <w:shd w:fill="FFFFFF" w:val="clear"/>
        </w:rPr>
      </w:pPr>
      <w:r>
        <w:rPr>
          <w:rFonts w:ascii="Times New Roman;serif" w:hAnsi="Times New Roman;serif"/>
          <w:b/>
          <w:color w:val="212529"/>
          <w:sz w:val="20"/>
          <w:shd w:fill="FFFFFF" w:val="clear"/>
        </w:rPr>
        <w:t>Section 5 — Corporate Governance and Management</w:t>
      </w:r>
    </w:p>
    <w:p>
      <w:pPr>
        <w:pStyle w:val="TextBody"/>
        <w:bidi w:val="0"/>
        <w:spacing w:before="1" w:after="1"/>
        <w:jc w:val="left"/>
        <w:rPr/>
      </w:pPr>
      <w:r>
        <w:rPr/>
      </w:r>
    </w:p>
    <w:p>
      <w:pPr>
        <w:pStyle w:val="TextBody"/>
        <w:bidi w:val="0"/>
        <w:spacing w:lineRule="auto" w:line="240" w:before="0" w:after="0"/>
        <w:jc w:val="both"/>
        <w:rPr>
          <w:rFonts w:ascii="Times New Roman;serif" w:hAnsi="Times New Roman;serif"/>
          <w:b/>
          <w:color w:val="000000"/>
          <w:sz w:val="20"/>
          <w:shd w:fill="FFFFFF" w:val="clear"/>
        </w:rPr>
      </w:pPr>
      <w:r>
        <w:rPr>
          <w:rFonts w:ascii="Times New Roman;serif" w:hAnsi="Times New Roman;serif"/>
          <w:b/>
          <w:color w:val="000000"/>
          <w:sz w:val="20"/>
          <w:shd w:fill="FFFFFF" w:val="clear"/>
        </w:rPr>
        <w:t>Item 5.02 Departure of Directors or Certain Officers; Election of Directors; Appointment of Certain Officers; Compensatory Arrangements of Certain Officers.</w:t>
      </w:r>
    </w:p>
    <w:p>
      <w:pPr>
        <w:pStyle w:val="TextBody"/>
        <w:bidi w:val="0"/>
        <w:spacing w:lineRule="auto" w:line="288" w:before="180" w:after="283"/>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(b) On September 30, 2026, Ignacio J. Walker, Senior Vice President and Chief Legal Officer, of Avery Dennison Corporation, a Delaware corporation (the “Company”), notified the Company of his decision to resign from his position to accept another opportunity. Mr. Walker is expected to continue serving in his current capacity through, and leave the company on, October 16,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40" w:before="1" w:after="1"/>
        <w:jc w:val="center"/>
        <w:rPr>
          <w:rFonts w:ascii="Times New Roman;serif" w:hAnsi="Times New Roman;serif"/>
          <w:b/>
          <w:color w:val="212529"/>
          <w:sz w:val="20"/>
          <w:shd w:fill="FFFFFF" w:val="clear"/>
        </w:rPr>
      </w:pPr>
      <w:r>
        <w:rPr>
          <w:rFonts w:ascii="Times New Roman;serif" w:hAnsi="Times New Roman;serif"/>
          <w:b/>
          <w:color w:val="212529"/>
          <w:sz w:val="20"/>
          <w:shd w:fill="FFFFFF" w:val="clear"/>
        </w:rPr>
        <w:t xml:space="preserve">SIGNATURES </w:t>
      </w:r>
    </w:p>
    <w:p>
      <w:pPr>
        <w:pStyle w:val="TextBody"/>
        <w:bidi w:val="0"/>
        <w:spacing w:lineRule="auto" w:line="240" w:before="240" w:after="283"/>
        <w:ind w:left="0" w:right="0" w:firstLine="612"/>
        <w:jc w:val="both"/>
        <w:rPr>
          <w:rFonts w:ascii="Times New Roman;serif" w:hAnsi="Times New Roman;serif"/>
          <w:b w:val="false"/>
          <w:color w:val="212529"/>
          <w:sz w:val="20"/>
          <w:shd w:fill="FFFFFF" w:val="clear"/>
        </w:rPr>
      </w:pPr>
      <w:r>
        <w:rPr>
          <w:rFonts w:ascii="Times New Roman;serif" w:hAnsi="Times New Roman;serif"/>
          <w:b w:val="false"/>
          <w:color w:val="212529"/>
          <w:sz w:val="20"/>
          <w:shd w:fill="FFFFFF" w:val="clear"/>
        </w:rPr>
        <w:t xml:space="preserve">Pursuant to the requirements of the Securities Exchange Act of 1934, the registrant has duly caused this report to be signed on its behalf by the undersigned hereunto duly authorized. </w:t>
      </w:r>
    </w:p>
    <w:p>
      <w:pPr>
        <w:pStyle w:val="TextBody"/>
        <w:bidi w:val="0"/>
        <w:spacing w:lineRule="auto" w:line="240" w:before="0" w:after="0"/>
        <w:jc w:val="left"/>
        <w:rPr>
          <w:color w:val="212529"/>
          <w:shd w:fill="FFFFFF" w:val="clear"/>
        </w:rPr>
      </w:pPr>
      <w:r>
        <w:rPr>
          <w:color w:val="212529"/>
          <w:shd w:fill="FFFFFF" w:val="clear"/>
        </w:rPr>
        <w:t> </w:t>
      </w:r>
    </w:p>
    <w:tbl>
      <w:tblPr>
        <w:tblW w:w="7420" w:type="dxa"/>
        <w:jc w:val="left"/>
        <w:tblInd w:w="0" w:type="dxa"/>
        <w:tblLayout w:type="fixed"/>
        <w:tblCellMar>
          <w:top w:w="28" w:type="dxa"/>
          <w:left w:w="28" w:type="dxa"/>
          <w:bottom w:w="28" w:type="dxa"/>
          <w:right w:w="28" w:type="dxa"/>
        </w:tblCellMar>
      </w:tblPr>
      <w:tblGrid>
        <w:gridCol w:w="689"/>
        <w:gridCol w:w="606"/>
        <w:gridCol w:w="610"/>
        <w:gridCol w:w="134"/>
        <w:gridCol w:w="134"/>
        <w:gridCol w:w="136"/>
        <w:gridCol w:w="109"/>
        <w:gridCol w:w="109"/>
        <w:gridCol w:w="109"/>
        <w:gridCol w:w="525"/>
        <w:gridCol w:w="525"/>
        <w:gridCol w:w="525"/>
        <w:gridCol w:w="937"/>
        <w:gridCol w:w="937"/>
        <w:gridCol w:w="1335"/>
      </w:tblGrid>
      <w:tr>
        <w:trPr/>
        <w:tc>
          <w:tcPr>
            <w:tcW w:w="689" w:type="dxa"/>
            <w:tcBorders/>
            <w:vAlign w:val="center"/>
          </w:tcPr>
          <w:p>
            <w:pPr>
              <w:pStyle w:val="TableContents"/>
              <w:bidi w:val="0"/>
              <w:spacing w:before="0" w:after="283"/>
              <w:jc w:val="left"/>
              <w:rPr>
                <w:sz w:val="4"/>
                <w:szCs w:val="4"/>
              </w:rPr>
            </w:pPr>
            <w:r>
              <w:rPr>
                <w:sz w:val="4"/>
                <w:szCs w:val="4"/>
              </w:rPr>
            </w:r>
          </w:p>
        </w:tc>
        <w:tc>
          <w:tcPr>
            <w:tcW w:w="606"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937" w:type="dxa"/>
            <w:tcBorders/>
            <w:vAlign w:val="center"/>
          </w:tcPr>
          <w:p>
            <w:pPr>
              <w:pStyle w:val="TableContents"/>
              <w:bidi w:val="0"/>
              <w:spacing w:before="0" w:after="283"/>
              <w:jc w:val="left"/>
              <w:rPr>
                <w:sz w:val="4"/>
                <w:szCs w:val="4"/>
              </w:rPr>
            </w:pPr>
            <w:r>
              <w:rPr>
                <w:sz w:val="4"/>
                <w:szCs w:val="4"/>
              </w:rPr>
            </w:r>
          </w:p>
        </w:tc>
        <w:tc>
          <w:tcPr>
            <w:tcW w:w="937" w:type="dxa"/>
            <w:tcBorders/>
            <w:vAlign w:val="center"/>
          </w:tcPr>
          <w:p>
            <w:pPr>
              <w:pStyle w:val="TableContents"/>
              <w:bidi w:val="0"/>
              <w:spacing w:before="0" w:after="283"/>
              <w:jc w:val="left"/>
              <w:rPr>
                <w:sz w:val="4"/>
                <w:szCs w:val="4"/>
              </w:rPr>
            </w:pPr>
            <w:r>
              <w:rPr>
                <w:sz w:val="4"/>
                <w:szCs w:val="4"/>
              </w:rPr>
            </w:r>
          </w:p>
        </w:tc>
        <w:tc>
          <w:tcPr>
            <w:tcW w:w="1335" w:type="dxa"/>
            <w:tcBorders/>
            <w:vAlign w:val="center"/>
          </w:tcPr>
          <w:p>
            <w:pPr>
              <w:pStyle w:val="TableContents"/>
              <w:bidi w:val="0"/>
              <w:spacing w:before="0" w:after="283"/>
              <w:jc w:val="left"/>
              <w:rPr>
                <w:sz w:val="4"/>
                <w:szCs w:val="4"/>
              </w:rPr>
            </w:pPr>
            <w:r>
              <w:rPr>
                <w:sz w:val="4"/>
                <w:szCs w:val="4"/>
              </w:rPr>
            </w:r>
          </w:p>
        </w:tc>
      </w:tr>
      <w:tr>
        <w:trPr/>
        <w:tc>
          <w:tcPr>
            <w:tcW w:w="19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84"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212529"/>
                <w:sz w:val="20"/>
              </w:rPr>
            </w:pPr>
            <w:r>
              <w:rPr>
                <w:rFonts w:ascii="Times New Roman;serif" w:hAnsi="Times New Roman;serif"/>
                <w:b/>
                <w:color w:val="212529"/>
                <w:sz w:val="20"/>
              </w:rPr>
              <w:t>AVERY DENNISON CORPORATION</w:t>
            </w:r>
          </w:p>
        </w:tc>
      </w:tr>
      <w:tr>
        <w:trPr/>
        <w:tc>
          <w:tcPr>
            <w:tcW w:w="19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12529"/>
                <w:sz w:val="20"/>
              </w:rPr>
            </w:pPr>
            <w:r>
              <w:rPr>
                <w:rFonts w:ascii="Times New Roman;serif" w:hAnsi="Times New Roman;serif"/>
                <w:b w:val="false"/>
                <w:color w:val="212529"/>
                <w:sz w:val="20"/>
              </w:rPr>
              <w:t>Date: October 5, 2026</w:t>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12529"/>
                <w:sz w:val="20"/>
              </w:rPr>
            </w:pPr>
            <w:r>
              <w:rPr>
                <w:rFonts w:ascii="Times New Roman;serif" w:hAnsi="Times New Roman;serif"/>
                <w:b w:val="false"/>
                <w:color w:val="212529"/>
                <w:sz w:val="20"/>
              </w:rPr>
              <w:t>By: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84"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12529"/>
                <w:sz w:val="20"/>
              </w:rPr>
            </w:pPr>
            <w:r>
              <w:rPr>
                <w:rFonts w:ascii="Times New Roman;serif" w:hAnsi="Times New Roman;serif"/>
                <w:b w:val="false"/>
                <w:color w:val="212529"/>
                <w:sz w:val="20"/>
              </w:rPr>
              <w:t>/s/ Deon M. Stander</w:t>
            </w:r>
          </w:p>
        </w:tc>
      </w:tr>
      <w:tr>
        <w:trPr/>
        <w:tc>
          <w:tcPr>
            <w:tcW w:w="19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40" w:before="1" w:after="283"/>
              <w:jc w:val="left"/>
              <w:rPr>
                <w:rFonts w:ascii="Times New Roman;serif" w:hAnsi="Times New Roman;serif"/>
                <w:b w:val="false"/>
                <w:color w:val="212529"/>
                <w:sz w:val="20"/>
              </w:rPr>
            </w:pPr>
            <w:r>
              <w:rPr>
                <w:rFonts w:ascii="Times New Roman;serif" w:hAnsi="Times New Roman;serif"/>
                <w:b w:val="false"/>
                <w:color w:val="212529"/>
                <w:sz w:val="20"/>
              </w:rPr>
              <w:t>Name:</w:t>
            </w:r>
          </w:p>
          <w:p>
            <w:pPr>
              <w:pStyle w:val="TableContents"/>
              <w:bidi w:val="0"/>
              <w:spacing w:lineRule="auto" w:line="240" w:before="1" w:after="20"/>
              <w:jc w:val="left"/>
              <w:rPr>
                <w:rFonts w:ascii="Times New Roman;serif" w:hAnsi="Times New Roman;serif"/>
                <w:b w:val="false"/>
                <w:color w:val="212529"/>
                <w:sz w:val="20"/>
              </w:rPr>
            </w:pPr>
            <w:r>
              <w:rPr>
                <w:rFonts w:ascii="Times New Roman;serif" w:hAnsi="Times New Roman;serif"/>
                <w:b w:val="false"/>
                <w:color w:val="212529"/>
                <w:sz w:val="20"/>
              </w:rPr>
              <w:t>Title:  </w:t>
            </w:r>
          </w:p>
        </w:tc>
        <w:tc>
          <w:tcPr>
            <w:tcW w:w="3209"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40" w:before="1" w:after="283"/>
              <w:jc w:val="left"/>
              <w:rPr>
                <w:rFonts w:ascii="Times New Roman;serif" w:hAnsi="Times New Roman;serif"/>
                <w:b w:val="false"/>
                <w:color w:val="212529"/>
                <w:sz w:val="20"/>
              </w:rPr>
            </w:pPr>
            <w:r>
              <w:rPr>
                <w:rFonts w:ascii="Times New Roman;serif" w:hAnsi="Times New Roman;serif"/>
                <w:b w:val="false"/>
                <w:color w:val="212529"/>
                <w:sz w:val="20"/>
              </w:rPr>
              <w:t>Deon M. Stander</w:t>
            </w:r>
          </w:p>
          <w:p>
            <w:pPr>
              <w:pStyle w:val="TableContents"/>
              <w:bidi w:val="0"/>
              <w:spacing w:lineRule="auto" w:line="240" w:before="1" w:after="20"/>
              <w:jc w:val="left"/>
              <w:rPr>
                <w:rFonts w:ascii="Times New Roman;serif" w:hAnsi="Times New Roman;serif"/>
                <w:b w:val="false"/>
                <w:color w:val="212529"/>
                <w:sz w:val="20"/>
              </w:rPr>
            </w:pPr>
            <w:r>
              <w:rPr>
                <w:rFonts w:ascii="Times New Roman;serif" w:hAnsi="Times New Roman;serif"/>
                <w:b w:val="false"/>
                <w:color w:val="212529"/>
                <w:sz w:val="20"/>
              </w:rPr>
              <w:t>President and Chief Executive Officer</w:t>
            </w:r>
          </w:p>
        </w:tc>
      </w:tr>
    </w:tbl>
    <w:p>
      <w:pPr>
        <w:pStyle w:val="TextBody"/>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458</Words>
  <Characters>2550</Characters>
  <CharactersWithSpaces>2973</CharactersWithSpaces>
  <Paragraphs>70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