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340" w:right="2060" w:hanging="332"/>
        <w:spacing w:after="0" w:line="286" w:lineRule="auto"/>
        <w:tabs>
          <w:tab w:leader="none" w:pos="227"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April 1, 2017.</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 w:lineRule="exact"/>
        <w:rPr>
          <w:sz w:val="24"/>
          <w:szCs w:val="24"/>
          <w:color w:val="auto"/>
        </w:rPr>
      </w:pPr>
    </w:p>
    <w:p>
      <w:pPr>
        <w:ind w:left="340"/>
        <w:spacing w:after="0"/>
        <w:tabs>
          <w:tab w:leader="none" w:pos="46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1598295</wp:posOffset>
            </wp:positionH>
            <wp:positionV relativeFrom="paragraph">
              <wp:posOffset>-19050</wp:posOffset>
            </wp:positionV>
            <wp:extent cx="28263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6385" cy="8890"/>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1-7685</w:t>
      </w: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AVERY DENNISON CORPORATION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3180" w:type="dxa"/>
        <w:tblCellMar>
          <w:top w:w="0" w:type="dxa"/>
          <w:left w:w="0" w:type="dxa"/>
          <w:bottom w:w="0" w:type="dxa"/>
          <w:right w:w="0" w:type="dxa"/>
        </w:tblCellMar>
      </w:tblPr>
      <w:tr>
        <w:trPr>
          <w:trHeight w:val="216"/>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2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95-1492269</w:t>
            </w:r>
          </w:p>
        </w:tc>
      </w:tr>
      <w:tr>
        <w:trPr>
          <w:trHeight w:val="149"/>
        </w:trPr>
        <w:tc>
          <w:tcPr>
            <w:tcW w:w="308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820" w:type="dxa"/>
            <w:vAlign w:val="bottom"/>
          </w:tcPr>
          <w:p>
            <w:pPr>
              <w:jc w:val="center"/>
              <w:ind w:left="63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820" w:type="dxa"/>
            <w:vAlign w:val="bottom"/>
          </w:tcPr>
          <w:p>
            <w:pPr>
              <w:spacing w:after="0"/>
              <w:rPr>
                <w:sz w:val="16"/>
                <w:szCs w:val="16"/>
                <w:color w:val="auto"/>
              </w:rPr>
            </w:pPr>
          </w:p>
        </w:tc>
      </w:tr>
      <w:tr>
        <w:trPr>
          <w:trHeight w:val="393"/>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207 Goode Avenue</w:t>
            </w:r>
          </w:p>
        </w:tc>
        <w:tc>
          <w:tcPr>
            <w:tcW w:w="2820" w:type="dxa"/>
            <w:vAlign w:val="bottom"/>
          </w:tcPr>
          <w:p>
            <w:pPr>
              <w:spacing w:after="0"/>
              <w:rPr>
                <w:sz w:val="24"/>
                <w:szCs w:val="24"/>
                <w:color w:val="auto"/>
              </w:rPr>
            </w:pPr>
          </w:p>
        </w:tc>
      </w:tr>
      <w:tr>
        <w:trPr>
          <w:trHeight w:val="216"/>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Glendale, California</w:t>
            </w:r>
          </w:p>
        </w:tc>
        <w:tc>
          <w:tcPr>
            <w:tcW w:w="282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91203</w:t>
            </w:r>
          </w:p>
        </w:tc>
      </w:tr>
      <w:tr>
        <w:trPr>
          <w:trHeight w:val="188"/>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20" w:type="dxa"/>
            <w:vAlign w:val="bottom"/>
          </w:tcPr>
          <w:p>
            <w:pPr>
              <w:jc w:val="center"/>
              <w:ind w:left="639"/>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(626) 304-2000</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76"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0" w:type="dxa"/>
        <w:tblCellMar>
          <w:top w:w="0" w:type="dxa"/>
          <w:left w:w="0" w:type="dxa"/>
          <w:bottom w:w="0" w:type="dxa"/>
          <w:right w:w="0" w:type="dxa"/>
        </w:tblCellMar>
      </w:tblPr>
      <w:tr>
        <w:trPr>
          <w:trHeight w:val="199"/>
        </w:trPr>
        <w:tc>
          <w:tcPr>
            <w:tcW w:w="1900" w:type="dxa"/>
            <w:vAlign w:val="bottom"/>
          </w:tcPr>
          <w:p>
            <w:pPr>
              <w:spacing w:after="0" w:line="200" w:lineRule="exact"/>
              <w:rPr>
                <w:sz w:val="20"/>
                <w:szCs w:val="20"/>
                <w:color w:val="auto"/>
              </w:rPr>
            </w:pPr>
            <w:r>
              <w:rPr>
                <w:rFonts w:ascii="Times New Roman" w:cs="Times New Roman" w:eastAsia="Times New Roman" w:hAnsi="Times New Roman"/>
                <w:sz w:val="18"/>
                <w:szCs w:val="18"/>
                <w:color w:val="auto"/>
              </w:rPr>
              <w:t>x Large accelerated</w:t>
            </w:r>
          </w:p>
        </w:tc>
        <w:tc>
          <w:tcPr>
            <w:tcW w:w="2260" w:type="dxa"/>
            <w:vAlign w:val="bottom"/>
          </w:tcPr>
          <w:p>
            <w:pPr>
              <w:ind w:left="500"/>
              <w:spacing w:after="0" w:line="200" w:lineRule="exact"/>
              <w:rPr>
                <w:sz w:val="20"/>
                <w:szCs w:val="20"/>
                <w:color w:val="auto"/>
              </w:rPr>
            </w:pPr>
            <w:r>
              <w:rPr>
                <w:rFonts w:ascii="Times New Roman" w:cs="Times New Roman" w:eastAsia="Times New Roman" w:hAnsi="Times New Roman"/>
                <w:sz w:val="18"/>
                <w:szCs w:val="18"/>
                <w:color w:val="auto"/>
              </w:rPr>
              <w:t>o Accelerated filer</w:t>
            </w:r>
          </w:p>
        </w:tc>
        <w:tc>
          <w:tcPr>
            <w:tcW w:w="2540" w:type="dxa"/>
            <w:vAlign w:val="bottom"/>
          </w:tcPr>
          <w:p>
            <w:pPr>
              <w:ind w:left="420"/>
              <w:spacing w:after="0" w:line="200" w:lineRule="exact"/>
              <w:rPr>
                <w:sz w:val="20"/>
                <w:szCs w:val="20"/>
                <w:color w:val="auto"/>
              </w:rPr>
            </w:pPr>
            <w:r>
              <w:rPr>
                <w:rFonts w:ascii="Times New Roman" w:cs="Times New Roman" w:eastAsia="Times New Roman" w:hAnsi="Times New Roman"/>
                <w:sz w:val="18"/>
                <w:szCs w:val="18"/>
                <w:color w:val="auto"/>
              </w:rPr>
              <w:t>o Non-accelerated filer</w:t>
            </w:r>
          </w:p>
        </w:tc>
        <w:tc>
          <w:tcPr>
            <w:tcW w:w="2720" w:type="dxa"/>
            <w:vAlign w:val="bottom"/>
          </w:tcPr>
          <w:p>
            <w:pPr>
              <w:ind w:left="460"/>
              <w:spacing w:after="0" w:line="200" w:lineRule="exact"/>
              <w:rPr>
                <w:sz w:val="20"/>
                <w:szCs w:val="20"/>
                <w:color w:val="auto"/>
              </w:rPr>
            </w:pPr>
            <w:r>
              <w:rPr>
                <w:rFonts w:ascii="Times New Roman" w:cs="Times New Roman" w:eastAsia="Times New Roman" w:hAnsi="Times New Roman"/>
                <w:sz w:val="18"/>
                <w:szCs w:val="18"/>
                <w:color w:val="auto"/>
              </w:rPr>
              <w:t>o Smaller reporting company</w:t>
            </w:r>
          </w:p>
        </w:tc>
        <w:tc>
          <w:tcPr>
            <w:tcW w:w="1540" w:type="dxa"/>
            <w:vAlign w:val="bottom"/>
          </w:tcPr>
          <w:p>
            <w:pPr>
              <w:ind w:left="140"/>
              <w:spacing w:after="0" w:line="200" w:lineRule="exact"/>
              <w:rPr>
                <w:sz w:val="20"/>
                <w:szCs w:val="20"/>
                <w:color w:val="auto"/>
              </w:rPr>
            </w:pPr>
            <w:r>
              <w:rPr>
                <w:rFonts w:ascii="Times New Roman" w:cs="Times New Roman" w:eastAsia="Times New Roman" w:hAnsi="Times New Roman"/>
                <w:sz w:val="18"/>
                <w:szCs w:val="18"/>
                <w:color w:val="auto"/>
                <w:w w:val="98"/>
              </w:rPr>
              <w:t>o Emerging growth</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filer</w:t>
            </w:r>
          </w:p>
        </w:tc>
        <w:tc>
          <w:tcPr>
            <w:tcW w:w="2260" w:type="dxa"/>
            <w:vAlign w:val="bottom"/>
          </w:tcPr>
          <w:p>
            <w:pPr>
              <w:spacing w:after="0"/>
              <w:rPr>
                <w:sz w:val="20"/>
                <w:szCs w:val="20"/>
                <w:color w:val="auto"/>
              </w:rPr>
            </w:pPr>
          </w:p>
        </w:tc>
        <w:tc>
          <w:tcPr>
            <w:tcW w:w="526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4"/>
                <w:szCs w:val="14"/>
                <w:color w:val="auto"/>
              </w:rPr>
              <w:t>(Do not check if a smaller reporting company)</w:t>
            </w: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166"/>
        </w:trPr>
        <w:tc>
          <w:tcPr>
            <w:tcW w:w="19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260" w:type="dxa"/>
            <w:vAlign w:val="bottom"/>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checkmark if the registrant has elected not to use the extended transition period for complying with any new or revised financial accounting standards provided pursuant to Section 13(a) of the Exchange Act. o</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$1 par value common stock outstanding as of April 29, 2017: 88,557,576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720" w:type="dxa"/>
            <w:vAlign w:val="bottom"/>
            <w:gridSpan w:val="6"/>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AVERY DENNISON CORPORATION</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60" w:type="dxa"/>
            <w:vAlign w:val="bottom"/>
            <w:gridSpan w:val="7"/>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w w:val="99"/>
              </w:rPr>
              <w:t>FISCAL FIRST QUARTER 2017 QUARTERLY REPORT ON FORM 10-Q</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60" w:type="dxa"/>
            <w:vAlign w:val="bottom"/>
            <w:gridSpan w:val="3"/>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460" w:type="dxa"/>
            <w:vAlign w:val="bottom"/>
            <w:gridSpan w:val="6"/>
            <w:vMerge w:val="restart"/>
          </w:tcPr>
          <w:p>
            <w:pPr>
              <w:spacing w:after="0"/>
              <w:rPr>
                <w:rFonts w:ascii="Times New Roman" w:cs="Times New Roman" w:eastAsia="Times New Roman" w:hAnsi="Times New Roman"/>
                <w:sz w:val="18"/>
                <w:szCs w:val="18"/>
                <w:b w:val="1"/>
                <w:bCs w:val="1"/>
                <w:color w:val="0000EE"/>
                <w:w w:val="98"/>
              </w:rPr>
            </w:pPr>
            <w:hyperlink w:anchor="page2">
              <w:r>
                <w:rPr>
                  <w:rFonts w:ascii="Times New Roman" w:cs="Times New Roman" w:eastAsia="Times New Roman" w:hAnsi="Times New Roman"/>
                  <w:sz w:val="18"/>
                  <w:szCs w:val="18"/>
                  <w:b w:val="1"/>
                  <w:bCs w:val="1"/>
                  <w:color w:val="0000EE"/>
                  <w:w w:val="98"/>
                </w:rPr>
                <w:t>SAFE HARBOR STATEMENT</w:t>
              </w:r>
            </w:hyperlink>
          </w:p>
        </w:tc>
        <w:tc>
          <w:tcPr>
            <w:tcW w:w="8060" w:type="dxa"/>
            <w:vAlign w:val="bottom"/>
            <w:gridSpan w:val="7"/>
            <w:vMerge w:val="restart"/>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2460" w:type="dxa"/>
            <w:vAlign w:val="bottom"/>
            <w:tcBorders>
              <w:bottom w:val="single" w:sz="8" w:color="0000EE"/>
            </w:tcBorders>
            <w:gridSpan w:val="6"/>
            <w:vMerge w:val="continue"/>
          </w:tcPr>
          <w:p>
            <w:pPr>
              <w:spacing w:after="0"/>
              <w:rPr>
                <w:sz w:val="13"/>
                <w:szCs w:val="13"/>
                <w:color w:val="auto"/>
              </w:rPr>
            </w:pPr>
          </w:p>
        </w:tc>
        <w:tc>
          <w:tcPr>
            <w:tcW w:w="8060" w:type="dxa"/>
            <w:vAlign w:val="bottom"/>
            <w:gridSpan w:val="7"/>
            <w:vMerge w:val="continue"/>
          </w:tcPr>
          <w:p>
            <w:pPr>
              <w:spacing w:after="0"/>
              <w:rPr>
                <w:sz w:val="13"/>
                <w:szCs w:val="13"/>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434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2">
              <w:r>
                <w:rPr>
                  <w:rFonts w:ascii="Times New Roman" w:cs="Times New Roman" w:eastAsia="Times New Roman" w:hAnsi="Times New Roman"/>
                  <w:sz w:val="18"/>
                  <w:szCs w:val="18"/>
                  <w:b w:val="1"/>
                  <w:bCs w:val="1"/>
                  <w:color w:val="0000EE"/>
                  <w:w w:val="99"/>
                </w:rPr>
                <w:t>PART I. FINANCIAL INFORMATION (UNAUDITED)</w:t>
              </w:r>
            </w:hyperlink>
          </w:p>
        </w:tc>
        <w:tc>
          <w:tcPr>
            <w:tcW w:w="618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Times New Roman" w:cs="Times New Roman" w:eastAsia="Times New Roman" w:hAnsi="Times New Roman"/>
                <w:sz w:val="18"/>
                <w:szCs w:val="18"/>
                <w:color w:val="0000EE"/>
                <w:w w:val="97"/>
              </w:rPr>
            </w:pPr>
            <w:hyperlink w:anchor="page2">
              <w:r>
                <w:rPr>
                  <w:rFonts w:ascii="Times New Roman" w:cs="Times New Roman" w:eastAsia="Times New Roman" w:hAnsi="Times New Roman"/>
                  <w:sz w:val="18"/>
                  <w:szCs w:val="18"/>
                  <w:color w:val="0000EE"/>
                  <w:w w:val="97"/>
                </w:rPr>
                <w:t>Item 1.</w:t>
              </w:r>
            </w:hyperlink>
          </w:p>
        </w:tc>
        <w:tc>
          <w:tcPr>
            <w:tcW w:w="360" w:type="dxa"/>
            <w:vAlign w:val="bottom"/>
          </w:tcPr>
          <w:p>
            <w:pPr>
              <w:spacing w:after="0"/>
              <w:rPr>
                <w:sz w:val="24"/>
                <w:szCs w:val="24"/>
                <w:color w:val="auto"/>
              </w:rPr>
            </w:pPr>
          </w:p>
        </w:tc>
        <w:tc>
          <w:tcPr>
            <w:tcW w:w="9640" w:type="dxa"/>
            <w:vAlign w:val="bottom"/>
            <w:gridSpan w:val="11"/>
          </w:tcPr>
          <w:p>
            <w:pPr>
              <w:ind w:left="360"/>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Financial Statements:</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0"/>
          </w:tcPr>
          <w:p>
            <w:pPr>
              <w:ind w:left="18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76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April 1, 2017 and December 31, 2016</w:t>
              </w:r>
            </w:hyperlink>
          </w:p>
        </w:tc>
        <w:tc>
          <w:tcPr>
            <w:tcW w:w="6160" w:type="dxa"/>
            <w:vAlign w:val="bottom"/>
            <w:gridSpan w:val="3"/>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80" w:type="dxa"/>
            <w:vAlign w:val="bottom"/>
            <w:gridSpan w:val="10"/>
          </w:tcPr>
          <w:p>
            <w:pPr>
              <w:ind w:left="180"/>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Statements of Income</w:t>
              </w:r>
            </w:hyperlink>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20" w:type="dxa"/>
            <w:vAlign w:val="bottom"/>
            <w:gridSpan w:val="6"/>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Three Months ended April 1, 2017 and April 2, 2016</w:t>
              </w:r>
            </w:hyperlink>
          </w:p>
        </w:tc>
        <w:tc>
          <w:tcPr>
            <w:tcW w:w="5100" w:type="dxa"/>
            <w:vAlign w:val="bottom"/>
          </w:tcPr>
          <w:p>
            <w:pPr>
              <w:spacing w:after="0"/>
              <w:rPr>
                <w:sz w:val="17"/>
                <w:szCs w:val="17"/>
                <w:color w:val="auto"/>
              </w:rPr>
            </w:pPr>
          </w:p>
        </w:tc>
        <w:tc>
          <w:tcPr>
            <w:tcW w:w="9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Comprehensive Income</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8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Three Months ended April 1, 2017 and April 2, 2016</w:t>
              </w:r>
            </w:hyperlink>
          </w:p>
        </w:tc>
        <w:tc>
          <w:tcPr>
            <w:tcW w:w="580" w:type="dxa"/>
            <w:vAlign w:val="bottom"/>
            <w:tcBorders>
              <w:top w:val="single" w:sz="8" w:color="0000EE"/>
            </w:tcBorders>
            <w:gridSpan w:val="2"/>
          </w:tcPr>
          <w:p>
            <w:pPr>
              <w:spacing w:after="0"/>
              <w:rPr>
                <w:sz w:val="17"/>
                <w:szCs w:val="17"/>
                <w:color w:val="auto"/>
              </w:rPr>
            </w:pPr>
          </w:p>
        </w:tc>
        <w:tc>
          <w:tcPr>
            <w:tcW w:w="3460" w:type="dxa"/>
            <w:vAlign w:val="bottom"/>
            <w:gridSpan w:val="4"/>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Consolidated Statements of Cash Flows</w:t>
              </w:r>
            </w:hyperlink>
          </w:p>
        </w:tc>
        <w:tc>
          <w:tcPr>
            <w:tcW w:w="4320" w:type="dxa"/>
            <w:vAlign w:val="bottom"/>
            <w:gridSpan w:val="8"/>
          </w:tcPr>
          <w:p>
            <w:pPr>
              <w:spacing w:after="0"/>
              <w:rPr>
                <w:sz w:val="17"/>
                <w:szCs w:val="17"/>
                <w:color w:val="auto"/>
              </w:rPr>
            </w:pPr>
          </w:p>
        </w:tc>
        <w:tc>
          <w:tcPr>
            <w:tcW w:w="200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Three Months ended April 1, 2017 and April 2, 2016</w:t>
              </w:r>
            </w:hyperlink>
          </w:p>
        </w:tc>
        <w:tc>
          <w:tcPr>
            <w:tcW w:w="4040" w:type="dxa"/>
            <w:vAlign w:val="bottom"/>
            <w:gridSpan w:val="6"/>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Notes to Unaudited Condensed Consolidated Financial Statements</w:t>
              </w:r>
            </w:hyperlink>
          </w:p>
        </w:tc>
        <w:tc>
          <w:tcPr>
            <w:tcW w:w="3240" w:type="dxa"/>
            <w:vAlign w:val="bottom"/>
            <w:gridSpan w:val="2"/>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Item 2.</w:t>
              </w:r>
            </w:hyperlink>
          </w:p>
        </w:tc>
        <w:tc>
          <w:tcPr>
            <w:tcW w:w="480" w:type="dxa"/>
            <w:vAlign w:val="bottom"/>
            <w:gridSpan w:val="4"/>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5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2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Non-GAAP Financial Measures</w:t>
              </w:r>
            </w:hyperlink>
          </w:p>
        </w:tc>
        <w:tc>
          <w:tcPr>
            <w:tcW w:w="17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0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Overview and Outlook</w:t>
              </w:r>
            </w:hyperlink>
          </w:p>
        </w:tc>
        <w:tc>
          <w:tcPr>
            <w:tcW w:w="5740" w:type="dxa"/>
            <w:vAlign w:val="bottom"/>
            <w:gridSpan w:val="10"/>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Analysis of Results of Operations for the First Quarter</w:t>
              </w:r>
            </w:hyperlink>
          </w:p>
        </w:tc>
        <w:tc>
          <w:tcPr>
            <w:tcW w:w="4120" w:type="dxa"/>
            <w:vAlign w:val="bottom"/>
            <w:gridSpan w:val="7"/>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19"/>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Results of Operations by Reportable Segment for the First Quarter</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17">
              <w:r>
                <w:rPr>
                  <w:rFonts w:ascii="Times New Roman" w:cs="Times New Roman" w:eastAsia="Times New Roman" w:hAnsi="Times New Roman"/>
                  <w:sz w:val="18"/>
                  <w:szCs w:val="18"/>
                  <w:color w:val="0000EE"/>
                  <w:w w:val="98"/>
                </w:rPr>
                <w:t>Financial Condition</w:t>
              </w:r>
            </w:hyperlink>
          </w:p>
        </w:tc>
        <w:tc>
          <w:tcPr>
            <w:tcW w:w="3340" w:type="dxa"/>
            <w:vAlign w:val="bottom"/>
            <w:tcBorders>
              <w:top w:val="single" w:sz="8" w:color="0000EE"/>
            </w:tcBorders>
            <w:gridSpan w:val="10"/>
          </w:tcPr>
          <w:p>
            <w:pPr>
              <w:spacing w:after="0"/>
              <w:rPr>
                <w:sz w:val="17"/>
                <w:szCs w:val="17"/>
                <w:color w:val="auto"/>
              </w:rPr>
            </w:pPr>
          </w:p>
        </w:tc>
        <w:tc>
          <w:tcPr>
            <w:tcW w:w="3260" w:type="dxa"/>
            <w:vAlign w:val="bottom"/>
            <w:gridSpan w:val="3"/>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gridSpan w:val="19"/>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Recent Accounting Requirements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3.</w:t>
              </w:r>
            </w:hyperlink>
          </w:p>
        </w:tc>
        <w:tc>
          <w:tcPr>
            <w:tcW w:w="480" w:type="dxa"/>
            <w:vAlign w:val="bottom"/>
            <w:gridSpan w:val="4"/>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tcBorders>
              <w:left w:val="single" w:sz="8" w:color="0000EE"/>
            </w:tcBorders>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Item 4.</w:t>
              </w:r>
            </w:hyperlink>
          </w:p>
        </w:tc>
        <w:tc>
          <w:tcPr>
            <w:tcW w:w="480" w:type="dxa"/>
            <w:vAlign w:val="bottom"/>
            <w:gridSpan w:val="4"/>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12"/>
          </w:tcPr>
          <w:p>
            <w:pPr>
              <w:spacing w:after="0"/>
              <w:rPr>
                <w:rFonts w:ascii="Times New Roman" w:cs="Times New Roman" w:eastAsia="Times New Roman" w:hAnsi="Times New Roman"/>
                <w:sz w:val="18"/>
                <w:szCs w:val="18"/>
                <w:b w:val="1"/>
                <w:bCs w:val="1"/>
                <w:color w:val="0000EE"/>
                <w:w w:val="98"/>
              </w:rPr>
            </w:pPr>
            <w:hyperlink w:anchor="page21">
              <w:r>
                <w:rPr>
                  <w:rFonts w:ascii="Times New Roman" w:cs="Times New Roman" w:eastAsia="Times New Roman" w:hAnsi="Times New Roman"/>
                  <w:sz w:val="18"/>
                  <w:szCs w:val="18"/>
                  <w:b w:val="1"/>
                  <w:bCs w:val="1"/>
                  <w:color w:val="0000EE"/>
                  <w:w w:val="98"/>
                </w:rPr>
                <w:t>PART II. OTHER INFORMATION</w:t>
              </w:r>
            </w:hyperlink>
          </w:p>
        </w:tc>
        <w:tc>
          <w:tcPr>
            <w:tcW w:w="6680" w:type="dxa"/>
            <w:vAlign w:val="bottom"/>
            <w:gridSpan w:val="14"/>
          </w:tcPr>
          <w:p>
            <w:pPr>
              <w:spacing w:after="0"/>
              <w:rPr>
                <w:sz w:val="24"/>
                <w:szCs w:val="24"/>
                <w:color w:val="auto"/>
              </w:rPr>
            </w:pPr>
          </w:p>
        </w:tc>
        <w:tc>
          <w:tcPr>
            <w:tcW w:w="2000" w:type="dxa"/>
            <w:vAlign w:val="bottom"/>
          </w:tcPr>
          <w:p>
            <w:pPr>
              <w:spacing w:after="0"/>
              <w:rPr>
                <w:sz w:val="24"/>
                <w:szCs w:val="24"/>
                <w:color w:val="auto"/>
              </w:rPr>
            </w:pPr>
          </w:p>
        </w:tc>
      </w:tr>
      <w:tr>
        <w:trPr>
          <w:trHeight w:val="412"/>
        </w:trPr>
        <w:tc>
          <w:tcPr>
            <w:tcW w:w="540" w:type="dxa"/>
            <w:vAlign w:val="bottom"/>
            <w:gridSpan w:val="2"/>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1.</w:t>
              </w:r>
            </w:hyperlink>
          </w:p>
        </w:tc>
        <w:tc>
          <w:tcPr>
            <w:tcW w:w="460" w:type="dxa"/>
            <w:vAlign w:val="bottom"/>
            <w:gridSpan w:val="3"/>
          </w:tcPr>
          <w:p>
            <w:pPr>
              <w:spacing w:after="0"/>
              <w:rPr>
                <w:sz w:val="24"/>
                <w:szCs w:val="24"/>
                <w:color w:val="auto"/>
              </w:rPr>
            </w:pPr>
          </w:p>
        </w:tc>
        <w:tc>
          <w:tcPr>
            <w:tcW w:w="8460" w:type="dxa"/>
            <w:vAlign w:val="bottom"/>
            <w:gridSpan w:val="21"/>
          </w:tcPr>
          <w:p>
            <w:pPr>
              <w:ind w:left="240"/>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Legal Proceedings</w:t>
              </w:r>
            </w:hyperlink>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1A.</w:t>
              </w:r>
            </w:hyperlink>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2.</w:t>
              </w:r>
            </w:hyperlink>
          </w:p>
        </w:tc>
        <w:tc>
          <w:tcPr>
            <w:tcW w:w="120" w:type="dxa"/>
            <w:vAlign w:val="bottom"/>
            <w:gridSpan w:val="2"/>
          </w:tcPr>
          <w:p>
            <w:pPr>
              <w:spacing w:after="0"/>
              <w:rPr>
                <w:sz w:val="17"/>
                <w:szCs w:val="17"/>
                <w:color w:val="auto"/>
              </w:rPr>
            </w:pPr>
          </w:p>
        </w:tc>
        <w:tc>
          <w:tcPr>
            <w:tcW w:w="360" w:type="dxa"/>
            <w:vAlign w:val="bottom"/>
            <w:gridSpan w:val="2"/>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Unregistered Sales of Equity Securities and Use of Proceeds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6"/>
            <w:shd w:val="clear" w:color="auto" w:fill="0000EE"/>
          </w:tcPr>
          <w:p>
            <w:pPr>
              <w:spacing w:after="0" w:line="20" w:lineRule="exact"/>
              <w:rPr>
                <w:sz w:val="1"/>
                <w:szCs w:val="1"/>
                <w:color w:val="auto"/>
              </w:rPr>
            </w:pPr>
          </w:p>
        </w:tc>
        <w:tc>
          <w:tcPr>
            <w:tcW w:w="3880" w:type="dxa"/>
            <w:vAlign w:val="bottom"/>
            <w:gridSpan w:val="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3.</w:t>
              </w:r>
            </w:hyperlink>
          </w:p>
        </w:tc>
        <w:tc>
          <w:tcPr>
            <w:tcW w:w="480" w:type="dxa"/>
            <w:vAlign w:val="bottom"/>
            <w:gridSpan w:val="4"/>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Defaults Upon Senior Securities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5900" w:type="dxa"/>
            <w:vAlign w:val="bottom"/>
            <w:gridSpan w:val="11"/>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4.</w:t>
              </w:r>
            </w:hyperlink>
          </w:p>
        </w:tc>
        <w:tc>
          <w:tcPr>
            <w:tcW w:w="480" w:type="dxa"/>
            <w:vAlign w:val="bottom"/>
            <w:gridSpan w:val="4"/>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Mine Safety Disclosures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rFonts w:ascii="Times New Roman" w:cs="Times New Roman" w:eastAsia="Times New Roman" w:hAnsi="Times New Roman"/>
                <w:sz w:val="18"/>
                <w:szCs w:val="18"/>
                <w:color w:val="0000EE"/>
                <w:w w:val="97"/>
              </w:rPr>
            </w:pPr>
            <w:hyperlink w:anchor="page22">
              <w:r>
                <w:rPr>
                  <w:rFonts w:ascii="Times New Roman" w:cs="Times New Roman" w:eastAsia="Times New Roman" w:hAnsi="Times New Roman"/>
                  <w:sz w:val="18"/>
                  <w:szCs w:val="18"/>
                  <w:color w:val="0000EE"/>
                  <w:w w:val="97"/>
                </w:rPr>
                <w:t>Item 5.</w:t>
              </w:r>
            </w:hyperlink>
          </w:p>
        </w:tc>
        <w:tc>
          <w:tcPr>
            <w:tcW w:w="2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Other Information</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900" w:type="dxa"/>
            <w:vAlign w:val="bottom"/>
            <w:gridSpan w:val="15"/>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540" w:type="dxa"/>
            <w:vAlign w:val="bottom"/>
            <w:gridSpan w:val="2"/>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6.</w:t>
              </w:r>
            </w:hyperlink>
          </w:p>
        </w:tc>
        <w:tc>
          <w:tcPr>
            <w:tcW w:w="460" w:type="dxa"/>
            <w:vAlign w:val="bottom"/>
            <w:gridSpan w:val="3"/>
          </w:tcPr>
          <w:p>
            <w:pPr>
              <w:spacing w:after="0"/>
              <w:rPr>
                <w:sz w:val="17"/>
                <w:szCs w:val="17"/>
                <w:color w:val="auto"/>
              </w:rPr>
            </w:pPr>
          </w:p>
        </w:tc>
        <w:tc>
          <w:tcPr>
            <w:tcW w:w="8460" w:type="dxa"/>
            <w:vAlign w:val="bottom"/>
            <w:gridSpan w:val="21"/>
          </w:tcPr>
          <w:p>
            <w:pPr>
              <w:ind w:left="240"/>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Exhibits</w:t>
              </w:r>
            </w:hyperlink>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Signatures</w:t>
              </w:r>
            </w:hyperlink>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37"/>
        </w:trPr>
        <w:tc>
          <w:tcPr>
            <w:tcW w:w="7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Exhibits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48"/>
        </w:trPr>
        <w:tc>
          <w:tcPr>
            <w:tcW w:w="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8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The matters discussed in this Quarterly Report contain “forward-looking statements” within the meaning of the Private Securities Litigation Reform Act of 1995. These statements, which are not statements of historical fact, contain estimates, assumptions, projections and/or expectations regarding future events, which may or may not occur. Words such as “aim,” “anticipate,” “assume,” “believe,” “continue,” “could,” “estimate,” “expect,” “foresee,” “guidance,” “intend,” “may,” “might,” “objective,” “plan,” “potential,” “project,” “seek,” “shall,” “should,” “target,” “will,” “would,” or variations thereof, and other expressions that refer to future events and trends, identify forward-looking statements. These forward-looking statements, and financial or other business targets, are subject to certain risks and uncertainties, which could cause our actual results to differ materially from the expected results, performance or achievements expressed or implied by such forward-looking statements.</w:t>
      </w:r>
    </w:p>
    <w:p>
      <w:pPr>
        <w:spacing w:after="0" w:line="189"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color w:val="auto"/>
        </w:rPr>
        <w:t>Certain risks and uncertainties are discussed in more detail under “Risk Factors” and “Management’s Discussion and Analysis of Financial Condition and Results of Operations” in our Annual Report on Form 10-K for the fiscal year ended December 31, 2016 and include, but are not limited to, risks and uncertainties relating to the following: fluctuations in demand affecting sales to customers; worldwide and local economic conditions; changes in political conditions; changes in governmental laws and regulations; fluctuations in currency exchange rates and other risks associated with foreign operations, including in emerging markets; the financial condition and inventory strategies of customers; changes in customer preferences; fluctuations in cost and availability of raw materials; our ability to generate sustained productivity improvement; our ability to achieve and sustain targeted cost reductions; the impact of competitive products and pricing; loss of significant contracts or customers; collection of receivables from customers; selling prices; business mix shift; execution and integration of acquisitions and completion of potential dispositions; timely development and market acceptance of new products, including sustainable or sustainably-sourced products; investment in development activities and new production facilities; amounts of future dividends and share repurchases; customer and supplier concentrations; successful implementation of new manufacturing technologies and installation of manufacturing equipment; disruptions in information technology systems, including cyber-attacks or other intrusions to network security; successful installation of new or upgraded information technology systems; data security breaches; volatility of financial markets; impairment of capitalized assets, including goodwill and other intangibles; credit risks; our ability to obtain adequate financing arrangements and maintain access to capital; fluctuations in interest and tax rates; changes in tax laws and regulations, and uncertainties associated with interpretations of such laws and regulations; outcome of tax audits; fluctuations in pension, insurance, and employee benefit costs; the impact of legal and regulatory proceedings, including with respect to environmental, health and safety; protection and infringement of intellectual property; the impact of epidemiological events on the economy and our customers and suppliers; acts of war, terrorism, and natural disasters; and other factors.</w:t>
      </w:r>
    </w:p>
    <w:p>
      <w:pPr>
        <w:spacing w:after="0" w:line="195"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believe that the most significant risk factors that could affect our financial performance in the near-term include: (1) the impacts of global economic conditions and political uncertainty on underlying demand for our products and foreign currency fluctuations; (2) competitors’ actions, including pricing, expansion in key markets, and product offerings; (3) the degree to which higher costs can be offset with productivity measures and/or passed on to customers through selling price increases, without a significant loss of volume; and (4) the execution and integration of acquisitions.</w:t>
      </w:r>
    </w:p>
    <w:p>
      <w:pPr>
        <w:spacing w:after="0" w:line="180"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Our forward-looking statements are made only as of the date hereof. We assume no duty to update these forward-looking statements to reflect new, changed or unanticipated events or circumstances, other than as may be required by law.</w:t>
      </w:r>
    </w:p>
    <w:p>
      <w:pPr>
        <w:spacing w:after="0" w:line="162"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ectPr>
          <w:pgSz w:w="11900" w:h="16838" w:orient="portrait"/>
          <w:cols w:equalWidth="0" w:num="1">
            <w:col w:w="11460"/>
          </w:cols>
          <w:pgMar w:left="240" w:top="108" w:right="199" w:bottom="0" w:gutter="0" w:footer="0" w:header="0"/>
        </w:sectPr>
      </w:pPr>
    </w:p>
    <w:bookmarkStart w:id="2" w:name="page3"/>
    <w:bookmarkEnd w:id="2"/>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w:t>
            </w:r>
          </w:p>
        </w:tc>
        <w:tc>
          <w:tcPr>
            <w:tcW w:w="20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294.9</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Trade accounts receivable, less allowances of $51.9 and $47.8 at April 1, 2017 and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90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1,099.5</w:t>
            </w:r>
          </w:p>
        </w:tc>
        <w:tc>
          <w:tcPr>
            <w:tcW w:w="9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579.9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Assets held for sale</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2,184.6</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2,736.2</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(1,795.9)</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940.3</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826.4</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intangibles resulting from business acquisitions, net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83.4</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deferred income taxes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317.8</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413.4</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4,765.9</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333.2</w:t>
            </w: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906.1</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168.2</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351.8</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1,759.3</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and capital leases</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1,250.2</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retirement benefits and other liabilities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649.9</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deferred and payable income taxes</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91.9</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(see Note 15)</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$1 par value per share, authorized – 400,000,000 shares at April 1, 2017 and</w:t>
            </w: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2016; issued – 124,126,624 shares at April 1, 2017 and December 31, 2016;</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 88,714,837 shares and 88,308,860 shares at April 1, 2017 and December 31,</w:t>
            </w: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2016, respectively</w:t>
            </w:r>
          </w:p>
        </w:tc>
        <w:tc>
          <w:tcPr>
            <w:tcW w:w="90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124.1</w:t>
            </w:r>
          </w:p>
        </w:tc>
        <w:tc>
          <w:tcPr>
            <w:tcW w:w="9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839.2</w:t>
            </w:r>
          </w:p>
        </w:tc>
        <w:tc>
          <w:tcPr>
            <w:tcW w:w="9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90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2,537.9</w:t>
            </w:r>
          </w:p>
        </w:tc>
        <w:tc>
          <w:tcPr>
            <w:tcW w:w="9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2,473.3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4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Treasury stock at cost, 35,411,787 shares and 35,817,764 shares at April 1, 2017 and</w:t>
            </w:r>
          </w:p>
        </w:tc>
        <w:tc>
          <w:tcPr>
            <w:tcW w:w="9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9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(1,774.1)</w:t>
            </w:r>
          </w:p>
        </w:tc>
        <w:tc>
          <w:tcPr>
            <w:tcW w:w="9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(712.5)</w:t>
            </w:r>
          </w:p>
        </w:tc>
        <w:tc>
          <w:tcPr>
            <w:tcW w:w="9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4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9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1,014.6</w:t>
            </w:r>
          </w:p>
        </w:tc>
        <w:tc>
          <w:tcPr>
            <w:tcW w:w="9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925.5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4,765.9</w:t>
            </w: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4,396.4</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2380" w:type="dxa"/>
            <w:vAlign w:val="bottom"/>
            <w:tcBorders>
              <w:top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66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1,572.1</w:t>
            </w:r>
          </w:p>
        </w:tc>
        <w:tc>
          <w:tcPr>
            <w:tcW w:w="8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1,129.7</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442.4</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1120" w:type="dxa"/>
            <w:vAlign w:val="bottom"/>
          </w:tcPr>
          <w:p>
            <w:pPr>
              <w:spacing w:after="0"/>
              <w:rPr>
                <w:sz w:val="18"/>
                <w:szCs w:val="18"/>
                <w:color w:val="auto"/>
              </w:rPr>
            </w:pPr>
          </w:p>
        </w:tc>
        <w:tc>
          <w:tcPr>
            <w:tcW w:w="12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283.3</w:t>
            </w:r>
          </w:p>
        </w:tc>
        <w:tc>
          <w:tcPr>
            <w:tcW w:w="8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16.7</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6.5</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before taxes</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135.9</w:t>
            </w: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23.7</w:t>
            </w: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112.2</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amounts:</w:t>
            </w:r>
          </w:p>
        </w:tc>
        <w:tc>
          <w:tcPr>
            <w:tcW w:w="1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1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1.27</w:t>
            </w:r>
          </w:p>
        </w:tc>
        <w:tc>
          <w:tcPr>
            <w:tcW w:w="8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11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1.25</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bl>
    <w:p>
      <w:pPr>
        <w:sectPr>
          <w:pgSz w:w="11900" w:h="16900" w:orient="portrait"/>
          <w:cols w:equalWidth="0" w:num="1">
            <w:col w:w="11420"/>
          </w:cols>
          <w:pgMar w:left="240" w:top="117"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Dividends per common share</w:t>
            </w:r>
          </w:p>
        </w:tc>
        <w:tc>
          <w:tcPr>
            <w:tcW w:w="27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.41</w:t>
            </w:r>
          </w:p>
        </w:tc>
        <w:tc>
          <w:tcPr>
            <w:tcW w:w="9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w:t>
            </w:r>
          </w:p>
        </w:tc>
        <w:tc>
          <w:tcPr>
            <w:tcW w:w="27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shares</w:t>
            </w:r>
          </w:p>
        </w:tc>
        <w:tc>
          <w:tcPr>
            <w:tcW w:w="27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88.4</w:t>
            </w: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Common shares, assuming dilution</w:t>
            </w:r>
          </w:p>
        </w:tc>
        <w:tc>
          <w:tcPr>
            <w:tcW w:w="27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90.0</w:t>
            </w:r>
          </w:p>
        </w:tc>
        <w:tc>
          <w:tcPr>
            <w:tcW w:w="9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ind w:right="47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10"/>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900" w:type="dxa"/>
            <w:vAlign w:val="bottom"/>
            <w:tcBorders>
              <w:bottom w:val="single" w:sz="8" w:color="auto"/>
            </w:tcBorders>
            <w:gridSpan w:val="2"/>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1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112.2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35.5</w:t>
            </w: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100" w:type="dxa"/>
            <w:vAlign w:val="bottom"/>
          </w:tcPr>
          <w:p>
            <w:pPr>
              <w:spacing w:after="0"/>
              <w:rPr>
                <w:sz w:val="18"/>
                <w:szCs w:val="18"/>
                <w:color w:val="auto"/>
              </w:rPr>
            </w:pPr>
          </w:p>
        </w:tc>
        <w:tc>
          <w:tcPr>
            <w:tcW w:w="18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3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flow hedges</w:t>
            </w:r>
          </w:p>
        </w:tc>
        <w:tc>
          <w:tcPr>
            <w:tcW w:w="11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0"/>
        </w:trPr>
        <w:tc>
          <w:tcPr>
            <w:tcW w:w="7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1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39.4</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r>
      <w:tr>
        <w:trPr>
          <w:trHeight w:val="217"/>
        </w:trPr>
        <w:tc>
          <w:tcPr>
            <w:tcW w:w="7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151.6</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Unaudited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88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8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112.2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18"/>
                <w:szCs w:val="18"/>
                <w:color w:val="auto"/>
              </w:rPr>
            </w:pPr>
          </w:p>
        </w:tc>
        <w:tc>
          <w:tcPr>
            <w:tcW w:w="18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28.8</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1080" w:type="dxa"/>
            <w:vAlign w:val="bottom"/>
          </w:tcPr>
          <w:p>
            <w:pPr>
              <w:spacing w:after="0"/>
              <w:rPr>
                <w:sz w:val="18"/>
                <w:szCs w:val="18"/>
                <w:color w:val="auto"/>
              </w:rPr>
            </w:pPr>
          </w:p>
        </w:tc>
        <w:tc>
          <w:tcPr>
            <w:tcW w:w="18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spacing w:after="0"/>
              <w:rPr>
                <w:sz w:val="18"/>
                <w:szCs w:val="18"/>
                <w:color w:val="auto"/>
              </w:rPr>
            </w:pPr>
          </w:p>
        </w:tc>
        <w:tc>
          <w:tcPr>
            <w:tcW w:w="18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5.6</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10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(174.5)</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80" w:type="dxa"/>
            <w:vAlign w:val="bottom"/>
          </w:tcPr>
          <w:p>
            <w:pPr>
              <w:spacing w:after="0"/>
              <w:rPr>
                <w:sz w:val="18"/>
                <w:szCs w:val="18"/>
                <w:color w:val="auto"/>
              </w:rPr>
            </w:pP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(30.3)</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(6.9)</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1080" w:type="dxa"/>
            <w:vAlign w:val="bottom"/>
          </w:tcPr>
          <w:p>
            <w:pPr>
              <w:spacing w:after="0"/>
              <w:rPr>
                <w:sz w:val="18"/>
                <w:szCs w:val="18"/>
                <w:color w:val="auto"/>
              </w:rPr>
            </w:pPr>
          </w:p>
        </w:tc>
        <w:tc>
          <w:tcPr>
            <w:tcW w:w="18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10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(74.6)</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(112.0)</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1080" w:type="dxa"/>
            <w:vAlign w:val="bottom"/>
          </w:tcPr>
          <w:p>
            <w:pPr>
              <w:spacing w:after="0"/>
              <w:rPr>
                <w:sz w:val="18"/>
                <w:szCs w:val="18"/>
                <w:color w:val="auto"/>
              </w:rPr>
            </w:pP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(256.8)</w:t>
            </w:r>
          </w:p>
        </w:tc>
        <w:tc>
          <w:tcPr>
            <w:tcW w:w="3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526.7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1080" w:type="dxa"/>
            <w:vAlign w:val="bottom"/>
          </w:tcPr>
          <w:p>
            <w:pPr>
              <w:spacing w:after="0"/>
              <w:rPr>
                <w:sz w:val="18"/>
                <w:szCs w:val="18"/>
                <w:color w:val="auto"/>
              </w:rPr>
            </w:pP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(.8)</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(36.4)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080" w:type="dxa"/>
            <w:vAlign w:val="bottom"/>
          </w:tcPr>
          <w:p>
            <w:pPr>
              <w:spacing w:after="0"/>
              <w:rPr>
                <w:sz w:val="18"/>
                <w:szCs w:val="18"/>
                <w:color w:val="auto"/>
              </w:rPr>
            </w:pP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(34.6)</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1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16.4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10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194.7</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balances</w:t>
            </w:r>
          </w:p>
        </w:tc>
        <w:tc>
          <w:tcPr>
            <w:tcW w:w="10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20" w:right="239" w:bottom="0" w:gutter="0" w:footer="0" w:header="0"/>
        </w:sectPr>
      </w:pPr>
    </w:p>
    <w:p>
      <w:pPr>
        <w:spacing w:after="0"/>
        <w:tabs>
          <w:tab w:leader="none" w:pos="8880" w:val="left"/>
          <w:tab w:leader="none" w:pos="10980" w:val="left"/>
        </w:tabs>
        <w:rPr>
          <w:sz w:val="20"/>
          <w:szCs w:val="20"/>
          <w:color w:val="auto"/>
        </w:rPr>
      </w:pPr>
      <w:r>
        <w:rPr>
          <w:rFonts w:ascii="Times New Roman" w:cs="Times New Roman" w:eastAsia="Times New Roman" w:hAnsi="Times New Roman"/>
          <w:sz w:val="18"/>
          <w:szCs w:val="18"/>
          <w:color w:val="auto"/>
        </w:rPr>
        <w:t>Increase in cash and cash equivalents</w:t>
      </w:r>
      <w:r>
        <w:rPr>
          <w:sz w:val="20"/>
          <w:szCs w:val="20"/>
          <w:color w:val="auto"/>
        </w:rPr>
        <w:tab/>
      </w:r>
      <w:r>
        <w:rPr>
          <w:rFonts w:ascii="Times New Roman" w:cs="Times New Roman" w:eastAsia="Times New Roman" w:hAnsi="Times New Roman"/>
          <w:sz w:val="18"/>
          <w:szCs w:val="18"/>
          <w:color w:val="auto"/>
        </w:rPr>
        <w:t>99.8</w:t>
      </w:r>
      <w:r>
        <w:rPr>
          <w:sz w:val="20"/>
          <w:szCs w:val="20"/>
          <w:color w:val="auto"/>
        </w:rPr>
        <w:tab/>
      </w: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7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8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195.1</w:t>
            </w:r>
          </w:p>
        </w:tc>
        <w:tc>
          <w:tcPr>
            <w:tcW w:w="9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158.8</w:t>
            </w:r>
          </w:p>
        </w:tc>
      </w:tr>
      <w:tr>
        <w:trPr>
          <w:trHeight w:val="217"/>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294.9</w:t>
            </w:r>
          </w:p>
        </w:tc>
        <w:tc>
          <w:tcPr>
            <w:tcW w:w="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notes in this Quarterly Report on Form 10-Q are presented as permitted by Article 10 of Regulation S-X and do not contain certain information included in the audited Consolidated Financial Statements and notes thereto in our 2016 Annual Report on Form 10-K, which should be read in conjunction with this Quarterly Report on Form 10-Q. The accompanying unaudited Condensed Consolidated Financial Statements include normal recurring adjustments necessary for a fair statement of our interim results. Interim results of operations are not necessarily indicative of future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Periods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quarters of 2017 and 2016 consisted of thirteen-week periods ending April 1, 2017 and April 2, 2016,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Guidance Update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first quarter of 2017, we adopted an accounting guidance update that simplifies several aspects of the accounting for stock-based payment transactions. As a result of adopting this update, beginning in the first quarter of 2017, (i) the tax effects related to stock-based payments at settlement or expiration were recognized through the income statement, a change from the previous requirement that certain tax effects be recognized in capital in excess of par value, and, as required by this guidance, this change has been applied prospectively, and (ii) all tax-related cash flows resulting from stock-based payments were reported as operating activities on the statements of cash flows, a change from the previous requirement to present excess tax benefits as an inflow from financing activities and an outflow from operating activities, and, as permitted by this guidance, prior periods have not been retrospectively adjusted. Refer to Note 8, “Long-Term Incentive Compensation,” and Note 11, “Taxes Based on Income,” for further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 2017, we completed the net asset acquisition of Hanita Coatings Rural Cooperative Association Limited and stock acquisition of certain of its subsidiaries (“Hanita”), a pressure-sensitive manufacturer of specialty films and laminates based in Israel, from Kibbutz Hanita Coatings and Tene Investment Funds. Hanita develops and manufactures coated, laminated and metallized polyester films for a range of industrial and commercial applications, which we expect to expand our product portfolio and provide new growth opportunities. The total consideration for this acquisition was approximately $75 million, net of cash acquired, which we funded through cash and existing credit facilities. The consideration is subject to customary post-closing adjustments. Consistent with the allowable time to complete our assessment, the valuations of certain acquired assets and liabilities, including intangible assets and income taxes, are currently pending. This acquisition was not material to our unaudited Condensed Consolidated Financial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2017, we announced our agreement to acquire Yongle Tape Company Ltd. (“Yongle Tape”), a manufacturer of specialty tapes and related products used in a variety of industrial markets based in China, from Yongle Tape’s management and ShawKwei &amp; Partners. The purchase price is $190 million, which is subject to customary adjustments, with an additional earn-out opportunity of up to $55 million to be paid based on the acquired business’ achievement of certain performance targets over the next two years. We expect to complete this acquisition in mid-2017.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Inventories</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inventories consisted of:</w:t>
            </w:r>
          </w:p>
        </w:tc>
        <w:tc>
          <w:tcPr>
            <w:tcW w:w="3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4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8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4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209.2</w:t>
            </w:r>
          </w:p>
        </w:tc>
        <w:tc>
          <w:tcPr>
            <w:tcW w:w="10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3420" w:type="dxa"/>
            <w:vAlign w:val="bottom"/>
          </w:tcPr>
          <w:p>
            <w:pPr>
              <w:spacing w:after="0"/>
              <w:rPr>
                <w:sz w:val="18"/>
                <w:szCs w:val="18"/>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172.2</w:t>
            </w:r>
          </w:p>
        </w:tc>
        <w:tc>
          <w:tcPr>
            <w:tcW w:w="10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r>
      <w:tr>
        <w:trPr>
          <w:trHeight w:val="216"/>
        </w:trPr>
        <w:tc>
          <w:tcPr>
            <w:tcW w:w="5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4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198.5</w:t>
            </w:r>
          </w:p>
        </w:tc>
        <w:tc>
          <w:tcPr>
            <w:tcW w:w="10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177.3</w:t>
            </w:r>
          </w:p>
        </w:tc>
      </w:tr>
      <w:tr>
        <w:trPr>
          <w:trHeight w:val="217"/>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3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579.9</w:t>
            </w: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519.1</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Intangibles Resulting from Business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net carrying amount of goodwill for the three months ended April 1, 2017, by reportable segment,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3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Label and</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Retail Branding</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Industrial and</w:t>
            </w:r>
          </w:p>
        </w:tc>
        <w:tc>
          <w:tcPr>
            <w:tcW w:w="1020" w:type="dxa"/>
            <w:vAlign w:val="bottom"/>
          </w:tcPr>
          <w:p>
            <w:pPr>
              <w:spacing w:after="0"/>
              <w:rPr>
                <w:sz w:val="18"/>
                <w:szCs w:val="18"/>
                <w:color w:val="auto"/>
              </w:rPr>
            </w:pPr>
          </w:p>
        </w:tc>
      </w:tr>
      <w:tr>
        <w:trPr>
          <w:trHeight w:val="216"/>
        </w:trPr>
        <w:tc>
          <w:tcPr>
            <w:tcW w:w="3060" w:type="dxa"/>
            <w:vAlign w:val="bottom"/>
          </w:tcPr>
          <w:p>
            <w:pPr>
              <w:spacing w:after="0"/>
              <w:rPr>
                <w:sz w:val="18"/>
                <w:szCs w:val="18"/>
                <w:color w:val="auto"/>
              </w:rPr>
            </w:pPr>
          </w:p>
        </w:tc>
        <w:tc>
          <w:tcPr>
            <w:tcW w:w="3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Graphic</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and Information</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020" w:type="dxa"/>
            <w:vAlign w:val="bottom"/>
          </w:tcPr>
          <w:p>
            <w:pPr>
              <w:spacing w:after="0"/>
              <w:rPr>
                <w:sz w:val="18"/>
                <w:szCs w:val="18"/>
                <w:color w:val="auto"/>
              </w:rPr>
            </w:pPr>
          </w:p>
        </w:tc>
      </w:tr>
      <w:tr>
        <w:trPr>
          <w:trHeight w:val="254"/>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3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1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Materials</w:t>
            </w:r>
          </w:p>
        </w:tc>
        <w:tc>
          <w:tcPr>
            <w:tcW w:w="10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sectPr>
      </w:pPr>
    </w:p>
    <w:p>
      <w:pPr>
        <w:spacing w:after="0"/>
        <w:tabs>
          <w:tab w:leader="none" w:pos="5320" w:val="left"/>
          <w:tab w:leader="none" w:pos="5720" w:val="left"/>
          <w:tab w:leader="none" w:pos="6980" w:val="left"/>
          <w:tab w:leader="none" w:pos="7600" w:val="left"/>
          <w:tab w:leader="none" w:pos="8660" w:val="left"/>
          <w:tab w:leader="none" w:pos="9320" w:val="left"/>
          <w:tab w:leader="none" w:pos="10400" w:val="left"/>
          <w:tab w:leader="none" w:pos="10880" w:val="left"/>
        </w:tabs>
        <w:rPr>
          <w:sz w:val="20"/>
          <w:szCs w:val="20"/>
          <w:color w:val="auto"/>
        </w:rPr>
      </w:pPr>
      <w:r>
        <w:rPr>
          <w:rFonts w:ascii="Times New Roman" w:cs="Times New Roman" w:eastAsia="Times New Roman" w:hAnsi="Times New Roman"/>
          <w:sz w:val="18"/>
          <w:szCs w:val="18"/>
          <w:color w:val="auto"/>
        </w:rPr>
        <w:t>Goodwill as of December 31, 2016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373.3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353.9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66.4</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793.6</w:t>
      </w:r>
    </w:p>
    <w:p>
      <w:pPr>
        <w:sectPr>
          <w:pgSz w:w="11900" w:h="16838" w:orient="portrait"/>
          <w:cols w:equalWidth="0" w:num="1">
            <w:col w:w="11420"/>
          </w:cols>
          <w:pgMar w:left="240" w:top="140" w:right="239" w:bottom="0" w:gutter="0" w:footer="0" w:header="0"/>
          <w:type w:val="continuous"/>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Acquired during the current period</w:t>
            </w:r>
            <w:r>
              <w:rPr>
                <w:rFonts w:ascii="Times New Roman" w:cs="Times New Roman" w:eastAsia="Times New Roman" w:hAnsi="Times New Roman"/>
                <w:sz w:val="23"/>
                <w:szCs w:val="23"/>
                <w:color w:val="auto"/>
                <w:vertAlign w:val="superscript"/>
              </w:rPr>
              <w:t>(1)</w:t>
            </w:r>
          </w:p>
        </w:tc>
        <w:tc>
          <w:tcPr>
            <w:tcW w:w="1600" w:type="dxa"/>
            <w:vAlign w:val="bottom"/>
          </w:tcPr>
          <w:p>
            <w:pPr>
              <w:spacing w:after="0"/>
              <w:rPr>
                <w:sz w:val="22"/>
                <w:szCs w:val="22"/>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w:t>
            </w:r>
          </w:p>
        </w:tc>
        <w:tc>
          <w:tcPr>
            <w:tcW w:w="780" w:type="dxa"/>
            <w:vAlign w:val="bottom"/>
          </w:tcPr>
          <w:p>
            <w:pPr>
              <w:spacing w:after="0"/>
              <w:rPr>
                <w:sz w:val="22"/>
                <w:szCs w:val="22"/>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2"/>
                <w:szCs w:val="22"/>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2"/>
                <w:szCs w:val="22"/>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0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Acquisition adjustments</w:t>
            </w:r>
            <w:r>
              <w:rPr>
                <w:rFonts w:ascii="Times New Roman" w:cs="Times New Roman" w:eastAsia="Times New Roman" w:hAnsi="Times New Roman"/>
                <w:sz w:val="23"/>
                <w:szCs w:val="23"/>
                <w:color w:val="auto"/>
                <w:vertAlign w:val="superscript"/>
              </w:rPr>
              <w:t>(2)</w:t>
            </w:r>
          </w:p>
        </w:tc>
        <w:tc>
          <w:tcPr>
            <w:tcW w:w="16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11.3</w:t>
            </w:r>
          </w:p>
        </w:tc>
        <w:tc>
          <w:tcPr>
            <w:tcW w:w="7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r>
      <w:tr>
        <w:trPr>
          <w:trHeight w:val="217"/>
        </w:trPr>
        <w:tc>
          <w:tcPr>
            <w:tcW w:w="40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as of April 1, 2017</w:t>
            </w:r>
          </w:p>
        </w:tc>
        <w:tc>
          <w:tcPr>
            <w:tcW w:w="16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404.9</w:t>
            </w:r>
          </w:p>
        </w:tc>
        <w:tc>
          <w:tcPr>
            <w:tcW w:w="7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355.1</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66.4</w:t>
            </w:r>
          </w:p>
        </w:tc>
        <w:tc>
          <w:tcPr>
            <w:tcW w:w="6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826.4</w:t>
            </w:r>
          </w:p>
        </w:tc>
      </w:tr>
    </w:tbl>
    <w:p>
      <w:pPr>
        <w:ind w:left="220" w:hanging="212"/>
        <w:spacing w:after="0" w:line="215" w:lineRule="auto"/>
        <w:tabs>
          <w:tab w:leader="none" w:pos="22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Goodwill acquired during the current period primarily related to the Hanita acquisition.</w:t>
      </w:r>
    </w:p>
    <w:p>
      <w:pPr>
        <w:spacing w:after="0" w:line="10" w:lineRule="exact"/>
        <w:rPr>
          <w:rFonts w:ascii="Times New Roman" w:cs="Times New Roman" w:eastAsia="Times New Roman" w:hAnsi="Times New Roman"/>
          <w:sz w:val="23"/>
          <w:szCs w:val="23"/>
          <w:color w:val="auto"/>
          <w:vertAlign w:val="superscript"/>
        </w:rPr>
      </w:pPr>
    </w:p>
    <w:p>
      <w:pPr>
        <w:ind w:left="220" w:hanging="212"/>
        <w:spacing w:after="0" w:line="182" w:lineRule="auto"/>
        <w:tabs>
          <w:tab w:leader="none" w:pos="2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Goodwill adjustments during the current period related to the Mactac acquisition completed in August 2016.</w:t>
      </w:r>
    </w:p>
    <w:p>
      <w:pPr>
        <w:spacing w:after="0" w:line="2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goodwill at April 1, 2017 and December 31, 2016 were net of accumulated impairment losses of $820 million, which were included in our Retail Branding and Information Solutions reportable segment.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Hanita, which we expect to expand our product portfolio and provide new growth opportunities, we recognized goodwill based on our expectation of synergies and other benefits from acquiring the business. We expect the majority of the recognized goodwill to be deductible for income tax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Finite-Lived Intangible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Hanita, we acquired approximately $21 million of identifiable intangible assets, which consist of customer relationships, trade names and trademarks, and patents and other acquired technology. We utilized the income approach to estimate the fair values of the identifiable intangibles acquired from Hanita, using primarily Level 3 inputs. The discount rates we used to value these assets were between 13% and 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preliminary amounts of these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38"/>
        </w:trPr>
        <w:tc>
          <w:tcPr>
            <w:tcW w:w="658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(in millions)</w:t>
            </w:r>
          </w:p>
        </w:tc>
      </w:tr>
      <w:tr>
        <w:trPr>
          <w:trHeight w:val="210"/>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other acquired technology</w:t>
            </w:r>
          </w:p>
        </w:tc>
        <w:tc>
          <w:tcPr>
            <w:tcW w:w="402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Refer to Note 2, “Acquisitions,” 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$526.7 million (€495.6 million), of which approximately $215 million (€200 million) was used to repay commercial paper borrowings that we used to finance a portion of our acquisition of the European business of Mactac in August 2016. We plan to use the remainder for general corporate purposes, including repayment of other indebtedness and other acquisitions. We designated the senior notes as a net investment hedge of our investment in foreign operations. Refer to Note 10, “Financial Instruments,” for more information.</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 of our long-term debt is primarily based on the credit spread above U.S. Treasury or euro government bond securities, as applicable, on notes with similar rates, credit ratings, and remaining maturities. The fair value of short-term borrowings, which include commercial paper issuances and short-term lines of credit, approximates carrying value given the short duration of these obligations. The fair value of our total debt was $1.6 billion at April 1, 2017 and $1.31 billion at December 31, 2016. Fair value amounts were determined based primarily on Level 2 inputs, which are inputs other than quoted prices in active markets that are either directly or indirectly observable.</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April 1, 2017 and December 31, 2016, we were in compliance with our financial covenants.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Pension and Other Postretirement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sponsor a number of defined benefit plans, the accrual of benefits under some of which has been frozen, covering eligible employees in the U.S. and certain other countries. Benefits payable to an employee are based primarily on years of service and the employee’s compensation during the course of his or her employment with us.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also obligated to pay unfunded termination indemnity benefits to certain employees outside of the U.S., which are subject to applicable agreements, laws and regulations. We have not incurred significant costs related to these benefits, and, therefore, no related costs are included in the disclosures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net periodic benefit cost (credit), which are recorded in income, for our defined benefit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Postretirement</w:t>
            </w:r>
          </w:p>
        </w:tc>
        <w:tc>
          <w:tcPr>
            <w:tcW w:w="44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97"/>
              </w:rPr>
              <w:t>Pension Benefits</w:t>
            </w:r>
          </w:p>
        </w:tc>
        <w:tc>
          <w:tcPr>
            <w:tcW w:w="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Health Benefits</w:t>
            </w:r>
          </w:p>
        </w:tc>
        <w:tc>
          <w:tcPr>
            <w:tcW w:w="440" w:type="dxa"/>
            <w:vAlign w:val="bottom"/>
            <w:tcBorders>
              <w:bottom w:val="single" w:sz="8" w:color="auto"/>
            </w:tcBorders>
          </w:tcPr>
          <w:p>
            <w:pPr>
              <w:spacing w:after="0"/>
              <w:rPr>
                <w:sz w:val="20"/>
                <w:szCs w:val="20"/>
                <w:color w:val="auto"/>
              </w:rPr>
            </w:pPr>
          </w:p>
        </w:tc>
      </w:tr>
      <w:tr>
        <w:trPr>
          <w:trHeight w:val="210"/>
        </w:trPr>
        <w:tc>
          <w:tcPr>
            <w:tcW w:w="39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40" w:type="dxa"/>
            <w:vAlign w:val="bottom"/>
            <w:tcBorders>
              <w:bottom w:val="single" w:sz="8" w:color="auto"/>
            </w:tcBorders>
          </w:tcPr>
          <w:p>
            <w:pPr>
              <w:spacing w:after="0"/>
              <w:rPr>
                <w:sz w:val="18"/>
                <w:szCs w:val="18"/>
                <w:color w:val="auto"/>
              </w:rPr>
            </w:pPr>
          </w:p>
        </w:tc>
      </w:tr>
      <w:tr>
        <w:trPr>
          <w:trHeight w:val="187"/>
        </w:trPr>
        <w:tc>
          <w:tcPr>
            <w:tcW w:w="3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gridSpan w:val="2"/>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April 1, 2017</w:t>
            </w: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April 2, 2016</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April 1, 2017</w:t>
            </w:r>
          </w:p>
        </w:tc>
        <w:tc>
          <w:tcPr>
            <w:tcW w:w="1340" w:type="dxa"/>
            <w:vAlign w:val="bottom"/>
            <w:gridSpan w:val="2"/>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38"/>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U.S.</w:t>
            </w: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Int’l</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Int’l</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9.8</w:t>
            </w:r>
          </w:p>
        </w:tc>
        <w:tc>
          <w:tcPr>
            <w:tcW w:w="4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(10.1)</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480" w:type="dxa"/>
            <w:vAlign w:val="bottom"/>
          </w:tcPr>
          <w:p>
            <w:pPr>
              <w:spacing w:after="0"/>
              <w:rPr>
                <w:sz w:val="18"/>
                <w:szCs w:val="18"/>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2.6</w:t>
            </w:r>
          </w:p>
        </w:tc>
        <w:tc>
          <w:tcPr>
            <w:tcW w:w="420" w:type="dxa"/>
            <w:vAlign w:val="bottom"/>
          </w:tcPr>
          <w:p>
            <w:pPr>
              <w:spacing w:after="0"/>
              <w:rPr>
                <w:sz w:val="18"/>
                <w:szCs w:val="18"/>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4.4</w:t>
            </w:r>
          </w:p>
        </w:tc>
        <w:tc>
          <w:tcPr>
            <w:tcW w:w="460" w:type="dxa"/>
            <w:vAlign w:val="bottom"/>
          </w:tcPr>
          <w:p>
            <w:pPr>
              <w:spacing w:after="0"/>
              <w:rPr>
                <w:sz w:val="18"/>
                <w:szCs w:val="18"/>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151"/>
        </w:trPr>
        <w:tc>
          <w:tcPr>
            <w:tcW w:w="39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91" w:right="2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w:t>
            </w:r>
          </w:p>
        </w:tc>
      </w:tr>
      <w:tr>
        <w:trPr>
          <w:trHeight w:val="217"/>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periodic benefit cost (credit)</w:t>
            </w: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w:t>
            </w:r>
          </w:p>
        </w:tc>
        <w:tc>
          <w:tcPr>
            <w:tcW w:w="4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3.9</w:t>
            </w:r>
          </w:p>
        </w:tc>
        <w:tc>
          <w:tcPr>
            <w:tcW w:w="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Research and Development</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1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 was $22.9 million and $22.3</w:t>
            </w:r>
          </w:p>
        </w:tc>
        <w:tc>
          <w:tcPr>
            <w:tcW w:w="618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million for the three months ended April 1, 2017 and April 2, 2016, respectively.</w:t>
            </w:r>
          </w:p>
        </w:tc>
        <w:tc>
          <w:tcPr>
            <w:tcW w:w="3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This</w:t>
            </w:r>
          </w:p>
        </w:tc>
      </w:tr>
      <w:tr>
        <w:trPr>
          <w:trHeight w:val="234"/>
        </w:trPr>
        <w:tc>
          <w:tcPr>
            <w:tcW w:w="1018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expense was included in “Marketing, general and administrative expense” in the unaudited Condensed Consolidated Statements of Income.</w:t>
            </w:r>
          </w:p>
        </w:tc>
        <w:tc>
          <w:tcPr>
            <w:tcW w:w="86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Long-Term Incentive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discussed in Note 1, “General,” we adopted an accounting guidance update in the first quarter of 2017 that, among other things, provides an accounting policy election to account for forfeitures of stock-based awards as they occur, rather than based on an estimate of expected forfeitures. We elected to continue our current practice of estimating forfeitures in determining the compensation cost to be recognized each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2017, subsequent to the end of the first quarter of 2017, our shareholders approved our 2017 Incentive Award Plan (the “2017 Plan”) to replace our existing Amended and Restated Stock Option and Incentive Plan. The 2017 Plan, a long-term incentive plan for eligible employees and non-employees directors, allows us to grant stock-based compensation awards – including stock options, restricted stock units, performance units, and market-leveraged stock units – or a combination of these and other awards. Under the 2017 Plan, the aggregate number of shares available for issuance is 5.4 million shares and each full value award will be counted as 1.5 shares for purposes of the number of shares authorized for issuance. Full value awards include restricted stock units, performance units, and market-leveraged stock units.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Awards</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was $5.6 million and $7.5 million for the three months ended April 1, 2017 and April 2, 2016, respectively. This expense was included in “Marketing, general and administrative expense” in the unaudited Condensed Consolidated Statements of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1, 2017, we had approximately $51 million of unrecognized compensation expense related to unvested stock-based awards, which is expected to be recognized over the remaining weighted-average requisite service period of approximately three years.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Cash-Based Awards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compensation expense related to long-term incentive units was $10.3 million and $9.5 million for the three months ended April 1, 2017 and April 2, 2016, respectively. This expense was included in “Marketing, general and administrative expense” in the unaudited Condensed Consolidated Statements of Income.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Cost Reduction 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2015/2016 Actions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April 1, 2017, we recorded $5.8 million in restructuring charges, net of reversals, related to restructuring actions initiated during the third quarter of 2015 (“2015/2016 Actions”). These charges consisted of severance and related costs for the reduction of approximately 180 positions.</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Accruals for severance and related costs and lease cancellation costs were included in “Other current liabilities” in the unaudited Condensed Consolidated Balance Sheets. Asset impairment charges were based on the estimated market value of the assets, less selling costs, if applicable. Restructuring charges were included in “Other expense, net” in the unaudited Condensed Consolidated Statements of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April 1, 2017, restructuring charges and payments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Accrual at</w:t>
            </w: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Accrual at</w:t>
            </w:r>
          </w:p>
        </w:tc>
      </w:tr>
      <w:tr>
        <w:trPr>
          <w:trHeight w:val="216"/>
        </w:trPr>
        <w:tc>
          <w:tcPr>
            <w:tcW w:w="3380" w:type="dxa"/>
            <w:vAlign w:val="bottom"/>
          </w:tcPr>
          <w:p>
            <w:pPr>
              <w:spacing w:after="0"/>
              <w:rPr>
                <w:sz w:val="18"/>
                <w:szCs w:val="18"/>
                <w:color w:val="auto"/>
              </w:rPr>
            </w:pP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4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(Reversals),</w:t>
            </w:r>
          </w:p>
        </w:tc>
        <w:tc>
          <w:tcPr>
            <w:tcW w:w="560" w:type="dxa"/>
            <w:vAlign w:val="bottom"/>
          </w:tcPr>
          <w:p>
            <w:pPr>
              <w:spacing w:after="0"/>
              <w:rPr>
                <w:sz w:val="18"/>
                <w:szCs w:val="18"/>
                <w:color w:val="auto"/>
              </w:rPr>
            </w:pP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38"/>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4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31, 2016</w:t>
            </w:r>
          </w:p>
        </w:tc>
        <w:tc>
          <w:tcPr>
            <w:tcW w:w="6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1280" w:type="dxa"/>
            <w:vAlign w:val="bottom"/>
            <w:tcBorders>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Impairment</w:t>
            </w:r>
          </w:p>
        </w:tc>
        <w:tc>
          <w:tcPr>
            <w:tcW w:w="14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7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2015/2016 Actions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cancellation costs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 actions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7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6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5.7</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(7.6)</w:t>
            </w:r>
          </w:p>
        </w:tc>
        <w:tc>
          <w:tcPr>
            <w:tcW w:w="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432"/>
        </w:trPr>
        <w:tc>
          <w:tcPr>
            <w:tcW w:w="8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table below shows the total amount of restructuring charges incurred by reportable segment and Corporate:</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Borders>
              <w:bottom w:val="single" w:sz="8" w:color="auto"/>
            </w:tcBorders>
          </w:tcPr>
          <w:p>
            <w:pPr>
              <w:spacing w:after="0"/>
              <w:rPr>
                <w:sz w:val="24"/>
                <w:szCs w:val="24"/>
                <w:color w:val="auto"/>
              </w:rPr>
            </w:pPr>
          </w:p>
        </w:tc>
      </w:tr>
      <w:tr>
        <w:trPr>
          <w:trHeight w:val="21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2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Restructuring charges by reportable segment and Corporate</w:t>
            </w: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7"/>
              </w:rPr>
              <w:t>2.0</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97"/>
              </w:rPr>
              <w:t>3.5</w:t>
            </w: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7"/>
              </w:rPr>
              <w:t>5.7</w:t>
            </w: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Financial Instruments</w:t>
      </w:r>
    </w:p>
    <w:p>
      <w:pPr>
        <w:sectPr>
          <w:pgSz w:w="11900" w:h="16838" w:orient="portrait"/>
          <w:cols w:equalWidth="0" w:num="1">
            <w:col w:w="11420"/>
          </w:cols>
          <w:pgMar w:left="240" w:top="140" w:right="239" w:bottom="0" w:gutter="0" w:footer="0" w:header="0"/>
        </w:sectPr>
      </w:pPr>
    </w:p>
    <w:bookmarkStart w:id="7" w:name="page8"/>
    <w:bookmarkEnd w:id="7"/>
    <w:p>
      <w:pPr>
        <w:spacing w:after="0" w:line="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enter into foreign exchange hedge contracts to reduce our risk from exchange rate fluctuations associated with receivables, payables, loans and firm commitments denominated in certain foreign currencies that arise primarily as a result of our operations outside the U.S. We enter into interest rate contracts to help manage our exposure to certain interest rate fluctuations. We also enter into futures contracts to hedge certain price fluctuations for a portion of our anticipated domestic purchases of natural gas. The maximum length of time for which we hedge our exposure to the variability in future cash flows for forecasted transactions is 36 months.</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1, 2017, the aggregate U.S. dollar equivalent notional value of our outstanding commodity contracts and foreign exchange contracts was $4 million and $1.74 billion,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derivative instruments as either assets or liabilities at fair value in the unaudited Condensed Consolidated Balance Sheets. We designate commodity forward contracts on forecasted purchases of commodities and foreign exchange contracts on forecasted transactions as cash flow hedges and designate foreign exchange contracts on existing balance sheet items as fair value hedges.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8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1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April 1, 2017:</w:t>
            </w: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tcBorders>
              <w:bottom w:val="single" w:sz="8" w:color="auto"/>
            </w:tcBorders>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0" w:type="dxa"/>
            <w:vAlign w:val="bottom"/>
          </w:tcPr>
          <w:p>
            <w:pPr>
              <w:spacing w:after="0"/>
              <w:rPr>
                <w:sz w:val="18"/>
                <w:szCs w:val="18"/>
                <w:color w:val="auto"/>
              </w:rPr>
            </w:pPr>
          </w:p>
        </w:tc>
      </w:tr>
      <w:tr>
        <w:trPr>
          <w:trHeight w:val="210"/>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r>
      <w:tr>
        <w:trPr>
          <w:trHeight w:val="216"/>
        </w:trPr>
        <w:tc>
          <w:tcPr>
            <w:tcW w:w="2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7"/>
        </w:trPr>
        <w:tc>
          <w:tcPr>
            <w:tcW w:w="12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8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fair value and balance sheet locations of derivatives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5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10"/>
        </w:trPr>
        <w:tc>
          <w:tcPr>
            <w:tcW w:w="2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1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3180" w:type="dxa"/>
            <w:vAlign w:val="bottom"/>
            <w:tcBorders>
              <w:bottom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Other assets</w:t>
            </w:r>
          </w:p>
        </w:tc>
        <w:tc>
          <w:tcPr>
            <w:tcW w:w="5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6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r>
      <w:tr>
        <w:trPr>
          <w:trHeight w:val="217"/>
        </w:trPr>
        <w:tc>
          <w:tcPr>
            <w:tcW w:w="25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2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Hedges</w:t>
      </w:r>
    </w:p>
    <w:p>
      <w:pPr>
        <w:spacing w:after="0" w:line="3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fair value hedges, the gain or loss on the derivative and the offsetting loss or gain on the hedged item attributable to the hedged risk are recognized in current earnings, resulting in no material net impact to income.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components of net gains (losses), before taxes, recognized in income related to fair value hedge contracts. The corresponding gains or losses on the underlying hedged items approximated the net gains (losses) on these fair value hedge contracts.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58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Location of Net Gains (Losses) in Income</w:t>
            </w:r>
          </w:p>
        </w:tc>
        <w:tc>
          <w:tcPr>
            <w:tcW w:w="6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880" w:type="dxa"/>
            <w:vAlign w:val="bottom"/>
            <w:tcBorders>
              <w:bottom w:val="single" w:sz="8" w:color="auto"/>
            </w:tcBorders>
            <w:vMerge w:val="continue"/>
          </w:tcPr>
          <w:p>
            <w:pPr>
              <w:spacing w:after="0"/>
              <w:rPr>
                <w:sz w:val="18"/>
                <w:szCs w:val="18"/>
                <w:color w:val="auto"/>
              </w:rPr>
            </w:pPr>
          </w:p>
        </w:tc>
        <w:tc>
          <w:tcPr>
            <w:tcW w:w="17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0" w:type="dxa"/>
            <w:vAlign w:val="bottom"/>
          </w:tcPr>
          <w:p>
            <w:pPr>
              <w:spacing w:after="0"/>
              <w:rPr>
                <w:sz w:val="1"/>
                <w:szCs w:val="1"/>
                <w:color w:val="auto"/>
              </w:rPr>
            </w:pPr>
          </w:p>
        </w:tc>
      </w:tr>
      <w:tr>
        <w:trPr>
          <w:trHeight w:val="210"/>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8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Cost of products sold</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8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8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1.2</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7"/>
        </w:trPr>
        <w:tc>
          <w:tcPr>
            <w:tcW w:w="2440" w:type="dxa"/>
            <w:vAlign w:val="bottom"/>
            <w:tcBorders>
              <w:bottom w:val="single" w:sz="8" w:color="auto"/>
            </w:tcBorders>
            <w:shd w:val="clear" w:color="auto" w:fill="CCEEFF"/>
          </w:tcPr>
          <w:p>
            <w:pPr>
              <w:spacing w:after="0"/>
              <w:rPr>
                <w:sz w:val="18"/>
                <w:szCs w:val="18"/>
                <w:color w:val="auto"/>
              </w:rPr>
            </w:pPr>
          </w:p>
        </w:tc>
        <w:tc>
          <w:tcPr>
            <w:tcW w:w="58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Hedges</w:t>
      </w:r>
    </w:p>
    <w:p>
      <w:pPr>
        <w:spacing w:after="0" w:line="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cash flow hedges, the effective portion of the gain or loss on the derivative is reported as a component of “Accumulated other comprehensive loss” and reclassified into earnings in the same period(s) during which the hedged transaction impacts earnings. Gains and losses on the derivative, representing either hedge ineffectiveness or hedge components excluded from the assessment of effectiveness, are recognized in current earnings.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Gains (losses), before taxes, recognized in “Accumulated other comprehensive loss” (effective portion) on derivatives related to cash flow hedge contracts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Borders>
              <w:bottom w:val="single" w:sz="8" w:color="auto"/>
            </w:tcBorders>
          </w:tcPr>
          <w:p>
            <w:pPr>
              <w:spacing w:after="0"/>
              <w:rPr>
                <w:sz w:val="20"/>
                <w:szCs w:val="20"/>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6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7"/>
        </w:trPr>
        <w:tc>
          <w:tcPr>
            <w:tcW w:w="83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8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recognized in income related to the ineffective portion of, and the amount excluded from, effectiveness testing for cash flow hedges and derivatives not designated as hedging instruments was not material for the three months ended April 1, 2017 and April 2, 2016,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April 1, 2017, we expected a net gain of approximately $.3 million to be reclassified from “Accumulated other comprehensive loss” to earnings within the next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w:t>
      </w:r>
    </w:p>
    <w:p>
      <w:pPr>
        <w:spacing w:after="0" w:line="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2017, we designated our €500 million of euro-denominated 1.25% senior notes due 2025 as a net investment hedge of our investment in foreign operations. The net assets from the investment in foreign operations were greater than the senior notes, and as such, the net investment hedge was effective.</w:t>
      </w:r>
    </w:p>
    <w:p>
      <w:pPr>
        <w:sectPr>
          <w:pgSz w:w="11900" w:h="16902" w:orient="portrait"/>
          <w:cols w:equalWidth="0" w:num="1">
            <w:col w:w="11420"/>
          </w:cols>
          <w:pgMar w:left="240" w:top="337" w:right="239" w:bottom="0" w:gutter="0" w:footer="0" w:header="0"/>
        </w:sectPr>
      </w:pPr>
    </w:p>
    <w:bookmarkStart w:id="8" w:name="page9"/>
    <w:bookmarkEnd w:id="8"/>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for further information about our euro-denominated debt.</w:t>
      </w:r>
    </w:p>
    <w:p>
      <w:pPr>
        <w:spacing w:after="0" w:line="225"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before tax, recognized in “Accumulated other comprehensive loss” (effective portion) related to the net investment hedge was as follows:</w:t>
      </w:r>
    </w:p>
    <w:p>
      <w:pPr>
        <w:spacing w:after="0" w:line="22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tcBorders>
              <w:top w:val="single" w:sz="8" w:color="auto"/>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denominated debt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(11.4)</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no ineffectiveness from our net investment hedge in earnings during the three months ended April 1,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Taxes Based on Income</w:t>
            </w: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32"/>
        </w:trPr>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income before taxes, provision for income taxes, and effective tax rate: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432"/>
        </w:trPr>
        <w:tc>
          <w:tcPr>
            <w:tcW w:w="82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r>
      <w:tr>
        <w:trPr>
          <w:trHeight w:val="210"/>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135.9</w:t>
            </w:r>
          </w:p>
        </w:tc>
        <w:tc>
          <w:tcPr>
            <w:tcW w:w="7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8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23.7</w:t>
            </w:r>
          </w:p>
        </w:tc>
        <w:tc>
          <w:tcPr>
            <w:tcW w:w="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r>
      <w:tr>
        <w:trPr>
          <w:trHeight w:val="217"/>
        </w:trPr>
        <w:tc>
          <w:tcPr>
            <w:tcW w:w="8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6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ended April 1, 2017 and April 2, 2016 included $1.5 million and $2.6 million, respectively, of a discrete tax benefit due to decreases in certain tax reserves, including interest and penalties, as a result of closing tax years. The effective tax rate for the three months ended April 1, 2017 also included a net discrete benefit of $12.7 million corresponding to the adoption of an accounting guidance update related to stock-based payments in the first quarter of 2017, as described in Note 1, “General.” Additionally, the effective tax rate for the three months ended April 2, 2016 included $1.6 million of a net benefit related to changes in the effective tax rates in certain foreign municipalities.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accounting guidance update related to stock-based payments requires that the effect of excess tax benefits associated with stock-based payments be recognized in the income statement instead of in capital in excess of par value as was the case prior to our adoption of this guidance. Excess tax benefits are the tax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guidance to vary depending on the stock-based payments in future reporting periods. These excess tax benefits may cause variability in our future effective tax rate as they can fluctuate based on vesting and exercise activity, as well as our future stock price. The tax effect of the tax deductions in excess of compensation cost related to the exercise of nonqualified stock options and vesting of other stock-based compensation awards recognized in capital in excess of par value was $6.9 million for the three months ended April 2, 2016.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effective tax rate for the three months ended April 1, 2017 compared to the same period last year also reflects a decrease in tax expense related to favorable changes in the geographic mix of our income before taxes and our adoption of the accounting guidance update discussed above.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income taxes we pay is subject to ongoing audits by taxing jurisdictions around the world. Our estimate of the potential outcome of any uncertain tax issue is subject to our assessment of the relevant risks, facts, and circumstances existing at the time. We believe that we have adequately provided for reasonably foreseeable outcomes related to these matters. However, our future results may include favorable or unfavorable adjustments to our estimated tax liabilities in the period the assessments are made or resolved, which may impact our effective tax rate. With some exceptions, we and our subsidiaries are no longer subject to income tax examinations by tax authorities for years prior to 2006.</w:t>
      </w:r>
    </w:p>
    <w:p>
      <w:pPr>
        <w:spacing w:after="0" w:line="18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It is reasonably possible that, during the next 12 months, we may realize a decrease in our uncertain tax positions, including interest and penalties, of approximately $28 million, primarily as a result of audit settlements and closing tax years.</w:t>
      </w:r>
    </w:p>
    <w:p>
      <w:pPr>
        <w:spacing w:after="0" w:line="16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Net Income Per Common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per common share was computed as follows:</w:t>
      </w:r>
    </w:p>
    <w:p>
      <w:pPr>
        <w:spacing w:after="0" w:line="221"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 except per share amounts)</w:t>
            </w:r>
          </w:p>
        </w:tc>
        <w:tc>
          <w:tcPr>
            <w:tcW w:w="1700" w:type="dxa"/>
            <w:vAlign w:val="bottom"/>
            <w:tcBorders>
              <w:top w:val="single" w:sz="8" w:color="auto"/>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 Net income available to common shareholders</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112.2</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10"/>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 Weighted average number of common shares outstanding</w:t>
            </w:r>
          </w:p>
        </w:tc>
        <w:tc>
          <w:tcPr>
            <w:tcW w:w="820" w:type="dxa"/>
            <w:vAlign w:val="bottom"/>
          </w:tcPr>
          <w:p>
            <w:pPr>
              <w:spacing w:after="0"/>
              <w:rPr>
                <w:sz w:val="18"/>
                <w:szCs w:val="18"/>
                <w:color w:val="auto"/>
              </w:rPr>
            </w:pP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88.4</w:t>
            </w:r>
          </w:p>
        </w:tc>
        <w:tc>
          <w:tcPr>
            <w:tcW w:w="80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8300" w:type="dxa"/>
            <w:vAlign w:val="bottom"/>
            <w:tcBorders>
              <w:bottom w:val="single" w:sz="8" w:color="auto"/>
            </w:tcBorders>
            <w:shd w:val="clear" w:color="auto" w:fill="CCEEFF"/>
          </w:tcPr>
          <w:p>
            <w:pPr>
              <w:ind w:left="380"/>
              <w:spacing w:after="0" w:line="216" w:lineRule="exact"/>
              <w:rPr>
                <w:sz w:val="20"/>
                <w:szCs w:val="20"/>
                <w:color w:val="auto"/>
              </w:rPr>
            </w:pPr>
            <w:r>
              <w:rPr>
                <w:rFonts w:ascii="Times New Roman" w:cs="Times New Roman" w:eastAsia="Times New Roman" w:hAnsi="Times New Roman"/>
                <w:sz w:val="18"/>
                <w:szCs w:val="18"/>
                <w:color w:val="auto"/>
              </w:rPr>
              <w:t>Dilutive shares (additional common shares issuable under stock-based awards)</w:t>
            </w:r>
            <w:r>
              <w:rPr>
                <w:rFonts w:ascii="Times New Roman" w:cs="Times New Roman" w:eastAsia="Times New Roman" w:hAnsi="Times New Roman"/>
                <w:sz w:val="23"/>
                <w:szCs w:val="23"/>
                <w:color w:val="auto"/>
                <w:vertAlign w:val="superscript"/>
              </w:rPr>
              <w:t>(1)</w:t>
            </w:r>
          </w:p>
        </w:tc>
        <w:tc>
          <w:tcPr>
            <w:tcW w:w="8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 Weighted average number of common shares outstanding, assuming dilution</w:t>
            </w:r>
          </w:p>
        </w:tc>
        <w:tc>
          <w:tcPr>
            <w:tcW w:w="8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90.0</w:t>
            </w:r>
          </w:p>
        </w:tc>
        <w:tc>
          <w:tcPr>
            <w:tcW w:w="8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w:t>
            </w:r>
          </w:p>
        </w:tc>
      </w:tr>
      <w:tr>
        <w:trPr>
          <w:trHeight w:val="210"/>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 ÷ (B)</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1.27</w:t>
            </w:r>
          </w:p>
        </w:tc>
        <w:tc>
          <w:tcPr>
            <w:tcW w:w="8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28"/>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 (A) ÷ (C)</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1.25</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91" w:orient="portrait"/>
          <w:cols w:equalWidth="0" w:num="1">
            <w:col w:w="11420"/>
          </w:cols>
          <w:pgMar w:left="240" w:top="121" w:right="239" w:bottom="0" w:gutter="0" w:footer="0" w:header="0"/>
        </w:sectPr>
      </w:pPr>
    </w:p>
    <w:p>
      <w:pPr>
        <w:spacing w:after="0" w:line="1" w:lineRule="exact"/>
        <w:rPr>
          <w:sz w:val="20"/>
          <w:szCs w:val="20"/>
          <w:color w:val="auto"/>
        </w:rPr>
      </w:pPr>
    </w:p>
    <w:p>
      <w:pPr>
        <w:ind w:left="180" w:hanging="161"/>
        <w:spacing w:after="0" w:line="225" w:lineRule="auto"/>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 xml:space="preserve"> For the first quarter of 2017, the dilutive shares calculation reflects the impact of our adoption of an accounting guidance update. Refer to Note 1, “General,” for more information.</w:t>
      </w:r>
    </w:p>
    <w:p>
      <w:pPr>
        <w:sectPr>
          <w:pgSz w:w="11900" w:h="16891" w:orient="portrait"/>
          <w:cols w:equalWidth="0" w:num="1">
            <w:col w:w="11420"/>
          </w:cols>
          <w:pgMar w:left="240" w:top="121" w:right="239" w:bottom="0" w:gutter="0" w:footer="0" w:header="0"/>
          <w:type w:val="continuous"/>
        </w:sectPr>
      </w:pPr>
    </w:p>
    <w:bookmarkStart w:id="9" w:name="page10"/>
    <w:bookmarkEnd w:id="9"/>
    <w:p>
      <w:pPr>
        <w:spacing w:after="0" w:line="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Certain stock-based compensation awards were not included in the computation of net income per common share, assuming dilution, because they would not have had a dilutive effect. Stock-based compensation awards excluded from the computation totaled approximately .1 million shares and .5 million shares for the three months ended April 1, 2017 and April 2,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three-month period ended April 1, 2017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620" w:type="dxa"/>
            <w:vAlign w:val="bottom"/>
          </w:tcPr>
          <w:p>
            <w:pPr>
              <w:spacing w:after="0"/>
              <w:rPr>
                <w:sz w:val="18"/>
                <w:szCs w:val="18"/>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420" w:type="dxa"/>
            <w:vAlign w:val="bottom"/>
          </w:tcPr>
          <w:p>
            <w:pPr>
              <w:spacing w:after="0"/>
              <w:rPr>
                <w:sz w:val="18"/>
                <w:szCs w:val="18"/>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6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6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2016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(212.6)</w:t>
            </w:r>
          </w:p>
        </w:tc>
        <w:tc>
          <w:tcPr>
            <w:tcW w:w="6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(540.3)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r>
      <w:tr>
        <w:trPr>
          <w:trHeight w:val="198"/>
        </w:trPr>
        <w:tc>
          <w:tcPr>
            <w:tcW w:w="5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52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35.5</w:t>
            </w:r>
          </w:p>
        </w:tc>
        <w:tc>
          <w:tcPr>
            <w:tcW w:w="6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10"/>
        </w:trPr>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35.5</w:t>
            </w:r>
          </w:p>
        </w:tc>
        <w:tc>
          <w:tcPr>
            <w:tcW w:w="6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39.4</w:t>
            </w:r>
          </w:p>
        </w:tc>
      </w:tr>
      <w:tr>
        <w:trPr>
          <w:trHeight w:val="217"/>
        </w:trPr>
        <w:tc>
          <w:tcPr>
            <w:tcW w:w="5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1, 2017</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(177.1)</w:t>
            </w: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(535.6)</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loss” (net of tax) for the three-month period ended April 2, 2016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Pension and</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78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Postretirement</w:t>
            </w:r>
          </w:p>
        </w:tc>
        <w:tc>
          <w:tcPr>
            <w:tcW w:w="192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Translation</w:t>
            </w:r>
          </w:p>
        </w:tc>
        <w:tc>
          <w:tcPr>
            <w:tcW w:w="16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Benefits</w:t>
            </w:r>
          </w:p>
        </w:tc>
        <w:tc>
          <w:tcPr>
            <w:tcW w:w="19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3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January 2, 2016</w:t>
            </w:r>
          </w:p>
        </w:tc>
        <w:tc>
          <w:tcPr>
            <w:tcW w:w="6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(158.9)</w:t>
            </w:r>
          </w:p>
        </w:tc>
        <w:tc>
          <w:tcPr>
            <w:tcW w:w="7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reclassifications, net</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tax</w:t>
            </w:r>
          </w:p>
        </w:tc>
        <w:tc>
          <w:tcPr>
            <w:tcW w:w="66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Reclassifications to net income, net of tax</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 net of tax</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18.9</w:t>
            </w: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2, 2016</w:t>
            </w:r>
          </w:p>
        </w:tc>
        <w:tc>
          <w:tcPr>
            <w:tcW w:w="6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(140.0)</w:t>
            </w:r>
          </w:p>
        </w:tc>
        <w:tc>
          <w:tcPr>
            <w:tcW w:w="7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(3.8)</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tcPr>
          <w:p>
            <w:pPr>
              <w:spacing w:after="0"/>
              <w:rPr>
                <w:sz w:val="11"/>
                <w:szCs w:val="11"/>
                <w:color w:val="auto"/>
              </w:rPr>
            </w:pPr>
          </w:p>
        </w:tc>
        <w:tc>
          <w:tcPr>
            <w:tcW w:w="38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51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0" w:type="dxa"/>
            <w:vAlign w:val="bottom"/>
          </w:tcPr>
          <w:p>
            <w:pPr>
              <w:spacing w:after="0"/>
              <w:rPr>
                <w:sz w:val="1"/>
                <w:szCs w:val="1"/>
                <w:color w:val="auto"/>
              </w:rPr>
            </w:pPr>
          </w:p>
        </w:tc>
      </w:tr>
      <w:tr>
        <w:trPr>
          <w:trHeight w:val="432"/>
        </w:trPr>
        <w:tc>
          <w:tcPr>
            <w:tcW w:w="92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amounts reclassified from “Accumulated other comprehensive loss” to increase (decrease) net income were as follows:</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Statements Where Net</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62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1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 is Presented</w:t>
            </w: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Commodity contracts</w:t>
            </w: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products sold</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Interest rate contracts</w:t>
            </w: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before tax</w:t>
            </w: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7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Pension and other postretirement benefits</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7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3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Net of tax</w:t>
            </w: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for the period</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920" w:type="dxa"/>
            <w:vAlign w:val="bottom"/>
            <w:tcBorders>
              <w:bottom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of tax</w:t>
            </w: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-3191510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-3191510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80" w:hanging="172"/>
        <w:spacing w:after="0" w:line="217" w:lineRule="auto"/>
        <w:tabs>
          <w:tab w:leader="none" w:pos="180" w:val="left"/>
        </w:tabs>
        <w:numPr>
          <w:ilvl w:val="0"/>
          <w:numId w:val="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See Note 6, “Pension and Other Postretirement Benefits,” for more information</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April 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Fair Value Measurements Using</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40" w:type="dxa"/>
            <w:vAlign w:val="bottom"/>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580" w:type="dxa"/>
            <w:vAlign w:val="bottom"/>
          </w:tcPr>
          <w:p>
            <w:pPr>
              <w:spacing w:after="0"/>
              <w:rPr>
                <w:sz w:val="16"/>
                <w:szCs w:val="16"/>
                <w:color w:val="auto"/>
              </w:rPr>
            </w:pPr>
          </w:p>
        </w:tc>
        <w:tc>
          <w:tcPr>
            <w:tcW w:w="162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500" w:type="dxa"/>
            <w:vAlign w:val="bottom"/>
          </w:tcPr>
          <w:p>
            <w:pPr>
              <w:spacing w:after="0"/>
              <w:rPr>
                <w:sz w:val="16"/>
                <w:szCs w:val="16"/>
                <w:color w:val="auto"/>
              </w:rPr>
            </w:pPr>
          </w:p>
        </w:tc>
        <w:tc>
          <w:tcPr>
            <w:tcW w:w="156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Active Markets</w:t>
            </w:r>
          </w:p>
        </w:tc>
        <w:tc>
          <w:tcPr>
            <w:tcW w:w="22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20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38"/>
        </w:trPr>
        <w:tc>
          <w:tcPr>
            <w:tcW w:w="2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580" w:type="dxa"/>
            <w:vAlign w:val="bottom"/>
          </w:tcPr>
          <w:p>
            <w:pPr>
              <w:spacing w:after="0"/>
              <w:rPr>
                <w:sz w:val="20"/>
                <w:szCs w:val="20"/>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50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w:t>
            </w: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7.0</w:t>
            </w: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drafts</w:t>
            </w:r>
          </w:p>
        </w:tc>
        <w:tc>
          <w:tcPr>
            <w:tcW w:w="158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10.0</w:t>
            </w:r>
          </w:p>
        </w:tc>
        <w:tc>
          <w:tcPr>
            <w:tcW w:w="5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58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ectPr>
          <w:pgSz w:w="11900" w:h="16900" w:orient="portrait"/>
          <w:cols w:equalWidth="0" w:num="1">
            <w:col w:w="11460"/>
          </w:cols>
          <w:pgMar w:left="240" w:top="337" w:right="19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assets and liabilities carried at fair value, measured on a recurring basis, as of December 31,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Fair Value Measurements Using</w:t>
            </w:r>
          </w:p>
        </w:tc>
        <w:tc>
          <w:tcPr>
            <w:tcW w:w="1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Quoted Prices in</w:t>
            </w:r>
          </w:p>
        </w:tc>
        <w:tc>
          <w:tcPr>
            <w:tcW w:w="440" w:type="dxa"/>
            <w:vAlign w:val="bottom"/>
          </w:tcPr>
          <w:p>
            <w:pPr>
              <w:spacing w:after="0"/>
              <w:rPr>
                <w:sz w:val="16"/>
                <w:szCs w:val="16"/>
                <w:color w:val="auto"/>
              </w:rPr>
            </w:pPr>
          </w:p>
        </w:tc>
        <w:tc>
          <w:tcPr>
            <w:tcW w:w="16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440" w:type="dxa"/>
            <w:vAlign w:val="bottom"/>
          </w:tcPr>
          <w:p>
            <w:pPr>
              <w:spacing w:after="0"/>
              <w:rPr>
                <w:sz w:val="16"/>
                <w:szCs w:val="16"/>
                <w:color w:val="auto"/>
              </w:rPr>
            </w:pPr>
          </w:p>
        </w:tc>
        <w:tc>
          <w:tcPr>
            <w:tcW w:w="17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Active Markets</w:t>
            </w:r>
          </w:p>
        </w:tc>
        <w:tc>
          <w:tcPr>
            <w:tcW w:w="4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44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Unobservable Inputs</w:t>
            </w:r>
          </w:p>
        </w:tc>
        <w:tc>
          <w:tcPr>
            <w:tcW w:w="0" w:type="dxa"/>
            <w:vAlign w:val="bottom"/>
          </w:tcPr>
          <w:p>
            <w:pPr>
              <w:spacing w:after="0"/>
              <w:rPr>
                <w:sz w:val="1"/>
                <w:szCs w:val="1"/>
                <w:color w:val="auto"/>
              </w:rPr>
            </w:pPr>
          </w:p>
        </w:tc>
      </w:tr>
      <w:tr>
        <w:trPr>
          <w:trHeight w:val="238"/>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58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40" w:type="dxa"/>
            <w:vAlign w:val="bottom"/>
          </w:tcPr>
          <w:p>
            <w:pPr>
              <w:spacing w:after="0"/>
              <w:rPr>
                <w:sz w:val="20"/>
                <w:szCs w:val="20"/>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4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Trading securities</w:t>
            </w: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6.4</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Bank drafts</w:t>
            </w:r>
          </w:p>
        </w:tc>
        <w:tc>
          <w:tcPr>
            <w:tcW w:w="158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Pr>
          <w:p>
            <w:pPr>
              <w:spacing w:after="0"/>
              <w:rPr>
                <w:sz w:val="18"/>
                <w:szCs w:val="18"/>
                <w:color w:val="auto"/>
              </w:rPr>
            </w:pP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tcBorders>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Trading securities include fixed income securities (primarily U.S. government and corporate debt securities) measured at fair value using quoted prices/bids and a money market fund measured at fair value using net asset value. As of April 1, 2017, trading securities of $.3 million and $17.9 million were included in “Cash and cash equivalents” and “Other current assets,” respectively, in the unaudited Condensed Consolidated Balance Sheets. As of December 31, 2016, trading securities of $.5 million and $17.6 million were included in “Cash and cash equivalents” and “Other current assets,” respectively, in the unaudited Condensed Consolidated Balance Sheets. Derivatives that are exchange-traded are measured at fair value using quoted market prices and classified within Level 1 of the</w:t>
      </w:r>
    </w:p>
    <w:p>
      <w:pPr>
        <w:spacing w:after="0" w:line="1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valuation hierarchy. Derivatives measured based on foreign exchange rate inputs that are readily available in public markets are classified within Level 2 of the valuation hierarchy. Bank drafts (maturities greater than three months) are valued at face value due to their short-term nature and were included in “Other current assets” in the unaudited Condensed Consolidated Balance Sheets.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involved in various lawsuits, claims, inquiries, and other regulatory and compliance matters, most of which are routine to the nature of our business. When it is probable that a loss will be incurred and where a range of the loss can be reasonably estimated, the best estimate within the range is accrued. When the best estimate within the range cannot be determined, the low end of the range is accrued. The ultimate resolution of these claims could affect future results of operations should our exposure be materially different from our estimates or should liabilities be incurred that were not previously accrued. Potential insurance reimbursements are not offset against these liabilities.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of the uncertainties associated with claims resolution and litigation, future expenses to resolve these matters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accrued liabilities accordingly. Additional lawsuits, claims, inquiries, and other regulatory and compliance matters could arise in the future. The range of expenses for resolving any future matters would be assessed as they arise; until then, a range of potential expenses for such resolution cannot be determined. Based upon current information, we believe that the impact of the resolution of these matters would not be, individually or in the aggregate, material to our financial position,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Expenditures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Environmental expenditures are generally expensed. However, environmental expenditures for newly acquired assets and those which extend or improve the economic useful life of existing assets are capitalized and amortized over the shorter of the estimated useful life of the acquired asset or the remaining life of the existing asset. We review our estimates of costs of compliance with environmental laws related to remediation and cleanup of various sites, including sites in which governmental agencies have designated us as a potentially responsible party (“PRP”). When it is probable that a loss will be incurred and where a range of the loss can be reasonably estimated, the best estimate within the range is accrued. When the best estimate within the range cannot be determined, the low end of the range is accrued. Potential insurance reimbursements are not offset against these liabilities.</w:t>
      </w:r>
    </w:p>
    <w:p>
      <w:pPr>
        <w:spacing w:after="0" w:line="19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of April 1, 2017, we have been designated by the U.S. Environmental Protection Agency (“EPA”) and/or other responsible state agencies as a PRP at thirteen waste disposal or waste recycling sites that are the subject of separate investigations or proceedings concerning alleged soil and/or groundwater contamination. No settlement of our liability related to any of these sites has been agreed upon. We are participating with other PRPs at these sites and anticipate that our share of remediation costs will be determined pursuant to agreements that we negotiate with the EPA or other governmental authorities.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estimates could change as a result of changes in planned remedial actions, remediation technologies, site conditions, the estimated time to complete remediation, environmental laws and regulations, and other factors. Because of the uncertainties associated with environmental assessment and remediation activities, future expenses to remediate these sites could be higher than the liabilities we have accrued; however, we are unable to reasonably estimate a range of potential expenses. If information were to become available that allowed us to reasonably estimate a range of potential expenses in an amount higher or lower than what we have accrued, we would adjust our environmental liabilities accordingly. In addition, we may be identified as a PRP at additional sites in the future. The range of expenses for remediation of any future-identified sites would be addressed as they arise; until then, a range of expenses for such remediation cannot be determined.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activity for the three months ended April 1, 2017 related to our environmental liabilities was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2016</w:t>
            </w:r>
          </w:p>
        </w:tc>
        <w:tc>
          <w:tcPr>
            <w:tcW w:w="444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Charges (reversals), net</w:t>
            </w:r>
          </w:p>
        </w:tc>
        <w:tc>
          <w:tcPr>
            <w:tcW w:w="44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70"/>
        </w:trPr>
        <w:tc>
          <w:tcPr>
            <w:tcW w:w="6300" w:type="dxa"/>
            <w:vAlign w:val="bottom"/>
            <w:shd w:val="clear" w:color="auto" w:fill="CCEEFF"/>
          </w:tcPr>
          <w:p>
            <w:pPr>
              <w:spacing w:after="0"/>
              <w:rPr>
                <w:sz w:val="6"/>
                <w:szCs w:val="6"/>
                <w:color w:val="auto"/>
              </w:rPr>
            </w:pPr>
          </w:p>
        </w:tc>
        <w:tc>
          <w:tcPr>
            <w:tcW w:w="44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337"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w:t>
            </w:r>
          </w:p>
        </w:tc>
        <w:tc>
          <w:tcPr>
            <w:tcW w:w="46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7"/>
        </w:trPr>
        <w:tc>
          <w:tcPr>
            <w:tcW w:w="6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at April 1, 2017</w:t>
            </w:r>
          </w:p>
        </w:tc>
        <w:tc>
          <w:tcPr>
            <w:tcW w:w="4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$12 million and $8 million of the balance was classified as short-term and included in “Other current liabilities” in the unaudited Condensed Consolidated Balance Sheets as of April 1, 2017 and December 31, 2016, respectively.</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information by reportable segment is set forth below:</w:t>
            </w: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83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4"/>
                <w:szCs w:val="24"/>
                <w:color w:val="auto"/>
              </w:rPr>
            </w:pPr>
          </w:p>
        </w:tc>
      </w:tr>
      <w:tr>
        <w:trPr>
          <w:trHeight w:val="210"/>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720" w:type="dxa"/>
            <w:vAlign w:val="bottom"/>
            <w:tcBorders>
              <w:bottom w:val="single" w:sz="8" w:color="auto"/>
            </w:tcBorders>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to unaffiliated customers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1,089.6</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1,012.6</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366.8</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w:t>
            </w:r>
          </w:p>
        </w:tc>
      </w:tr>
      <w:tr>
        <w:trPr>
          <w:trHeight w:val="216"/>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115.7</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to unaffiliated customers</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1,572.1</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1,485.5</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6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7"/>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17.7</w:t>
            </w: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135.8</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126.6</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26.6</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6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7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expense</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(22.6)</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(16.7)</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135.9</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 net by reportable segment</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Label and Graphic Materials</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Retail Branding and Information Solutions</w:t>
            </w:r>
          </w:p>
        </w:tc>
        <w:tc>
          <w:tcPr>
            <w:tcW w:w="6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7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Healthcare Materials</w:t>
            </w:r>
          </w:p>
        </w:tc>
        <w:tc>
          <w:tcPr>
            <w:tcW w:w="6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6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83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8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6.5</w:t>
            </w: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Recent Accounting Requirements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2017, the Financial Accounting Standards Board (“FASB”) issued guidance that requires employers to present only the service cost component of net periodic benefit cost in the same income statement line item(s) as other employee compensation costs arising from services rendered during the period. Employers are required to present the other components of the net periodic benefit cost separately from the line item(s) that includes the service cost and outside of any subtotal of operating income. Components other than the service cost component will not be eligible for capitalization in assets. Employers are required to apply the guidance on the presentation of the components of net periodic benefit cost in the income statement retrospectively, while the guidance that limits the capitalization of net periodic benefit cost in assets to the service cost component must be applied prospectively. This guidance will be effective for interim and annual periods beginning after December 15, 2017. Early adoption is permitted. We are currently assessing the impact of this guidance on our financial position, results of operations, cash flows, and disclosures.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2017, the FASB issued amended guidance on how entities account for the derecognition of a nonfinancial asset. It requires entities to apply certain recognition and measurement principles consistent with revenue recognition guidance when they derecognize nonfinancial assets and the counterparty is not a customer. This guidance will be effective for interim and annual periods beginning after December 15, 2017. Early adoption is permitted. We are currently assessing the impact of this guidance on our financial position, results of operations, cash flows, and disclosures.</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2016, the FASB issued guidance on accounting for leases that requires lessees to recognize the rights and obligations created by leases on their balance sheets. This guidance also requires enhanced disclosures regarding the amount, timing, and uncertainty of cash flows arising from leases and will be</w:t>
      </w:r>
    </w:p>
    <w:p>
      <w:pPr>
        <w:sectPr>
          <w:pgSz w:w="11900" w:h="16838" w:orient="portrait"/>
          <w:cols w:equalWidth="0" w:num="1">
            <w:col w:w="11420"/>
          </w:cols>
          <w:pgMar w:left="240" w:top="140" w:right="239" w:bottom="0" w:gutter="0" w:footer="0" w:header="0"/>
        </w:sectPr>
      </w:pPr>
    </w:p>
    <w:bookmarkStart w:id="12" w:name="page13"/>
    <w:bookmarkEnd w:id="12"/>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for interim and annual periods beginning after December 15, 2018. Early adoption is permitted. A modified retrospective approach is required for adoption with respect to all leases that exist at or commence after the date of initial application with an option to use certain practical expedients. While we are currently assessing the impact of this guidance on our financial position, results of operations, cash flows, and disclosures, we currently expect adoption of this guidance to have a significant impact on our financial position and disclosures.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2014, and in subsequent updates, the FASB issued revised guidance on revenue recognition. This revised guidance provides a single comprehensive model for accounting for revenue arising from contracts with customers and supersedes most current revenue recognition guidance, including industry-specific guidance. This revised guidance requires an entity to recognize revenue when it transfers promised goods or services to customers in an amount that reflects the consideration to which the entity expects to be entitled in exchange for those goods or services. This revised guidance creates a five-step model that requires entities to exercise judgment when considering the terms of contract(s), which includes (i) identifying the contract(s) with the customer,</w:t>
      </w:r>
    </w:p>
    <w:p>
      <w:pPr>
        <w:spacing w:after="0" w:line="3" w:lineRule="exact"/>
        <w:rPr>
          <w:sz w:val="20"/>
          <w:szCs w:val="20"/>
          <w:color w:val="auto"/>
        </w:rPr>
      </w:pPr>
    </w:p>
    <w:p>
      <w:pPr>
        <w:jc w:val="both"/>
        <w:ind w:firstLine="8"/>
        <w:spacing w:after="0" w:line="251" w:lineRule="auto"/>
        <w:tabs>
          <w:tab w:leader="none" w:pos="27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separate performance obligations in the contract, (iii) determining the transaction price, (iv) allocating the transaction price to the separate performance obligations, and (v) recognizing revenue when each performance obligation is satisfied. This revised guidance also requires additional disclosure about the nature, amount, timing and uncertainty of revenue and cash flows arising from customer contracts, including qualitative and quantitative information about contracts with customers, significant judgments and changes in judgments, and assets recognized from costs incurred to obtain or fulfill a contract. This revised guidance is effective for fiscal years beginning after December 15, 2017, and interim periods within those fiscal years, and can be applied retrospectively either to each prior reporting period presented (“full retrospective”) or with the cumulative effect of adoption recognized at the date of initial application (“modified retrospective”). Early adoption is permitted for fiscal periods beginning after December 15, 2016. We expect to adopt the new standard under the modified retrospective approach in the first quarter of 2018. Based on the information we have evaluated to date, we do not anticipate that the adoption of this revised guidance will have a significant impact on our financial position, results of operations, or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Subsequent Event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2017, subsequent to the end of the first quarter of 2017, our Board of Directors (“Board”) authorized the repurchase of shares of our common stock with a fair market value of up to $650 million, exclusive of any fees, commissions or other expenses related to such purchases and in addition to the amount outstanding under our previous Board authorization. This authorization will remain in effect until shares in the amount authorized have been repurchased.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or MD&amp;A, provides management’s views on our financial condition and results of operations, should be read in conjunction with the accompanying unaudited Condensed Consolidated Financial Statements and notes thereto, and includes the following sections:</w:t>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7600" w:type="dxa"/>
            <w:vAlign w:val="bottom"/>
            <w:gridSpan w:val="7"/>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Non-GAAP Financial Measures</w:t>
              </w:r>
            </w:hyperlink>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23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Overview and Outlook</w:t>
              </w:r>
            </w:hyperlink>
          </w:p>
        </w:tc>
        <w:tc>
          <w:tcPr>
            <w:tcW w:w="5300" w:type="dxa"/>
            <w:vAlign w:val="bottom"/>
            <w:gridSpan w:val="4"/>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Analysis of Results of Operations for the First Quarter</w:t>
              </w:r>
            </w:hyperlink>
          </w:p>
        </w:tc>
        <w:tc>
          <w:tcPr>
            <w:tcW w:w="3680" w:type="dxa"/>
            <w:vAlign w:val="bottom"/>
            <w:gridSpan w:val="2"/>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4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Results of Operations by Reportable Segment for the First Quarter</w:t>
              </w:r>
            </w:hyperlink>
          </w:p>
        </w:tc>
        <w:tc>
          <w:tcPr>
            <w:tcW w:w="2820" w:type="dxa"/>
            <w:vAlign w:val="bottom"/>
          </w:tcPr>
          <w:p>
            <w:pPr>
              <w:spacing w:after="0"/>
              <w:rPr>
                <w:sz w:val="17"/>
                <w:szCs w:val="17"/>
                <w:color w:val="auto"/>
              </w:rPr>
            </w:pPr>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7600" w:type="dxa"/>
            <w:vAlign w:val="bottom"/>
            <w:gridSpan w:val="7"/>
          </w:tcPr>
          <w:p>
            <w:pPr>
              <w:spacing w:after="0" w:line="196" w:lineRule="exact"/>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Financial Condition</w:t>
              </w:r>
            </w:hyperlink>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1420" w:type="dxa"/>
            <w:vAlign w:val="bottom"/>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180" w:type="dxa"/>
            <w:vAlign w:val="bottom"/>
            <w:gridSpan w:val="3"/>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r>
        <w:trPr>
          <w:trHeight w:val="196"/>
        </w:trPr>
        <w:tc>
          <w:tcPr>
            <w:tcW w:w="7600" w:type="dxa"/>
            <w:vAlign w:val="bottom"/>
            <w:gridSpan w:val="7"/>
          </w:tcPr>
          <w:p>
            <w:pPr>
              <w:spacing w:after="0" w:line="19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Recent Accounting Requirements</w:t>
              </w:r>
            </w:hyperlink>
          </w:p>
        </w:tc>
        <w:tc>
          <w:tcPr>
            <w:tcW w:w="3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that are prepared in accordance with GAAP. Based upon feedback from investors and financial analysts, we believe that the supplemental non-GAAP financial measures we provide are useful to their assessments of our performance and operating trends, as well as liquidity.</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non-GAAP financial measures exclude the impact of certain events, activities or strategic decisions. The accounting effects of these events, activities or decisions, which are included in the GAAP financial measures, may make it difficult to assess our underlying performance in a single period. By excluding the accounting effects, both positive and negative, of certain items (e.g. restructuring charges, legal settlements, certain effects of strategic transactions and related costs, losses from debt extinguishments, gains and losses from curtailment and settlement of pension obligations, gains or losses on sales of certain assets, and other items), we believe that we are providing meaningful supplemental information to facilitate an understanding of our core operating results and liquidity measures. These non-GAAP financial measures are used internally to evaluate trends in our underlying performance, as well as to facilitate comparison to the results of competitors for a single period. While some of the items we exclude from GAAP financial measures recur, they tend to be disparate in amount, frequency, or timing.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 the following non-GAAP financial measures in this MD&amp;A:</w:t>
      </w:r>
    </w:p>
    <w:p>
      <w:pPr>
        <w:spacing w:after="0" w:line="223" w:lineRule="exact"/>
        <w:rPr>
          <w:sz w:val="20"/>
          <w:szCs w:val="20"/>
          <w:color w:val="auto"/>
        </w:rPr>
      </w:pPr>
    </w:p>
    <w:p>
      <w:pPr>
        <w:ind w:left="300" w:hanging="292"/>
        <w:spacing w:after="0"/>
        <w:tabs>
          <w:tab w:leader="none" w:pos="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Sales change (ex. currency) </w:t>
      </w:r>
      <w:r>
        <w:rPr>
          <w:rFonts w:ascii="Times New Roman" w:cs="Times New Roman" w:eastAsia="Times New Roman" w:hAnsi="Times New Roman"/>
          <w:sz w:val="18"/>
          <w:szCs w:val="18"/>
          <w:color w:val="auto"/>
        </w:rPr>
        <w:t>refers to the increase or decrease in sales excluding the estimated impact of foreign currency translation.</w:t>
      </w:r>
    </w:p>
    <w:p>
      <w:pPr>
        <w:spacing w:after="0" w:line="2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6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sales change </w:t>
      </w:r>
      <w:r>
        <w:rPr>
          <w:rFonts w:ascii="Times New Roman" w:cs="Times New Roman" w:eastAsia="Times New Roman" w:hAnsi="Times New Roman"/>
          <w:sz w:val="18"/>
          <w:szCs w:val="18"/>
          <w:color w:val="auto"/>
        </w:rPr>
        <w:t>refers to the increase or decrease in sales excluding the estimated impact of foreign currency translation, product line exits,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and, where applicable, the extra week in our fiscal year. The estimated impact of foreign currency translation is calculated on a constant currency basis, with prior period results translated at current period average exchange rates to exclude the effect of foreign currency fluctuations.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organic sales change and sales change (ex. currency) assist investors in evaluating the sales growth from the ongoing activities of our businesses and better enable them to evaluate our results from period to period.</w:t>
      </w:r>
    </w:p>
    <w:p>
      <w:pPr>
        <w:spacing w:after="0" w:line="160" w:lineRule="exact"/>
        <w:rPr>
          <w:sz w:val="20"/>
          <w:szCs w:val="20"/>
          <w:color w:val="auto"/>
        </w:rPr>
      </w:pPr>
    </w:p>
    <w:p>
      <w:pPr>
        <w:jc w:val="both"/>
        <w:ind w:left="340" w:hanging="332"/>
        <w:spacing w:after="0" w:line="284" w:lineRule="auto"/>
        <w:tabs>
          <w:tab w:leader="none" w:pos="3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refers to cash flow from operations, less payments for property, plant and equipment, software and other deferred charges, plus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sales of property, plant and equipment, plus (minus) net proceeds from sales (purchases) of investments. We believe that free cash flow assists</w:t>
      </w:r>
    </w:p>
    <w:p>
      <w:pPr>
        <w:sectPr>
          <w:pgSz w:w="11900" w:h="16867" w:orient="portrait"/>
          <w:cols w:equalWidth="0" w:num="1">
            <w:col w:w="11420"/>
          </w:cols>
          <w:pgMar w:left="240" w:top="121" w:right="239" w:bottom="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color w:val="auto"/>
        </w:rPr>
        <w:t>investors by indicating the amount of cash we have available for debt reductions, dividends, share repurchases, and acquisitions.</w:t>
      </w:r>
    </w:p>
    <w:p>
      <w:pPr>
        <w:spacing w:after="0" w:line="27" w:lineRule="exact"/>
        <w:rPr>
          <w:sz w:val="20"/>
          <w:szCs w:val="20"/>
          <w:color w:val="auto"/>
        </w:rPr>
      </w:pPr>
    </w:p>
    <w:p>
      <w:pPr>
        <w:jc w:val="both"/>
        <w:ind w:left="340" w:hanging="332"/>
        <w:spacing w:after="0" w:line="252" w:lineRule="auto"/>
        <w:tabs>
          <w:tab w:leader="none" w:pos="3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working capital </w:t>
      </w:r>
      <w:r>
        <w:rPr>
          <w:rFonts w:ascii="Times New Roman" w:cs="Times New Roman" w:eastAsia="Times New Roman" w:hAnsi="Times New Roman"/>
          <w:sz w:val="18"/>
          <w:szCs w:val="18"/>
          <w:color w:val="auto"/>
        </w:rPr>
        <w:t>refers to trade accounts receivable and inventories, net of accounts payable, and excludes cash and cash equivalents, short-term borrowings, deferred taxes, other current assets and other current liabilities, as well as net current assets or liabilities held-for-sale. We believe that operational working capital assists investors in assessing our working capital requirements because it excludes the impact of fluctuations attributable to our financing and other activities (which affect cash and cash equivalents, deferred taxes, other current assets, and other current liabilities) that tend to be disparate in amount, frequency, or timing, and that may increase the volatility of working capital as a percentage of sales from period to period. The items excluded from this measure are not significantly influenced by our day-to-day activities managed at the operating level and do not necessarily reflect the underlying trends in our operations.</w:t>
      </w:r>
    </w:p>
    <w:p>
      <w:pPr>
        <w:spacing w:after="0" w:line="18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AND OUTLOOK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55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5840" w:type="dxa"/>
            <w:vAlign w:val="bottom"/>
            <w:tcBorders>
              <w:bottom w:val="single" w:sz="8" w:color="auto"/>
            </w:tcBorders>
          </w:tcPr>
          <w:p>
            <w:pPr>
              <w:spacing w:after="0"/>
              <w:rPr>
                <w:sz w:val="20"/>
                <w:szCs w:val="20"/>
                <w:color w:val="auto"/>
              </w:rPr>
            </w:pPr>
          </w:p>
        </w:tc>
        <w:tc>
          <w:tcPr>
            <w:tcW w:w="5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5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8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5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58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Acquisitions/divestitures</w:t>
            </w:r>
          </w:p>
        </w:tc>
        <w:tc>
          <w:tcPr>
            <w:tcW w:w="55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58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55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2017, net sales increased on an organic basis primarily due to higher volume.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increased approximately $23 million in the first quarter of 2017 compared to the same period last year. Major factors affecting net income in the first three months of 2017 included: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Positive factors:</w:t>
      </w:r>
    </w:p>
    <w:p>
      <w:pPr>
        <w:spacing w:after="0" w:line="27" w:lineRule="exact"/>
        <w:rPr>
          <w:sz w:val="20"/>
          <w:szCs w:val="20"/>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Benefits from productivity initiatives, including savings from restructuring actions, net of transition costs</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income taxes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Offsetting factors:</w:t>
      </w:r>
    </w:p>
    <w:p>
      <w:pPr>
        <w:spacing w:after="0" w:line="27" w:lineRule="exact"/>
        <w:rPr>
          <w:sz w:val="20"/>
          <w:szCs w:val="20"/>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product and geographic mix</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translation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employee-related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Reduction 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2015/2016 Actions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months ended April 1, 2017, we recorded $5.8 million in restructuring charges, net of reversals, related to restructuring actions initiated during the third quarter of 2015 (“2015/2016 Actions”). These charges consisted of severance and related costs for the reduction of approximately 180 positions.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of Cost Reduction Actions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incremental savings, net of transition costs, from our 2015/2016 actions of approximately $40 million to $50 million in 2017. We estimate cash restructuring costs of approximately $35 million in 2017.</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Restructuring charges were included in “Other expense, net” in the unaudited Condensed Consolidated Statements of Income. Refer to Note 9, “Cost Reduction Actions,” to the unaudited Condensed Consolidated Financial Statements for more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first quarter of 2017, we announced our agreement to acquire Yongle Tape Company Ltd. (“Yongle Tape”) and completed the net asset acquisition of Hanita Coatings Rural Cooperative Association Limited and stock acquisition of certain of its subsidiaries (“Hanita”). Refer to Note 2, “Acquisitions,” to the unaudited Condensed Consolidated Financial Statements for more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Guidance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quarter of 2017, we adopted an accounting guidance update that simplifies several aspects of the accounting for stock-based payment transactions.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 “General,” to the unaudited Condensed Consolidated Financial Statements for more information.</w:t>
      </w:r>
    </w:p>
    <w:p>
      <w:pPr>
        <w:sectPr>
          <w:pgSz w:w="11900" w:h="16838" w:orient="portrait"/>
          <w:cols w:equalWidth="0" w:num="1">
            <w:col w:w="11420"/>
          </w:cols>
          <w:pgMar w:left="240" w:top="121" w:right="239" w:bottom="239" w:gutter="0" w:footer="0" w:header="0"/>
        </w:sectPr>
      </w:pPr>
    </w:p>
    <w:p>
      <w:pPr>
        <w:spacing w:after="0" w:line="207"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39"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90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8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w w:val="99"/>
              </w:rPr>
              <w:t>Avery Dennison Corporation</w:t>
            </w:r>
          </w:p>
        </w:tc>
      </w:tr>
      <w:tr>
        <w:trPr>
          <w:trHeight w:val="432"/>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7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5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20" w:type="dxa"/>
            <w:vAlign w:val="bottom"/>
          </w:tcPr>
          <w:p>
            <w:pPr>
              <w:spacing w:after="0"/>
              <w:rPr>
                <w:sz w:val="18"/>
                <w:szCs w:val="18"/>
                <w:color w:val="auto"/>
              </w:rPr>
            </w:pPr>
          </w:p>
        </w:tc>
      </w:tr>
      <w:tr>
        <w:trPr>
          <w:trHeight w:val="210"/>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15.3</w:t>
            </w:r>
          </w:p>
        </w:tc>
        <w:tc>
          <w:tcPr>
            <w:tcW w:w="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760" w:type="dxa"/>
            <w:vAlign w:val="bottom"/>
          </w:tcPr>
          <w:p>
            <w:pPr>
              <w:spacing w:after="0"/>
              <w:rPr>
                <w:sz w:val="18"/>
                <w:szCs w:val="18"/>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(30.3)</w:t>
            </w:r>
          </w:p>
        </w:tc>
        <w:tc>
          <w:tcPr>
            <w:tcW w:w="7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tcPr>
          <w:p>
            <w:pPr>
              <w:spacing w:after="0"/>
              <w:rPr>
                <w:sz w:val="18"/>
                <w:szCs w:val="18"/>
                <w:color w:val="auto"/>
              </w:rPr>
            </w:pPr>
          </w:p>
        </w:tc>
      </w:tr>
      <w:tr>
        <w:trPr>
          <w:trHeight w:val="216"/>
        </w:trPr>
        <w:tc>
          <w:tcPr>
            <w:tcW w:w="7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7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r>
      <w:tr>
        <w:trPr>
          <w:trHeight w:val="216"/>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760" w:type="dxa"/>
            <w:vAlign w:val="bottom"/>
          </w:tcPr>
          <w:p>
            <w:pPr>
              <w:spacing w:after="0"/>
              <w:rPr>
                <w:sz w:val="18"/>
                <w:szCs w:val="18"/>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79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7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r>
      <w:tr>
        <w:trPr>
          <w:trHeight w:val="217"/>
        </w:trPr>
        <w:tc>
          <w:tcPr>
            <w:tcW w:w="7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(22.1)</w:t>
            </w:r>
          </w:p>
        </w:tc>
        <w:tc>
          <w:tcPr>
            <w:tcW w:w="7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Free cash flow in the first three months of 2017 improved compared to the same period last year primarily due to higher net income and improved operational working capital, partially offset by higher capital and software expenditures and higher income tax payments, net of refunds. Free cash flow in the first three months of 2017 also reflected the impact of our adoption of the previously described accounting guidance update. Refer to “Accounting Guidance Update” above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factors that we believe may contribute to results for 2017 are described below:</w:t>
      </w:r>
    </w:p>
    <w:p>
      <w:pPr>
        <w:spacing w:after="0" w:line="225" w:lineRule="exact"/>
        <w:rPr>
          <w:sz w:val="20"/>
          <w:szCs w:val="20"/>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net sales to increase by 4.5% to 5.5%.</w:t>
      </w:r>
    </w:p>
    <w:p>
      <w:pPr>
        <w:spacing w:after="0" w:line="2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92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continuation of foreign currency rates in effect during April 2017, we expect foreign currency translation to reduce our pre-tax operating income by approximately $10 million.</w:t>
      </w: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full year effective tax rate to be approximately 30%.</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our capital and software expenditures to be approximately $215 million.</w:t>
      </w:r>
    </w:p>
    <w:p>
      <w:pPr>
        <w:spacing w:after="0" w:line="9"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estimate cash restructuring and certain acquisition-related transaction costs of approximately $40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ANALYSIS OF RESULTS OF OPERATIONS FOR THE FIRST QUARTER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p>
      <w:pPr>
        <w:spacing w:after="0" w:line="22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millions, except percentages)</w:t>
            </w:r>
          </w:p>
        </w:tc>
        <w:tc>
          <w:tcPr>
            <w:tcW w:w="1980" w:type="dxa"/>
            <w:vAlign w:val="bottom"/>
            <w:tcBorders>
              <w:top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500" w:type="dxa"/>
            <w:vAlign w:val="bottom"/>
            <w:tcBorders>
              <w:top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1,572.1</w:t>
            </w:r>
          </w:p>
        </w:tc>
        <w:tc>
          <w:tcPr>
            <w:tcW w:w="6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1,129.7</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442.4</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Marketing, general and administrative expense</w:t>
            </w:r>
          </w:p>
        </w:tc>
        <w:tc>
          <w:tcPr>
            <w:tcW w:w="780" w:type="dxa"/>
            <w:vAlign w:val="bottom"/>
          </w:tcPr>
          <w:p>
            <w:pPr>
              <w:spacing w:after="0"/>
              <w:rPr>
                <w:sz w:val="18"/>
                <w:szCs w:val="18"/>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283.3</w:t>
            </w:r>
          </w:p>
        </w:tc>
        <w:tc>
          <w:tcPr>
            <w:tcW w:w="60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16.7</w:t>
            </w:r>
          </w:p>
        </w:tc>
        <w:tc>
          <w:tcPr>
            <w:tcW w:w="6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c>
          <w:tcPr>
            <w:tcW w:w="6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7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135.9</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margin</w:t>
            </w:r>
          </w:p>
        </w:tc>
        <w:tc>
          <w:tcPr>
            <w:tcW w:w="7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28.1%</w:t>
            </w: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Margin</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Gross profit margin for the first quarter of 2017 decreased compared to the same period last year reflecting negative mix, higher employee-related costs, and the impact of changes in currency rates, partially offset by higher volume, the net impact of pricing and raw material costs, and benefits from productivity initiatives, including savings from restructuring, net of transition costs.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 Expense</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Marketing, general and administrative expense increased in the first quarter of 2017 compared to the same period last year reflecting acquisitions, partially offset by benefits from productivity initiatives, including savings from restructuring, net of transition costs.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132"/>
        </w:trPr>
        <w:tc>
          <w:tcPr>
            <w:tcW w:w="12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9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Expense, net</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192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54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4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net by type</w:t>
            </w: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and related costs</w:t>
            </w:r>
          </w:p>
        </w:tc>
        <w:tc>
          <w:tcPr>
            <w:tcW w:w="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r>
      <w:tr>
        <w:trPr>
          <w:trHeight w:val="216"/>
        </w:trPr>
        <w:tc>
          <w:tcPr>
            <w:tcW w:w="7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 impairment charges and lease cancellation costs</w:t>
            </w:r>
          </w:p>
        </w:tc>
        <w:tc>
          <w:tcPr>
            <w:tcW w:w="720" w:type="dxa"/>
            <w:vAlign w:val="bottom"/>
          </w:tcPr>
          <w:p>
            <w:pPr>
              <w:spacing w:after="0"/>
              <w:rPr>
                <w:sz w:val="18"/>
                <w:szCs w:val="18"/>
                <w:color w:val="auto"/>
              </w:rPr>
            </w:pPr>
          </w:p>
        </w:tc>
        <w:tc>
          <w:tcPr>
            <w:tcW w:w="12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7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Transaction costs</w:t>
            </w: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7"/>
        </w:trPr>
        <w:tc>
          <w:tcPr>
            <w:tcW w:w="7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-2351405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-2351405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15" w:name="page16"/>
    <w:bookmarkEnd w:id="1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Note 9, “Cost Reduction Actions,” to the unaudited Condensed Consolidated Financial Statements for more information regarding charges associated with restructuring.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Earnings per Share</w:t>
      </w:r>
    </w:p>
    <w:p>
      <w:pPr>
        <w:spacing w:after="0" w:line="22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(Dollars in millions, except per share amounts)</w:t>
            </w:r>
          </w:p>
        </w:tc>
        <w:tc>
          <w:tcPr>
            <w:tcW w:w="19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50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8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135.9</w:t>
            </w:r>
          </w:p>
        </w:tc>
        <w:tc>
          <w:tcPr>
            <w:tcW w:w="6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23.7</w:t>
            </w:r>
          </w:p>
        </w:tc>
        <w:tc>
          <w:tcPr>
            <w:tcW w:w="6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112.2</w:t>
            </w:r>
          </w:p>
        </w:tc>
        <w:tc>
          <w:tcPr>
            <w:tcW w:w="68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1.27</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 assuming dilution</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8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tax rate for the three months ended April 1, 2017 and April 2, 2016 included $1.5 million and $2.6 million, respectively, of a discrete tax benefit due to decreases in certain tax reserves, including interest and penalties, as a result of closing tax years. The effective tax rate for the three months ended April 1, 2017 also included a net discrete benefit of $12.7 million corresponding to the adoption of an accounting guidance update related to stock-based payments in the first quarter of 2017, as described in Note 1, “General.” Additionally, the effective tax rate for the three months ended April 2, 2016 included $1.6 million of a net benefit related to changes in the effective tax rates in certain foreign municipalities.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accounting guidance update related to stock-based payments requires that the effect of excess tax benefits associated with stock-based payments be recognized in the income statement instead of in capital in excess of par value as was the case prior to our adoption of this guidance. Excess tax benefits are the tax effects of tax deductions in excess of compensation expenses recognized for financial accounting purposes. These benefits related to stock-based awards are generally generated as a result of stock price appreciation during the vesting period or between the time of grant and the time of exercise. We expect future excess tax benefits pursuant to this guidance to vary depending on the stock-based payments in future reporting periods. These excess tax benefits may cause variability in our future effective tax rate as they can fluctuate based on vesting and exercise activity, as well as our future stock price. The tax effect of the tax deductions in excess of compensation cost related to the exercise of nonqualified stock options and vesting of other stock-based compensation awards recognized in capital in excess of par value was $6.9 million for the three months ended April 2, 2016.</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effective tax rate for the three months ended April 1, 2017 compared to the same period last year also reflects a decrease in tax expense related to favorable changes in the geographic mix of our income before taxes and our adoption of the accounting guidance update discussed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can vary widely from quarter to quarter due to interim reporting requirements, the recognition of discrete events, and the timing of repatriation of foreign earnings. Refer to Note 11, “Taxes Based on Income,” to the unaudited Condensed Consolidated Financial Statements for further information.</w:t>
      </w:r>
    </w:p>
    <w:p>
      <w:pPr>
        <w:spacing w:after="0" w:line="176"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RESULTS OF OPERATIONS BY REPORTABLE SEGMENT FOR THE FIRST QUARTER</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453"/>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 refers to income before interest and taxes.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Label and Graphic Materials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Borders>
              <w:bottom w:val="single" w:sz="8" w:color="auto"/>
            </w:tcBorders>
          </w:tcPr>
          <w:p>
            <w:pPr>
              <w:spacing w:after="0"/>
              <w:rPr>
                <w:sz w:val="24"/>
                <w:szCs w:val="24"/>
                <w:color w:val="auto"/>
              </w:rPr>
            </w:pPr>
          </w:p>
        </w:tc>
      </w:tr>
      <w:tr>
        <w:trPr>
          <w:trHeight w:val="210"/>
        </w:trPr>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6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1,104.8</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1,029.4</w:t>
            </w:r>
          </w:p>
        </w:tc>
      </w:tr>
      <w:tr>
        <w:trPr>
          <w:trHeight w:val="216"/>
        </w:trPr>
        <w:tc>
          <w:tcPr>
            <w:tcW w:w="7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(15.2)</w:t>
            </w:r>
          </w:p>
        </w:tc>
        <w:tc>
          <w:tcPr>
            <w:tcW w:w="8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1,089.6</w:t>
            </w:r>
          </w:p>
        </w:tc>
        <w:tc>
          <w:tcPr>
            <w:tcW w:w="8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1,012.6</w:t>
            </w:r>
          </w:p>
        </w:tc>
      </w:tr>
      <w:tr>
        <w:trPr>
          <w:trHeight w:val="223"/>
        </w:trPr>
        <w:tc>
          <w:tcPr>
            <w:tcW w:w="7520" w:type="dxa"/>
            <w:vAlign w:val="bottom"/>
            <w:tcBorders>
              <w:bottom w:val="single" w:sz="8" w:color="auto"/>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135.8</w:t>
            </w:r>
          </w:p>
        </w:tc>
        <w:tc>
          <w:tcPr>
            <w:tcW w:w="8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126.6</w:t>
            </w:r>
          </w:p>
        </w:tc>
      </w:tr>
      <w:tr>
        <w:trPr>
          <w:trHeight w:val="284"/>
        </w:trPr>
        <w:tc>
          <w:tcPr>
            <w:tcW w:w="7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Included costs associated with restructuring in both quarters and transaction costs in 2017.</w:t>
            </w:r>
          </w:p>
        </w:tc>
        <w:tc>
          <w:tcPr>
            <w:tcW w:w="1160" w:type="dxa"/>
            <w:vAlign w:val="bottom"/>
            <w:tcBorders>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r>
      <w:tr>
        <w:trPr>
          <w:trHeight w:val="40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10"/>
        </w:trPr>
        <w:tc>
          <w:tcPr>
            <w:tcW w:w="7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8"/>
        </w:trPr>
        <w:tc>
          <w:tcPr>
            <w:tcW w:w="7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7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9 %</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75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5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7"/>
        </w:trPr>
        <w:tc>
          <w:tcPr>
            <w:tcW w:w="75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5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5 %</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2017, net sales increased on an organic basis primarily due to higher volume. Sales increased on an organic basis at a low-teens rate in emerging markets and at a mid-single digit rate in Western Europe. Sales decreased on an organic basis at a low-single digit rate in North America.</w:t>
      </w:r>
    </w:p>
    <w:p>
      <w:pPr>
        <w:sectPr>
          <w:pgSz w:w="11900" w:h="16838" w:orient="portrait"/>
          <w:cols w:equalWidth="0" w:num="1">
            <w:col w:w="11420"/>
          </w:cols>
          <w:pgMar w:left="240" w:top="121" w:right="239" w:bottom="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ectPr>
          <w:pgSz w:w="11900" w:h="16838" w:orient="portrait"/>
          <w:cols w:equalWidth="0" w:num="1">
            <w:col w:w="11420"/>
          </w:cols>
          <w:pgMar w:left="240" w:top="121" w:right="239" w:bottom="0" w:gutter="0" w:footer="0" w:header="0"/>
          <w:type w:val="continuous"/>
        </w:sectPr>
      </w:pPr>
    </w:p>
    <w:bookmarkStart w:id="16" w:name="page17"/>
    <w:bookmarkEnd w:id="16"/>
    <w:p>
      <w:pPr>
        <w:spacing w:after="0" w:line="4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increased in the first quarter of 2017 compared to the same period last year due to higher volume and benefits from productivity initiatives, including savings from restructuring actions, net of transition costs, partially offset by unfavorable geographic and product mix and higher employee-related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Retail Branding and Information Solutions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6"/>
              </w:rPr>
              <w:t>April 1, 2017</w:t>
            </w: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40" w:type="dxa"/>
            <w:vAlign w:val="bottom"/>
          </w:tcPr>
          <w:p>
            <w:pPr>
              <w:spacing w:after="0"/>
              <w:rPr>
                <w:sz w:val="18"/>
                <w:szCs w:val="18"/>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367.7</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360.4</w:t>
            </w:r>
          </w:p>
        </w:tc>
        <w:tc>
          <w:tcPr>
            <w:tcW w:w="40" w:type="dxa"/>
            <w:vAlign w:val="bottom"/>
          </w:tcPr>
          <w:p>
            <w:pPr>
              <w:spacing w:after="0"/>
              <w:rPr>
                <w:sz w:val="18"/>
                <w:szCs w:val="18"/>
                <w:color w:val="auto"/>
              </w:rPr>
            </w:pPr>
          </w:p>
        </w:tc>
      </w:tr>
      <w:tr>
        <w:trPr>
          <w:trHeight w:val="216"/>
        </w:trPr>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(.9)</w:t>
            </w: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366.8</w:t>
            </w:r>
          </w:p>
        </w:tc>
        <w:tc>
          <w:tcPr>
            <w:tcW w:w="8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359.5</w:t>
            </w:r>
          </w:p>
        </w:tc>
        <w:tc>
          <w:tcPr>
            <w:tcW w:w="40" w:type="dxa"/>
            <w:vAlign w:val="bottom"/>
          </w:tcPr>
          <w:p>
            <w:pPr>
              <w:spacing w:after="0"/>
              <w:rPr>
                <w:sz w:val="18"/>
                <w:szCs w:val="18"/>
                <w:color w:val="auto"/>
              </w:rPr>
            </w:pPr>
          </w:p>
        </w:tc>
      </w:tr>
      <w:tr>
        <w:trPr>
          <w:trHeight w:val="223"/>
        </w:trPr>
        <w:tc>
          <w:tcPr>
            <w:tcW w:w="7240" w:type="dxa"/>
            <w:vAlign w:val="bottom"/>
            <w:tcBorders>
              <w:bottom w:val="single" w:sz="8" w:color="auto"/>
            </w:tcBorders>
            <w:gridSpan w:val="2"/>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7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26.6</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21.5</w:t>
            </w:r>
          </w:p>
        </w:tc>
        <w:tc>
          <w:tcPr>
            <w:tcW w:w="40" w:type="dxa"/>
            <w:vAlign w:val="bottom"/>
          </w:tcPr>
          <w:p>
            <w:pPr>
              <w:spacing w:after="0"/>
              <w:rPr>
                <w:sz w:val="19"/>
                <w:szCs w:val="19"/>
                <w:color w:val="auto"/>
              </w:rPr>
            </w:pPr>
          </w:p>
        </w:tc>
      </w:tr>
      <w:tr>
        <w:trPr>
          <w:trHeight w:val="284"/>
        </w:trPr>
        <w:tc>
          <w:tcPr>
            <w:tcW w:w="7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Included costs associated with restructuring in both quarters and transaction costs in 2017.</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24"/>
                <w:szCs w:val="24"/>
                <w:color w:val="auto"/>
              </w:rPr>
            </w:pPr>
          </w:p>
        </w:tc>
      </w:tr>
      <w:tr>
        <w:trPr>
          <w:trHeight w:val="426"/>
        </w:trPr>
        <w:tc>
          <w:tcPr>
            <w:tcW w:w="12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r>
      <w:tr>
        <w:trPr>
          <w:trHeight w:val="132"/>
        </w:trPr>
        <w:tc>
          <w:tcPr>
            <w:tcW w:w="1280" w:type="dxa"/>
            <w:vAlign w:val="bottom"/>
            <w:tcBorders>
              <w:bottom w:val="single" w:sz="8" w:color="808080"/>
            </w:tcBorders>
          </w:tcPr>
          <w:p>
            <w:pPr>
              <w:spacing w:after="0"/>
              <w:rPr>
                <w:sz w:val="11"/>
                <w:szCs w:val="11"/>
                <w:color w:val="auto"/>
              </w:rPr>
            </w:pPr>
          </w:p>
        </w:tc>
        <w:tc>
          <w:tcPr>
            <w:tcW w:w="59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24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5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1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58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1280" w:type="dxa"/>
            <w:vAlign w:val="bottom"/>
            <w:tcBorders>
              <w:bottom w:val="single" w:sz="8" w:color="auto"/>
            </w:tcBorders>
          </w:tcPr>
          <w:p>
            <w:pPr>
              <w:spacing w:after="0"/>
              <w:rPr>
                <w:sz w:val="20"/>
                <w:szCs w:val="20"/>
                <w:color w:val="auto"/>
              </w:rPr>
            </w:pPr>
          </w:p>
        </w:tc>
        <w:tc>
          <w:tcPr>
            <w:tcW w:w="59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2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72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7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7"/>
        </w:trPr>
        <w:tc>
          <w:tcPr>
            <w:tcW w:w="7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7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-2077085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-2077085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first quarter of 2017, net sales increased on an organic basis due to higher volume in both base apparel categories and radio-frequency identification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Operating income increased in the first quarter of 2017 primarily reflecting benefits from productivity initiatives, including savings from restructuring actions, net of transition costs, and higher volume, partially offset by higher employee-related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Industrial and Healthcare Materials</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32"/>
        </w:trPr>
        <w:tc>
          <w:tcPr>
            <w:tcW w:w="7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40" w:type="dxa"/>
            <w:vAlign w:val="bottom"/>
            <w:tcBorders>
              <w:bottom w:val="single" w:sz="8" w:color="auto"/>
            </w:tcBorders>
          </w:tcPr>
          <w:p>
            <w:pPr>
              <w:spacing w:after="0"/>
              <w:rPr>
                <w:sz w:val="24"/>
                <w:szCs w:val="24"/>
                <w:color w:val="auto"/>
              </w:rPr>
            </w:pPr>
          </w:p>
        </w:tc>
      </w:tr>
      <w:tr>
        <w:trPr>
          <w:trHeight w:val="210"/>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7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16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including intersegment sales</w:t>
            </w:r>
          </w:p>
        </w:tc>
        <w:tc>
          <w:tcPr>
            <w:tcW w:w="14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117.3</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w:t>
            </w:r>
          </w:p>
        </w:tc>
      </w:tr>
      <w:tr>
        <w:trPr>
          <w:trHeight w:val="216"/>
        </w:trPr>
        <w:tc>
          <w:tcPr>
            <w:tcW w:w="7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intersegment sales</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8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115.7</w:t>
            </w:r>
          </w:p>
        </w:tc>
        <w:tc>
          <w:tcPr>
            <w:tcW w:w="8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113.4</w:t>
            </w:r>
          </w:p>
        </w:tc>
      </w:tr>
      <w:tr>
        <w:trPr>
          <w:trHeight w:val="223"/>
        </w:trPr>
        <w:tc>
          <w:tcPr>
            <w:tcW w:w="7260" w:type="dxa"/>
            <w:vAlign w:val="bottom"/>
            <w:tcBorders>
              <w:bottom w:val="single" w:sz="8" w:color="auto"/>
            </w:tcBorders>
          </w:tcPr>
          <w:p>
            <w:pPr>
              <w:spacing w:after="0" w:line="216" w:lineRule="exact"/>
              <w:rPr>
                <w:sz w:val="20"/>
                <w:szCs w:val="20"/>
                <w:color w:val="auto"/>
              </w:rPr>
            </w:pPr>
            <w:r>
              <w:rPr>
                <w:rFonts w:ascii="Times New Roman" w:cs="Times New Roman" w:eastAsia="Times New Roman" w:hAnsi="Times New Roman"/>
                <w:sz w:val="18"/>
                <w:szCs w:val="18"/>
                <w:color w:val="auto"/>
              </w:rPr>
              <w:t>Operating income</w:t>
            </w:r>
            <w:r>
              <w:rPr>
                <w:rFonts w:ascii="Times New Roman" w:cs="Times New Roman" w:eastAsia="Times New Roman" w:hAnsi="Times New Roman"/>
                <w:sz w:val="23"/>
                <w:szCs w:val="23"/>
                <w:color w:val="auto"/>
                <w:vertAlign w:val="superscript"/>
              </w:rPr>
              <w:t>(1)</w:t>
            </w:r>
          </w:p>
        </w:tc>
        <w:tc>
          <w:tcPr>
            <w:tcW w:w="7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12.8</w:t>
            </w: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284"/>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Included costs associated with restructuring in both quarters and transaction costs in 2017.</w:t>
            </w:r>
          </w:p>
        </w:tc>
        <w:tc>
          <w:tcPr>
            <w:tcW w:w="1440" w:type="dxa"/>
            <w:vAlign w:val="bottom"/>
            <w:tcBorders>
              <w:bottom w:val="single" w:sz="8" w:color="auto"/>
            </w:tcBorders>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407"/>
        </w:trPr>
        <w:tc>
          <w:tcPr>
            <w:tcW w:w="7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Sales</w:t>
            </w: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The factors impacting the reported sales change are shown in the table below:</w:t>
            </w: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410"/>
        </w:trPr>
        <w:tc>
          <w:tcPr>
            <w:tcW w:w="7260" w:type="dxa"/>
            <w:vAlign w:val="bottom"/>
          </w:tcPr>
          <w:p>
            <w:pPr>
              <w:spacing w:after="0"/>
              <w:rPr>
                <w:sz w:val="24"/>
                <w:szCs w:val="24"/>
                <w:color w:val="auto"/>
              </w:rPr>
            </w:pPr>
          </w:p>
        </w:tc>
        <w:tc>
          <w:tcPr>
            <w:tcW w:w="256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38"/>
        </w:trPr>
        <w:tc>
          <w:tcPr>
            <w:tcW w:w="72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sales change</w:t>
            </w:r>
          </w:p>
        </w:tc>
        <w:tc>
          <w:tcPr>
            <w:tcW w:w="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change (ex. currency)</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72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7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7"/>
        </w:trPr>
        <w:tc>
          <w:tcPr>
            <w:tcW w:w="7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Organic sales change</w:t>
            </w:r>
          </w:p>
        </w:tc>
        <w:tc>
          <w:tcPr>
            <w:tcW w:w="7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 the first quarter of 2017, net sales decreased on an organic basis primarily due to lower volume driven by the program loss in personal care tapes and a decline in Vancive Medical Technologies.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Operating income decreased in the first quarter of 2017 compared to the same period last year largely due to the program loss in personal care tapes, partially offset by benefits from productivity initiatives, including savings from restructuring actions, net of transition costs.</w:t>
      </w:r>
    </w:p>
    <w:p>
      <w:pPr>
        <w:spacing w:after="0" w:line="180"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ectPr>
          <w:pgSz w:w="11900" w:h="16879" w:orient="portrait"/>
          <w:cols w:equalWidth="0" w:num="1">
            <w:col w:w="11460"/>
          </w:cols>
          <w:pgMar w:left="240" w:top="121" w:right="19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32"/>
        </w:trPr>
        <w:tc>
          <w:tcPr>
            <w:tcW w:w="7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7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112.2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44.6</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doubtful accounts and sales returns</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11.5</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Net losses from asset impairments and sales/disposals of assets</w:t>
            </w:r>
          </w:p>
        </w:tc>
        <w:tc>
          <w:tcPr>
            <w:tcW w:w="5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expense and loss</w:t>
            </w:r>
          </w:p>
        </w:tc>
        <w:tc>
          <w:tcPr>
            <w:tcW w:w="50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7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 and other adjustments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(174.5)</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17"/>
        </w:trPr>
        <w:tc>
          <w:tcPr>
            <w:tcW w:w="7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19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For cash flow purposes, changes in assets and liabilities and other adjustments exclude the impact of foreign currency translation (discussed below in “Analysis of Selected Balance Sheet Accounts”).</w:t>
      </w:r>
    </w:p>
    <w:p>
      <w:pPr>
        <w:spacing w:after="0" w:line="16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2017, cash flow from operating activities increased compared to the same period last year primarily due to higher net income and improved operational working capital, partially offset by higher income tax payments, net of refunds. In addition, in the first three months of 2017, operating activities reflected the impact of our adoption of the previously described accounting guidance update. Refer to “Accounting Guidance Update” above for more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7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7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4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software and other deferred charges</w:t>
            </w:r>
          </w:p>
        </w:tc>
        <w:tc>
          <w:tcPr>
            <w:tcW w:w="5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(6.9)</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5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50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9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acquisitions, net of cash acquired, and investments in businesses</w:t>
            </w:r>
          </w:p>
        </w:tc>
        <w:tc>
          <w:tcPr>
            <w:tcW w:w="5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(74.6)</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7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(112.0)</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Software Spending</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2017, we invested in new equipment to support growth in North America, Asia, and Europe, and to improve manufacturing productivity. During the first three months of 2016, we invested in new equipment to support growth, primarily in Asia, and to improve manufacturing productivity.</w:t>
      </w:r>
    </w:p>
    <w:p>
      <w:pPr>
        <w:spacing w:after="0" w:line="18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During the first three months of 2017 and 2016, we invested in information technology primarily associated with enterprise resource planning system implementations in North America and Asia.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Payments for Acquisitions</w:t>
      </w:r>
    </w:p>
    <w:p>
      <w:pPr>
        <w:spacing w:after="0" w:line="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Hanita acquisition, we paid consideration, net of cash acquired, of approximately $75 million, which we funded through cash and existing credit facilities.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2, “Acquisitions,” to the unaudited Condensed Consolidated Financial Statements for more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132"/>
        </w:trPr>
        <w:tc>
          <w:tcPr>
            <w:tcW w:w="1280" w:type="dxa"/>
            <w:vAlign w:val="bottom"/>
            <w:tcBorders>
              <w:bottom w:val="single" w:sz="8" w:color="808080"/>
            </w:tcBorders>
          </w:tcPr>
          <w:p>
            <w:pPr>
              <w:spacing w:after="0"/>
              <w:rPr>
                <w:sz w:val="11"/>
                <w:szCs w:val="11"/>
                <w:color w:val="auto"/>
              </w:rPr>
            </w:pPr>
          </w:p>
        </w:tc>
        <w:tc>
          <w:tcPr>
            <w:tcW w:w="66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7960" w:type="dxa"/>
            <w:vAlign w:val="bottom"/>
            <w:gridSpan w:val="2"/>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6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Avery Dennison Corporation</w:t>
            </w:r>
          </w:p>
        </w:tc>
      </w:tr>
      <w:tr>
        <w:trPr>
          <w:trHeight w:val="43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98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7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(In millions)</w:t>
            </w:r>
          </w:p>
        </w:tc>
        <w:tc>
          <w:tcPr>
            <w:tcW w:w="5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2, 2016</w:t>
            </w:r>
          </w:p>
        </w:tc>
        <w:tc>
          <w:tcPr>
            <w:tcW w:w="4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borrowings (maturities of three months or less)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(256.8)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169.4</w:t>
            </w: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long-term borrowings</w:t>
            </w:r>
          </w:p>
        </w:tc>
        <w:tc>
          <w:tcPr>
            <w:tcW w:w="5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526.7</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52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(36.4)</w:t>
            </w:r>
          </w:p>
        </w:tc>
        <w:tc>
          <w:tcPr>
            <w:tcW w:w="4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tcPr>
          <w:p>
            <w:pPr>
              <w:spacing w:after="0"/>
              <w:rPr>
                <w:sz w:val="18"/>
                <w:szCs w:val="18"/>
                <w:color w:val="auto"/>
              </w:rPr>
            </w:pPr>
          </w:p>
        </w:tc>
      </w:tr>
      <w:tr>
        <w:trPr>
          <w:trHeight w:val="216"/>
        </w:trPr>
        <w:tc>
          <w:tcPr>
            <w:tcW w:w="7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(34.6)</w:t>
            </w:r>
          </w:p>
        </w:tc>
        <w:tc>
          <w:tcPr>
            <w:tcW w:w="4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40" w:type="dxa"/>
            <w:vAlign w:val="bottom"/>
          </w:tcPr>
          <w:p>
            <w:pPr>
              <w:spacing w:after="0"/>
              <w:rPr>
                <w:sz w:val="18"/>
                <w:szCs w:val="18"/>
                <w:color w:val="auto"/>
              </w:rPr>
            </w:pPr>
          </w:p>
        </w:tc>
      </w:tr>
      <w:tr>
        <w:trPr>
          <w:trHeight w:val="216"/>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52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tcPr>
          <w:p>
            <w:pPr>
              <w:spacing w:after="0"/>
              <w:rPr>
                <w:sz w:val="18"/>
                <w:szCs w:val="18"/>
                <w:color w:val="auto"/>
              </w:rPr>
            </w:pPr>
          </w:p>
        </w:tc>
      </w:tr>
      <w:tr>
        <w:trPr>
          <w:trHeight w:val="216"/>
        </w:trPr>
        <w:tc>
          <w:tcPr>
            <w:tcW w:w="79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withholding for and excess tax benefit from stock-based compensation, net</w:t>
            </w:r>
          </w:p>
        </w:tc>
        <w:tc>
          <w:tcPr>
            <w:tcW w:w="5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 w:type="dxa"/>
            <w:vAlign w:val="bottom"/>
          </w:tcPr>
          <w:p>
            <w:pPr>
              <w:spacing w:after="0"/>
              <w:rPr>
                <w:sz w:val="18"/>
                <w:szCs w:val="18"/>
                <w:color w:val="auto"/>
              </w:rPr>
            </w:pPr>
          </w:p>
        </w:tc>
      </w:tr>
      <w:tr>
        <w:trPr>
          <w:trHeight w:val="217"/>
        </w:trPr>
        <w:tc>
          <w:tcPr>
            <w:tcW w:w="7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194.7</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-2488565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-2488565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 and Repayment of Debt</w:t>
      </w:r>
    </w:p>
    <w:p>
      <w:pPr>
        <w:spacing w:after="0" w:line="2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During the first three months of 2017, our outstanding commercial paper borrowings were repaid using proceeds from the issuance of senior notes in March 2017 discussed below. In addition, given the seasonality of our cash flow, during the first three months of 2017 and 2016, our commercial paper borrowings were also used to fund share repurchase activity, dividend payments, and capital expenditures.</w:t>
      </w:r>
    </w:p>
    <w:p>
      <w:pPr>
        <w:sectPr>
          <w:pgSz w:w="11900" w:h="16838" w:orient="portrait"/>
          <w:cols w:equalWidth="0" w:num="1">
            <w:col w:w="11460"/>
          </w:cols>
          <w:pgMar w:left="240" w:top="333" w:right="199" w:bottom="78"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 The net proceeds from the offering, after deducting underwriting discounts and estimated offering expenses, were $526.7 million (€495.6 million), of which approximately $215 million (€200 million) was used to repay commercial paper borrowings that we used to finance a portion of our acquisition of the European business of Mactac in August 2016. We plan to use the remainder for general corporate purposes, including repayment of other indebtedness and other acquisitions.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to the unaudited Condensed Consolidated Financial Statements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paid dividends of $.41 per share in the first three months of 2017 compared to $.37 per share in the same period last year. In April 2017, subsequent to the end of the first quarter of 2017, we increased our quarterly dividend to $.45 per share, representing an increase of approximately 10% from our previous dividend rate of $.41 per share.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2017, we repurchased approximately .5 million shares of our common stock at an aggregate cost of $34.6 million. During the first three months of 2016, we repurchased approximately 1.5 million shares of our common stock at an aggregate cost of $95.6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April 1, 2017, shares of our common stock in the aggregate amount of approximately $70.3 million remained authorized for repurchase under our then-outstanding Board of Directors (“Board”) authorization.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2017, subsequent to the end of the first quarter of 2017, our Board authorized the repurchase of shares of our common stock with a fair market value of up to $650 million, exclusive of any fees, commissions or other expenses related to such purchases and in addition to any amount outstanding under our previous Board authorization. Each of the outstanding authorizations will remain in effect until shares in the respective amount authorized have been repurchased.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Withholding for and Excess Tax Benefit from Stock-Based Compensation, Net</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2017, tax withholding for and excess tax benefit from stock-based compensation, net reflected the impact of our adoption of the previously described accounting guidance update. Refer to “Accounting Guidance Update” above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Selected Balance Sheet Accounts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three months ended April 1, 2017, goodwill increased by approximately $33 million to $826 million, which primarily reflected the preliminary valuation of goodwill associated with the acquisition of Hanita and the impact of foreign currency translation.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three months ended April 1, 2017, other intangibles resulting from business acquisitions, net, increased by approximately $17 million to $83 million, which primarily reflected the preliminary valuation of other intangibles from the acquisition of Hanita, partially offset by current year amortization expense.</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Note 4, “Goodwill and Other Intangibles Resulting from Business Acquisitions,” to the unaudited Condensed Consolidated Financial Statements for more information.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months ended April 1, 2017, other assets increased by approximately $11 million to $413 million, which reflected an increase in the cash surrender value of our corporate-owned life insurance policies, partially offset by amortization expense related to software and other deferred charges, net of purchases.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Shareholders’ Equity Accounts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three months ended April 1, 2017, the balance of our shareholders’ equity increased by approximately $89 million to $1.01 billion, which primarily reflected net income, the favorable impact of foreign currency translation, and the use of treasury shares to settle stock-based awards and fund contributions to our U.S. defined contribution plan. These increases were partially offset by dividend payments and share repurchases.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Foreign Currency Translation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100" w:type="dxa"/>
            <w:vAlign w:val="bottom"/>
          </w:tcPr>
          <w:p>
            <w:pPr>
              <w:spacing w:after="0"/>
              <w:rPr>
                <w:sz w:val="18"/>
                <w:szCs w:val="18"/>
                <w:color w:val="auto"/>
              </w:rPr>
            </w:pP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5400" w:type="dxa"/>
            <w:vAlign w:val="bottom"/>
            <w:tcBorders>
              <w:bottom w:val="single" w:sz="8" w:color="auto"/>
            </w:tcBorders>
            <w:vMerge w:val="continue"/>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sales</w:t>
            </w:r>
          </w:p>
        </w:tc>
        <w:tc>
          <w:tcPr>
            <w:tcW w:w="41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net income</w:t>
            </w:r>
          </w:p>
        </w:tc>
        <w:tc>
          <w:tcPr>
            <w:tcW w:w="4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International operations generated approximately 75% of our net sales during the three months ended April 1, 2017. Our future results are subject to changes in political and economic conditions in the regions in which we operate and the impact of fluctuations in foreign currency exchange and interest rates.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unfavorable impact of foreign currency translation on net sales in the first three months of 2017 compared to the same period last year was primarily related to euro-denominated sales and sales in China, partially offset by sales in Brazil.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Foreign Currency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on net income from transactions denominated in foreign currencies is largely mitigated because the costs of our products are generally denominated in the same currencies in which they are sold. In addition, to reduce our income and cash flow exposure to transactions in foreign currencies, we enter into foreign exchange forward, option and swap contracts where available and appropriate. We also utilize certain foreign currency denominated debt to mitigate foreign currency exposure related to our investment in foreign operations.</w:t>
      </w:r>
    </w:p>
    <w:p>
      <w:pPr>
        <w:sectPr>
          <w:pgSz w:w="11900" w:h="16838" w:orient="portrait"/>
          <w:cols w:equalWidth="0" w:num="1">
            <w:col w:w="11420"/>
          </w:cols>
          <w:pgMar w:left="240" w:top="121" w:right="239" w:bottom="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Analysis of Selected Financial Ratios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financial ratios discussed below to assess our financial condition and operating performance.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 and Operational Working Capital Ratios</w:t>
      </w: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Working capital (current assets minus current liabilities), as a percentage of annualized net sales, was 6.8% in the first three months of 2017 compared to 4.9% in the first three months of 2016 primarily driven by increases in cash and cash equivalents and trade accounts receivable.</w:t>
      </w:r>
    </w:p>
    <w:p>
      <w:pPr>
        <w:spacing w:after="0" w:line="180"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3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Operational working capital, as a percentage of annualized net sales, is reconciled with working capital below. Our objective is to minimize our investment in operational working capital, as a percentage of annualized net sales, to maximize cash flow and return on investment.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0"/>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(Dollars in millions)</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1, 2017</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April 2, 2016</w:t>
            </w: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 Working capital</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425.3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293.2</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Reconciling items:</w:t>
            </w: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(294.9)</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0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(176.7)</w:t>
            </w:r>
          </w:p>
        </w:tc>
      </w:tr>
      <w:tr>
        <w:trPr>
          <w:trHeight w:val="216"/>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 and capital leases</w:t>
            </w:r>
          </w:p>
        </w:tc>
        <w:tc>
          <w:tcPr>
            <w:tcW w:w="500" w:type="dxa"/>
            <w:vAlign w:val="bottom"/>
          </w:tcPr>
          <w:p>
            <w:pPr>
              <w:spacing w:after="0"/>
              <w:rPr>
                <w:sz w:val="18"/>
                <w:szCs w:val="18"/>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333.2</w:t>
            </w:r>
          </w:p>
        </w:tc>
        <w:tc>
          <w:tcPr>
            <w:tcW w:w="3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264.9</w:t>
            </w:r>
          </w:p>
        </w:tc>
      </w:tr>
      <w:tr>
        <w:trPr>
          <w:trHeight w:val="216"/>
        </w:trPr>
        <w:tc>
          <w:tcPr>
            <w:tcW w:w="7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employee benefits and other current liabilities</w:t>
            </w:r>
          </w:p>
        </w:tc>
        <w:tc>
          <w:tcPr>
            <w:tcW w:w="5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520.0</w:t>
            </w: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492.4</w:t>
            </w:r>
          </w:p>
        </w:tc>
      </w:tr>
      <w:tr>
        <w:trPr>
          <w:trHeight w:val="210"/>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B) Operational working capital</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773.3</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701.7</w:t>
            </w:r>
          </w:p>
        </w:tc>
      </w:tr>
      <w:tr>
        <w:trPr>
          <w:trHeight w:val="210"/>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 Annualized net sales (quarter sales, multiplied by four)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6,288.4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5,942.0</w:t>
            </w:r>
          </w:p>
        </w:tc>
      </w:tr>
      <w:tr>
        <w:trPr>
          <w:trHeight w:val="217"/>
        </w:trPr>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Working capital, as a percentage of annualized net sales (A) ÷ (C)</w:t>
            </w:r>
          </w:p>
        </w:tc>
        <w:tc>
          <w:tcPr>
            <w:tcW w:w="5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79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working capital, as a percentage of annualized net sales (B) ÷ (C)</w:t>
            </w:r>
          </w:p>
        </w:tc>
        <w:tc>
          <w:tcPr>
            <w:tcW w:w="5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Ratio</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average number of days sales outstanding was 64 days in the first three months of 2017 compared to 63 days in the first three months of 2016, calculated using the trade accounts receivable balance at quarter-end divided by the average daily sales for the quarter. The increase in the average number of days sales outstanding from the prior year primarily reflected the timing of collections and the impact of acquisitions, partially offset by the impact of foreign currency translation.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Ratio</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inventory turnover decreased to 7.8 in the first three months of 2017 from 8.2 in the first three months of 2016, calculated using the annualized cost of sales (quarterly cost of sales, multiplied by four) divided by the inventory balance at quarter-end. The decrease in the current year average inventory turnover primarily reflected the impact of acquisitions.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Payable Ratio</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average number of days payable outstanding was 73 days in the first three months of 2017 compared to 72 days in the first three months of 2016, calculated using the accounts payable balance at quarter-end divided by the average daily cost of products sold for the quarter. The increase in average number of days payable outstanding from the prior year primarily reflected the timing of vendor payments, partially offset by the impact of foreign currency translation.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Capital resources include cash flows from operations, cash and cash equivalents and debt financing. At April 1, 2017, we had cash and cash equivalents of $294.9 million held in accounts at third-party financial institutions.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balances are held in numerous locations throughout the world. At April 1, 2017, the majority of our cash and cash equivalents was held by our foreign subsidiaries.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meet U.S. cash requirements, we have several cost-effective liquidity options available. These options include borrowing funds at reasonable rates, including borrowings from foreign subsidiaries, and repatriating foreign earnings. However, if we were to repatriate incremental foreign earnings, we may be subject to additional taxes in the 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$700 million revolving credit facility (the “Revolver”) contains financial covenants requiring that we maintain specified ratios of total debt and interest expense in relation to certain measures of income. As of April 1, 2017 and December 31, 2016, we were in compliance with our financial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2017, we issued €500 million of senior notes, due March 2025. The senior notes bear an interest rate of 1.25% per year, payable annually in arrears.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5, “Debt,” to the unaudited Condensed Consolidated Financial Statements for more information.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financial market risk resulting from changes in interest and foreign currency rates, and to possible liquidity and credit risks of our counterparties.</w:t>
      </w:r>
    </w:p>
    <w:p>
      <w:pPr>
        <w:spacing w:after="0" w:line="162" w:lineRule="exact"/>
        <w:rPr>
          <w:sz w:val="20"/>
          <w:szCs w:val="20"/>
          <w:color w:val="auto"/>
        </w:rPr>
      </w:pPr>
    </w:p>
    <w:p>
      <w:pPr>
        <w:ind w:left="11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17" w:right="239" w:bottom="0" w:gutter="0" w:footer="0" w:header="0"/>
        </w:sectPr>
      </w:pPr>
    </w:p>
    <w:bookmarkStart w:id="20" w:name="page21"/>
    <w:bookmarkEnd w:id="20"/>
    <w:p>
      <w:pPr>
        <w:spacing w:after="0" w:line="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from Debt</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total debt increased by approximately $291 million in the first three months of 2017 to $1.58 billion, primarily reflecting the issuance of senior notes in March 2017, which was partially used to repay commercial paper borrowings that we used to finance a portion of our acquisition of the European business of Mactac in August 2016. Refer to “Financing Activities” above for more information.</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Credit ratings are a significant factor in our ability to raise short- and long-term financing. The credit ratings assigned to us also impact the interest rates paid and our access to commercial paper, credit facilities, and other borrowings. A downgrade of our short-term credit ratings could impact our ability to access the commercial paper markets. If our access to commercial paper markets were to become limited, the Revolver and our other credit facilities would be available to meet our short-term funding requirements, if necessary. When determining a credit rating, we believe that rating agencies primarily consider our competitive position, business outlook, consistency of cash flows, debt level and liquidity, geographic dispersion and management team. We remain committed to maintaining an investment grade rating.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Contractual Obligations, and Other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15, “Commitments and Contingencies,” to the unaudited Condensed Consolidated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ACCOUNTING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17, “Recent Accounting Requirements,” to the unaudited Condensed Consolidated Financial Statements.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information provided in Part II, Item 7A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Exchange Act Rules 13a-15(f)) that are designed to ensure that information required to be disclosed in our Exchange Act reports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the required disclosure.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we recognize that any controls and procedures, no matter how well designed and operated, can provide only reasonable assurance of achieving the desired control objectives, and management necessarily is required to apply its judgement in evaluating the cost-benefit relationship of possible controls and procedures.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system is based upon a global chain of financial and general business reporting lines that converge in our headquarters in Glendale, California. As required by SEC Rule 13a-15(b), we carried out an evaluation, under the supervision and with the participation of our management, including our Chief Executive Officer and Chief Financial Officer, of the effectiveness of the design and operation of our disclosure controls and procedures as of the end of the quarter covered by this report. Based on the foregoing, our Chief Executive Officer and Chief Financial Officer have concluded that our disclosure controls and procedures were effective as of such time to provide reasonable assurance that information was recorded, processed, summarized and reported within the time periods specified in the SEC’s rules and forms, and that such information was accumulated and communicated to our management, including our Chief Executive Officer and Chief Financial Officer, as appropriate, to allow timely decisions regarding the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our internal control environment. During 2014, we began a phased implementation of a new transactional system in our Retail Branding and Information Solutions reportable segment that is expected to continue through 2021. Processes affected by this implementation include order management, pricing, shipping, general accounting, manufacturing and planning. Where appropriate, we are reviewing related internal controls and making changes. Other than this implementation, there have been no changes in our internal control over financial reporting during the most recent fiscal quarter that have materially affected, or are reasonably likely to materially affect, our internal control over financial reporting.</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 to “Legal Proceedings” in Note 15, “Commitments and Contingencies,” to the unaudited Condensed Consolidated Financial Statements in Part 1, Item 1.</w:t>
      </w:r>
    </w:p>
    <w:p>
      <w:pPr>
        <w:sectPr>
          <w:pgSz w:w="11900" w:h="16933" w:orient="portrait"/>
          <w:cols w:equalWidth="0" w:num="1">
            <w:col w:w="11420"/>
          </w:cols>
          <w:pgMar w:left="240" w:top="121" w:right="239" w:bottom="0" w:gutter="0" w:footer="0" w:header="0"/>
        </w:sectPr>
      </w:pPr>
    </w:p>
    <w:bookmarkStart w:id="21" w:name="page22"/>
    <w:bookmarkEnd w:id="21"/>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included in Part I, Item 1A, of our Annual Report on Form 10-K for the fiscal year ended December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Securities by Issuer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Repurchases by us or our “affiliated purchasers” (as defined in Rule 10b-18(a)(3) of the Exchange Act) of registered equity securities in the three fiscal months of the first quarter of 2017 are listed in the table below. Repurchased shares may be reissued under our stock option and incentive plan or used for other corporate purposes.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400" w:type="dxa"/>
            <w:vAlign w:val="bottom"/>
          </w:tcPr>
          <w:p>
            <w:pPr>
              <w:spacing w:after="0"/>
              <w:rPr>
                <w:sz w:val="18"/>
                <w:szCs w:val="18"/>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2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30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23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400" w:type="dxa"/>
            <w:vAlign w:val="bottom"/>
          </w:tcPr>
          <w:p>
            <w:pPr>
              <w:spacing w:after="0"/>
              <w:rPr>
                <w:sz w:val="18"/>
                <w:szCs w:val="18"/>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value of shares that may</w:t>
            </w:r>
          </w:p>
        </w:tc>
      </w:tr>
      <w:tr>
        <w:trPr>
          <w:trHeight w:val="216"/>
        </w:trPr>
        <w:tc>
          <w:tcPr>
            <w:tcW w:w="3280" w:type="dxa"/>
            <w:vAlign w:val="bottom"/>
          </w:tcPr>
          <w:p>
            <w:pPr>
              <w:spacing w:after="0"/>
              <w:rPr>
                <w:sz w:val="18"/>
                <w:szCs w:val="18"/>
                <w:color w:val="auto"/>
              </w:rPr>
            </w:pP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30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320" w:type="dxa"/>
            <w:vAlign w:val="bottom"/>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400" w:type="dxa"/>
            <w:vAlign w:val="bottom"/>
          </w:tcPr>
          <w:p>
            <w:pPr>
              <w:spacing w:after="0"/>
              <w:rPr>
                <w:sz w:val="18"/>
                <w:szCs w:val="18"/>
                <w:color w:val="auto"/>
              </w:rPr>
            </w:pP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yet be purchased under</w:t>
            </w:r>
          </w:p>
        </w:tc>
      </w:tr>
      <w:tr>
        <w:trPr>
          <w:trHeight w:val="238"/>
        </w:trPr>
        <w:tc>
          <w:tcPr>
            <w:tcW w:w="3280" w:type="dxa"/>
            <w:vAlign w:val="bottom"/>
            <w:tcBorders>
              <w:bottom w:val="single" w:sz="8" w:color="auto"/>
            </w:tcBorders>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3"/>
                <w:szCs w:val="23"/>
                <w:color w:val="auto"/>
                <w:vertAlign w:val="superscript"/>
              </w:rPr>
              <w:t>(1)</w:t>
            </w:r>
          </w:p>
        </w:tc>
        <w:tc>
          <w:tcPr>
            <w:tcW w:w="1720" w:type="dxa"/>
            <w:vAlign w:val="bottom"/>
            <w:tcBorders>
              <w:bottom w:val="single" w:sz="8" w:color="auto"/>
            </w:tcBorders>
          </w:tcPr>
          <w:p>
            <w:pPr>
              <w:jc w:val="right"/>
              <w:ind w:right="50"/>
              <w:spacing w:after="0" w:line="239" w:lineRule="exact"/>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320" w:type="dxa"/>
            <w:vAlign w:val="bottom"/>
            <w:tcBorders>
              <w:bottom w:val="single" w:sz="8" w:color="auto"/>
            </w:tcBorders>
          </w:tcPr>
          <w:p>
            <w:pPr>
              <w:jc w:val="right"/>
              <w:ind w:right="55"/>
              <w:spacing w:after="0" w:line="239" w:lineRule="exact"/>
              <w:rPr>
                <w:sz w:val="20"/>
                <w:szCs w:val="20"/>
                <w:color w:val="auto"/>
              </w:rPr>
            </w:pPr>
            <w:r>
              <w:rPr>
                <w:rFonts w:ascii="Times New Roman" w:cs="Times New Roman" w:eastAsia="Times New Roman" w:hAnsi="Times New Roman"/>
                <w:sz w:val="27"/>
                <w:szCs w:val="27"/>
                <w:b w:val="1"/>
                <w:bCs w:val="1"/>
                <w:color w:val="auto"/>
                <w:vertAlign w:val="subscript"/>
              </w:rPr>
              <w:t>plans</w:t>
            </w:r>
            <w:r>
              <w:rPr>
                <w:rFonts w:ascii="Times New Roman" w:cs="Times New Roman" w:eastAsia="Times New Roman" w:hAnsi="Times New Roman"/>
                <w:sz w:val="10"/>
                <w:szCs w:val="10"/>
                <w:color w:val="auto"/>
              </w:rPr>
              <w:t>(2)(3)</w:t>
            </w:r>
          </w:p>
        </w:tc>
        <w:tc>
          <w:tcPr>
            <w:tcW w:w="4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10"/>
              <w:spacing w:after="0" w:line="239" w:lineRule="exact"/>
              <w:rPr>
                <w:sz w:val="20"/>
                <w:szCs w:val="20"/>
                <w:color w:val="auto"/>
              </w:rPr>
            </w:pPr>
            <w:r>
              <w:rPr>
                <w:rFonts w:ascii="Times New Roman" w:cs="Times New Roman" w:eastAsia="Times New Roman" w:hAnsi="Times New Roman"/>
                <w:sz w:val="18"/>
                <w:szCs w:val="18"/>
                <w:b w:val="1"/>
                <w:bCs w:val="1"/>
                <w:color w:val="auto"/>
              </w:rPr>
              <w:t>the plans</w:t>
            </w:r>
            <w:r>
              <w:rPr>
                <w:rFonts w:ascii="Times New Roman" w:cs="Times New Roman" w:eastAsia="Times New Roman" w:hAnsi="Times New Roman"/>
                <w:sz w:val="23"/>
                <w:szCs w:val="23"/>
                <w:color w:val="auto"/>
                <w:vertAlign w:val="superscript"/>
              </w:rPr>
              <w:t>(4)</w:t>
            </w: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2017 – January 28, 2017</w:t>
            </w:r>
          </w:p>
        </w:tc>
        <w:tc>
          <w:tcPr>
            <w:tcW w:w="1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206.9</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72.19</w:t>
            </w:r>
          </w:p>
        </w:tc>
        <w:tc>
          <w:tcPr>
            <w:tcW w:w="232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206.9</w:t>
            </w:r>
          </w:p>
        </w:tc>
        <w:tc>
          <w:tcPr>
            <w:tcW w:w="4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2017 – February 25, 2017</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111.5</w:t>
            </w:r>
          </w:p>
        </w:tc>
        <w:tc>
          <w:tcPr>
            <w:tcW w:w="30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76.22</w:t>
            </w:r>
          </w:p>
        </w:tc>
        <w:tc>
          <w:tcPr>
            <w:tcW w:w="2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111.5</w:t>
            </w:r>
          </w:p>
        </w:tc>
        <w:tc>
          <w:tcPr>
            <w:tcW w:w="40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16"/>
        </w:trPr>
        <w:tc>
          <w:tcPr>
            <w:tcW w:w="32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26, 2017 – April 1, 2017</w:t>
            </w:r>
          </w:p>
        </w:tc>
        <w:tc>
          <w:tcPr>
            <w:tcW w:w="17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139.9</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80.18</w:t>
            </w:r>
          </w:p>
        </w:tc>
        <w:tc>
          <w:tcPr>
            <w:tcW w:w="232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139.9</w:t>
            </w:r>
          </w:p>
        </w:tc>
        <w:tc>
          <w:tcPr>
            <w:tcW w:w="40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spacing w:after="0"/>
              <w:rPr>
                <w:sz w:val="18"/>
                <w:szCs w:val="18"/>
                <w:color w:val="auto"/>
              </w:rPr>
            </w:pPr>
          </w:p>
        </w:tc>
      </w:tr>
      <w:tr>
        <w:trPr>
          <w:trHeight w:val="22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458.3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75.61</w:t>
            </w:r>
          </w:p>
        </w:tc>
        <w:tc>
          <w:tcPr>
            <w:tcW w:w="23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458.3</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line="225"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periods shown are our fiscal periods during the thirteen-week quarter ended April 1, 2017.</w:t>
      </w:r>
    </w:p>
    <w:p>
      <w:pPr>
        <w:spacing w:after="0" w:line="10" w:lineRule="exact"/>
        <w:rPr>
          <w:rFonts w:ascii="Times New Roman" w:cs="Times New Roman" w:eastAsia="Times New Roman" w:hAnsi="Times New Roman"/>
          <w:sz w:val="19"/>
          <w:szCs w:val="19"/>
          <w:color w:val="auto"/>
          <w:vertAlign w:val="superscript"/>
        </w:rPr>
      </w:pPr>
    </w:p>
    <w:p>
      <w:pPr>
        <w:ind w:left="160" w:hanging="152"/>
        <w:spacing w:after="0" w:line="211"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Shares in thousands.</w:t>
      </w:r>
    </w:p>
    <w:p>
      <w:pPr>
        <w:spacing w:after="0" w:line="10" w:lineRule="exact"/>
        <w:rPr>
          <w:rFonts w:ascii="Times New Roman" w:cs="Times New Roman" w:eastAsia="Times New Roman" w:hAnsi="Times New Roman"/>
          <w:sz w:val="19"/>
          <w:szCs w:val="19"/>
          <w:color w:val="auto"/>
          <w:vertAlign w:val="superscript"/>
        </w:rPr>
      </w:pPr>
    </w:p>
    <w:p>
      <w:pPr>
        <w:jc w:val="both"/>
        <w:ind w:left="180" w:right="20" w:hanging="172"/>
        <w:spacing w:after="0" w:line="254" w:lineRule="auto"/>
        <w:tabs>
          <w:tab w:leader="none" w:pos="171"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 April 2017, subsequent to the end of the first quarter of 2017, our Board authorized the repurchase of shares of our common stock with a fair market value of up to $650 million, exclusive of any fees, commissions or other expenses related to such purchases, and in addition to the amount outstanding under our previous Board authorization. Each of the outstanding authorizations will remain in effect until shares in the respective amount authorized have been repurchased.</w:t>
      </w:r>
    </w:p>
    <w:p>
      <w:pPr>
        <w:spacing w:after="0" w:line="1" w:lineRule="exact"/>
        <w:rPr>
          <w:rFonts w:ascii="Times New Roman" w:cs="Times New Roman" w:eastAsia="Times New Roman" w:hAnsi="Times New Roman"/>
          <w:sz w:val="19"/>
          <w:szCs w:val="19"/>
          <w:color w:val="auto"/>
          <w:vertAlign w:val="superscript"/>
        </w:rPr>
      </w:pPr>
    </w:p>
    <w:p>
      <w:pPr>
        <w:ind w:left="160" w:hanging="152"/>
        <w:spacing w:after="0" w:line="222" w:lineRule="auto"/>
        <w:tabs>
          <w:tab w:leader="none" w:pos="16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Dollars in millions.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3"/>
          </w:tcPr>
          <w:p>
            <w:pPr>
              <w:spacing w:after="0"/>
              <w:rPr>
                <w:rFonts w:ascii="Times New Roman" w:cs="Times New Roman" w:eastAsia="Times New Roman" w:hAnsi="Times New Roman"/>
                <w:sz w:val="18"/>
                <w:szCs w:val="18"/>
                <w:color w:val="0000EE"/>
              </w:rPr>
            </w:pPr>
            <w:hyperlink w:anchor="page1">
              <w:r>
                <w:rPr>
                  <w:rFonts w:ascii="Times New Roman" w:cs="Times New Roman" w:eastAsia="Times New Roman" w:hAnsi="Times New Roman"/>
                  <w:sz w:val="18"/>
                  <w:szCs w:val="18"/>
                  <w:color w:val="0000EE"/>
                </w:rPr>
                <w:t>Table of Contents</w:t>
              </w:r>
            </w:hyperlink>
          </w:p>
        </w:tc>
        <w:tc>
          <w:tcPr>
            <w:tcW w:w="9540" w:type="dxa"/>
            <w:vAlign w:val="bottom"/>
          </w:tcPr>
          <w:p>
            <w:pPr>
              <w:spacing w:after="0"/>
              <w:rPr>
                <w:sz w:val="18"/>
                <w:szCs w:val="18"/>
                <w:color w:val="auto"/>
              </w:rPr>
            </w:pPr>
          </w:p>
        </w:tc>
      </w:tr>
      <w:tr>
        <w:trPr>
          <w:trHeight w:val="453"/>
        </w:trPr>
        <w:tc>
          <w:tcPr>
            <w:tcW w:w="26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9540" w:type="dxa"/>
            <w:vAlign w:val="bottom"/>
          </w:tcPr>
          <w:p>
            <w:pPr>
              <w:ind w:left="7460"/>
              <w:spacing w:after="0"/>
              <w:rPr>
                <w:sz w:val="20"/>
                <w:szCs w:val="20"/>
                <w:color w:val="auto"/>
              </w:rPr>
            </w:pPr>
            <w:r>
              <w:rPr>
                <w:rFonts w:ascii="Times New Roman" w:cs="Times New Roman" w:eastAsia="Times New Roman" w:hAnsi="Times New Roman"/>
                <w:sz w:val="18"/>
                <w:szCs w:val="18"/>
                <w:color w:val="auto"/>
                <w:w w:val="98"/>
              </w:rPr>
              <w:t>Avery Dennison Corporation</w:t>
            </w:r>
          </w:p>
        </w:tc>
      </w:tr>
      <w:tr>
        <w:trPr>
          <w:trHeight w:val="432"/>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540" w:type="dxa"/>
            <w:vAlign w:val="bottom"/>
          </w:tcPr>
          <w:p>
            <w:pPr>
              <w:spacing w:after="0"/>
              <w:rPr>
                <w:sz w:val="24"/>
                <w:szCs w:val="24"/>
                <w:color w:val="auto"/>
              </w:rPr>
            </w:pPr>
          </w:p>
        </w:tc>
      </w:tr>
      <w:tr>
        <w:trPr>
          <w:trHeight w:val="41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4.1</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Fourth Supplemental Indenture between Avery Dennison Corporation and The Bank of New York Mellon Trust Company, N.A.,</w:t>
            </w:r>
          </w:p>
        </w:tc>
      </w:tr>
      <w:tr>
        <w:trPr>
          <w:trHeight w:val="216"/>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Trustee, dated as of March 3, 2017 (incorporated by reference to Exhibit 4.2 to the Company’s Current Report on Form 8-K</w:t>
            </w:r>
          </w:p>
        </w:tc>
      </w:tr>
      <w:tr>
        <w:trPr>
          <w:trHeight w:val="216"/>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March 3, 2017).</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4.2</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 of 1.250% Senior Notes due 2025 (incorporated by reference to Exhibit 4.3 to the Company’s Current Report on Form 8-K</w:t>
            </w:r>
          </w:p>
        </w:tc>
      </w:tr>
      <w:tr>
        <w:trPr>
          <w:trHeight w:val="216"/>
        </w:trPr>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filed on March 3, 2017).</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w:t>
            </w:r>
            <w:r>
              <w:rPr>
                <w:rFonts w:ascii="Times New Roman" w:cs="Times New Roman" w:eastAsia="Times New Roman" w:hAnsi="Times New Roman"/>
                <w:sz w:val="17"/>
                <w:szCs w:val="17"/>
                <w:color w:val="auto"/>
              </w:rPr>
              <w:t>†</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 Letter to Gregory S. Lovins</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31.1*</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31.2*</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32.1**</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32.2**</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Extension Schema Document</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Extension Calculation Linkbase Document</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Extension Label Linkbase Document</w:t>
            </w:r>
          </w:p>
        </w:tc>
      </w:tr>
      <w:tr>
        <w:trPr>
          <w:trHeight w:val="216"/>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Extension Presentation Linkbase Document</w:t>
            </w:r>
          </w:p>
        </w:tc>
      </w:t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XBRL Extension Definition Linkbase Document</w:t>
            </w:r>
          </w:p>
        </w:tc>
      </w:tr>
      <w:tr>
        <w:trPr>
          <w:trHeight w:val="41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9540" w:type="dxa"/>
            <w:vAlign w:val="bottom"/>
          </w:tcPr>
          <w:p>
            <w:pPr>
              <w:spacing w:after="0"/>
              <w:rPr>
                <w:sz w:val="24"/>
                <w:szCs w:val="24"/>
                <w:color w:val="auto"/>
              </w:rPr>
            </w:pP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Furnished herewith.</w:t>
            </w:r>
          </w:p>
        </w:tc>
        <w:tc>
          <w:tcPr>
            <w:tcW w:w="9540" w:type="dxa"/>
            <w:vAlign w:val="bottom"/>
          </w:tcPr>
          <w:p>
            <w:pPr>
              <w:spacing w:after="0"/>
              <w:rPr>
                <w:sz w:val="20"/>
                <w:szCs w:val="20"/>
                <w:color w:val="auto"/>
              </w:rPr>
            </w:pPr>
          </w:p>
        </w:tc>
      </w:tr>
    </w:tbl>
    <w:p>
      <w:pPr>
        <w:ind w:left="11240" w:hanging="11232"/>
        <w:spacing w:after="0" w:line="511" w:lineRule="auto"/>
        <w:tabs>
          <w:tab w:leader="none" w:pos="3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to this Form 10-Q pursuant to Part II, Item 6 of Form 10-Q. 30</w:t>
      </w:r>
    </w:p>
    <w:p>
      <w:pPr>
        <w:sectPr>
          <w:pgSz w:w="11900" w:h="17036" w:orient="portrait"/>
          <w:cols w:equalWidth="0" w:num="1">
            <w:col w:w="11420"/>
          </w:cols>
          <w:pgMar w:left="240" w:top="333" w:right="239" w:bottom="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1">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Lori J. Bondar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Lori J. Bondar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May 2, 2017</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5982335</wp:posOffset>
            </wp:positionH>
            <wp:positionV relativeFrom="paragraph">
              <wp:posOffset>148590</wp:posOffset>
            </wp:positionV>
            <wp:extent cx="1269365" cy="4546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93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00"/>
        <w:spacing w:after="0"/>
        <w:rPr>
          <w:sz w:val="20"/>
          <w:szCs w:val="20"/>
          <w:color w:val="auto"/>
        </w:rPr>
      </w:pPr>
      <w:r>
        <w:rPr>
          <w:rFonts w:ascii="Arial" w:cs="Arial" w:eastAsia="Arial" w:hAnsi="Arial"/>
          <w:sz w:val="20"/>
          <w:szCs w:val="20"/>
          <w:b w:val="1"/>
          <w:bCs w:val="1"/>
          <w:color w:val="auto"/>
        </w:rPr>
        <w:t>Avery Dennison Corporation</w:t>
      </w:r>
    </w:p>
    <w:p>
      <w:pPr>
        <w:ind w:left="8000"/>
        <w:spacing w:after="0"/>
        <w:rPr>
          <w:sz w:val="20"/>
          <w:szCs w:val="20"/>
          <w:color w:val="auto"/>
        </w:rPr>
      </w:pPr>
      <w:r>
        <w:rPr>
          <w:rFonts w:ascii="Arial" w:cs="Arial" w:eastAsia="Arial" w:hAnsi="Arial"/>
          <w:sz w:val="20"/>
          <w:szCs w:val="20"/>
          <w:color w:val="auto"/>
        </w:rPr>
        <w:t>207 Goode Avenue, Suite 500</w:t>
      </w:r>
    </w:p>
    <w:p>
      <w:pPr>
        <w:ind w:left="8000"/>
        <w:spacing w:after="0" w:line="225" w:lineRule="auto"/>
        <w:rPr>
          <w:sz w:val="20"/>
          <w:szCs w:val="20"/>
          <w:color w:val="auto"/>
        </w:rPr>
      </w:pPr>
      <w:r>
        <w:rPr>
          <w:rFonts w:ascii="Arial" w:cs="Arial" w:eastAsia="Arial" w:hAnsi="Arial"/>
          <w:sz w:val="20"/>
          <w:szCs w:val="20"/>
          <w:color w:val="auto"/>
        </w:rPr>
        <w:t>Glendale, California 91205</w:t>
      </w:r>
    </w:p>
    <w:p>
      <w:pPr>
        <w:ind w:left="8000"/>
        <w:spacing w:after="0" w:line="225" w:lineRule="auto"/>
        <w:rPr>
          <w:sz w:val="20"/>
          <w:szCs w:val="20"/>
          <w:color w:val="auto"/>
        </w:rPr>
      </w:pPr>
      <w:r>
        <w:rPr>
          <w:rFonts w:ascii="Arial" w:cs="Arial" w:eastAsia="Arial" w:hAnsi="Arial"/>
          <w:sz w:val="20"/>
          <w:szCs w:val="20"/>
          <w:color w:val="auto"/>
        </w:rPr>
        <w:t>Phone 626 304-2000</w:t>
      </w:r>
    </w:p>
    <w:p>
      <w:pPr>
        <w:spacing w:after="0" w:line="1" w:lineRule="exact"/>
        <w:rPr>
          <w:sz w:val="20"/>
          <w:szCs w:val="20"/>
          <w:color w:val="auto"/>
        </w:rPr>
      </w:pPr>
    </w:p>
    <w:p>
      <w:pPr>
        <w:ind w:left="8000"/>
        <w:spacing w:after="0"/>
        <w:rPr>
          <w:sz w:val="20"/>
          <w:szCs w:val="20"/>
          <w:color w:val="auto"/>
        </w:rPr>
      </w:pPr>
      <w:r>
        <w:rPr>
          <w:rFonts w:ascii="Arial" w:cs="Arial" w:eastAsia="Arial" w:hAnsi="Arial"/>
          <w:sz w:val="20"/>
          <w:szCs w:val="20"/>
          <w:color w:val="auto"/>
        </w:rPr>
        <w:t>Fax 626 792-7312</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March 20, 2017</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Greg Lovins</w:t>
      </w:r>
    </w:p>
    <w:p>
      <w:pPr>
        <w:spacing w:after="0" w:line="238" w:lineRule="auto"/>
        <w:rPr>
          <w:sz w:val="20"/>
          <w:szCs w:val="20"/>
          <w:color w:val="auto"/>
        </w:rPr>
      </w:pPr>
      <w:r>
        <w:rPr>
          <w:rFonts w:ascii="Arial" w:cs="Arial" w:eastAsia="Arial" w:hAnsi="Arial"/>
          <w:sz w:val="20"/>
          <w:szCs w:val="20"/>
          <w:color w:val="auto"/>
        </w:rPr>
        <w:t>[Address]</w:t>
      </w:r>
    </w:p>
    <w:p>
      <w:pPr>
        <w:spacing w:after="0"/>
        <w:rPr>
          <w:sz w:val="20"/>
          <w:szCs w:val="20"/>
          <w:color w:val="auto"/>
        </w:rPr>
      </w:pPr>
      <w:r>
        <w:rPr>
          <w:rFonts w:ascii="Arial" w:cs="Arial" w:eastAsia="Arial" w:hAnsi="Arial"/>
          <w:sz w:val="20"/>
          <w:szCs w:val="20"/>
          <w:color w:val="auto"/>
        </w:rPr>
        <w:t>[Address]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Dear Greg:</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I am pleased to offer you the position of Vice President &amp; Interim Chief Financial Officer, reporting directly to me. This role will begin on 3/22/17, and will end when a permanent CFO has been designated, signifying the end of the interim assignment.</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The components of your interim pay package are as follows: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r>
        <w:rPr>
          <w:rFonts w:ascii="Arial" w:cs="Arial" w:eastAsia="Arial" w:hAnsi="Arial"/>
          <w:sz w:val="20"/>
          <w:szCs w:val="20"/>
          <w:color w:val="auto"/>
        </w:rPr>
        <w:t>: Your annualized rate of pay will remain $424,360, paid semi-monthly and subject to normal tax withholdings.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b w:val="1"/>
          <w:bCs w:val="1"/>
          <w:color w:val="auto"/>
        </w:rPr>
        <w:t>Interim Stipend</w:t>
      </w:r>
      <w:r>
        <w:rPr>
          <w:rFonts w:ascii="Arial" w:cs="Arial" w:eastAsia="Arial" w:hAnsi="Arial"/>
          <w:sz w:val="20"/>
          <w:szCs w:val="20"/>
          <w:color w:val="auto"/>
        </w:rPr>
        <w:t>: You will be provided a stipend of $10,000 per month during the interim period. This stipend will be paid semi-monthly via payroll as a separate line item on your paycheck, and will be subject to normal tax withholdings.</w:t>
      </w:r>
    </w:p>
    <w:p>
      <w:pPr>
        <w:spacing w:after="0" w:line="1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Annual Incentive Plan (AIP): </w:t>
      </w:r>
      <w:r>
        <w:rPr>
          <w:rFonts w:ascii="Arial" w:cs="Arial" w:eastAsia="Arial" w:hAnsi="Arial"/>
          <w:sz w:val="20"/>
          <w:szCs w:val="20"/>
          <w:color w:val="auto"/>
        </w:rPr>
        <w:t>Your AIP target will remain at 40% through the interim period. The interim stipend described above</w:t>
      </w:r>
      <w:r>
        <w:rPr>
          <w:rFonts w:ascii="Arial" w:cs="Arial" w:eastAsia="Arial" w:hAnsi="Arial"/>
          <w:sz w:val="20"/>
          <w:szCs w:val="20"/>
          <w:b w:val="1"/>
          <w:bCs w:val="1"/>
          <w:color w:val="auto"/>
        </w:rPr>
        <w:t xml:space="preserve"> </w:t>
      </w:r>
      <w:r>
        <w:rPr>
          <w:rFonts w:ascii="Arial" w:cs="Arial" w:eastAsia="Arial" w:hAnsi="Arial"/>
          <w:sz w:val="20"/>
          <w:szCs w:val="20"/>
          <w:color w:val="auto"/>
        </w:rPr>
        <w:t>will not be included for purposes of calculating your AIP award. The AIP, including eligibility criteria, may change at any time, with or without notice, in accordance with applicable law or, if permissible under the law, at the discretion of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One-Time Bonus:  </w:t>
      </w:r>
      <w:r>
        <w:rPr>
          <w:rFonts w:ascii="Arial" w:cs="Arial" w:eastAsia="Arial" w:hAnsi="Arial"/>
          <w:sz w:val="20"/>
          <w:szCs w:val="20"/>
          <w:color w:val="auto"/>
        </w:rPr>
        <w:t>You will be awarded a special, one-time bonus in the amount of $100,000 at the end of the interim period.</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This payment will be subject to normal tax withholdings.</w:t>
      </w:r>
    </w:p>
    <w:p>
      <w:pPr>
        <w:spacing w:after="0" w:line="17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Housing Support: </w:t>
      </w:r>
      <w:r>
        <w:rPr>
          <w:rFonts w:ascii="Arial" w:cs="Arial" w:eastAsia="Arial" w:hAnsi="Arial"/>
          <w:sz w:val="20"/>
          <w:szCs w:val="20"/>
          <w:color w:val="auto"/>
        </w:rPr>
        <w:t>During the interim period, the Company will pay up to $4,500 per month for temporary housing for you near</w:t>
      </w:r>
      <w:r>
        <w:rPr>
          <w:rFonts w:ascii="Arial" w:cs="Arial" w:eastAsia="Arial" w:hAnsi="Arial"/>
          <w:sz w:val="20"/>
          <w:szCs w:val="20"/>
          <w:b w:val="1"/>
          <w:bCs w:val="1"/>
          <w:color w:val="auto"/>
        </w:rPr>
        <w:t xml:space="preserve"> </w:t>
      </w:r>
      <w:r>
        <w:rPr>
          <w:rFonts w:ascii="Arial" w:cs="Arial" w:eastAsia="Arial" w:hAnsi="Arial"/>
          <w:sz w:val="20"/>
          <w:szCs w:val="20"/>
          <w:color w:val="auto"/>
        </w:rPr>
        <w:t>the Glendale, California headquarters. This will be paid directly to the landlord by the company. This housing support will cease at the end of the interim period.</w:t>
      </w:r>
    </w:p>
    <w:p>
      <w:pPr>
        <w:spacing w:after="0" w:line="1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Long-Term Incentive (LTI): </w:t>
      </w:r>
      <w:r>
        <w:rPr>
          <w:rFonts w:ascii="Arial" w:cs="Arial" w:eastAsia="Arial" w:hAnsi="Arial"/>
          <w:sz w:val="20"/>
          <w:szCs w:val="20"/>
          <w:color w:val="auto"/>
        </w:rPr>
        <w:t>There will be no changes to your long-term incentive eligibility and opportunity during the interim</w:t>
      </w:r>
      <w:r>
        <w:rPr>
          <w:rFonts w:ascii="Arial" w:cs="Arial" w:eastAsia="Arial" w:hAnsi="Arial"/>
          <w:sz w:val="20"/>
          <w:szCs w:val="20"/>
          <w:b w:val="1"/>
          <w:bCs w:val="1"/>
          <w:color w:val="auto"/>
        </w:rPr>
        <w:t xml:space="preserve"> </w:t>
      </w:r>
      <w:r>
        <w:rPr>
          <w:rFonts w:ascii="Arial" w:cs="Arial" w:eastAsia="Arial" w:hAnsi="Arial"/>
          <w:sz w:val="20"/>
          <w:szCs w:val="20"/>
          <w:color w:val="auto"/>
        </w:rPr>
        <w:t>period. Should the interim period extend beyond 2017, the interim stipend described above will not be included for purposes of calculating your 2018 LTI award.</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Sincerely,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/s/ Mitch Butier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Mitch Butier</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00" w:right="10040" w:hanging="292"/>
        <w:spacing w:after="0" w:line="266" w:lineRule="auto"/>
        <w:tabs>
          <w:tab w:leader="none" w:pos="311" w:val="left"/>
        </w:tabs>
        <w:numPr>
          <w:ilvl w:val="0"/>
          <w:numId w:val="15"/>
        </w:numPr>
        <w:rPr>
          <w:rFonts w:ascii="Arial" w:cs="Arial" w:eastAsia="Arial" w:hAnsi="Arial"/>
          <w:sz w:val="20"/>
          <w:szCs w:val="20"/>
          <w:color w:val="auto"/>
        </w:rPr>
      </w:pPr>
      <w:r>
        <w:rPr>
          <w:rFonts w:ascii="Arial" w:cs="Arial" w:eastAsia="Arial" w:hAnsi="Arial"/>
          <w:sz w:val="20"/>
          <w:szCs w:val="20"/>
          <w:color w:val="auto"/>
        </w:rPr>
        <w:t>Mark Alders Anne Hill</w:t>
      </w:r>
    </w:p>
    <w:p>
      <w:pPr>
        <w:spacing w:after="0" w:line="353" w:lineRule="exact"/>
        <w:rPr>
          <w:sz w:val="20"/>
          <w:szCs w:val="20"/>
          <w:color w:val="auto"/>
        </w:rPr>
      </w:pPr>
    </w:p>
    <w:p>
      <w:pPr>
        <w:spacing w:after="0"/>
        <w:tabs>
          <w:tab w:leader="none" w:pos="1460" w:val="left"/>
        </w:tabs>
        <w:rPr>
          <w:sz w:val="20"/>
          <w:szCs w:val="20"/>
          <w:color w:val="auto"/>
        </w:rPr>
      </w:pPr>
      <w:r>
        <w:rPr>
          <w:rFonts w:ascii="Arial" w:cs="Arial" w:eastAsia="Arial" w:hAnsi="Arial"/>
          <w:sz w:val="20"/>
          <w:szCs w:val="20"/>
          <w:b w:val="1"/>
          <w:bCs w:val="1"/>
          <w:color w:val="auto"/>
        </w:rPr>
        <w:t>Accepted by:</w:t>
      </w:r>
      <w:r>
        <w:rPr>
          <w:sz w:val="20"/>
          <w:szCs w:val="20"/>
          <w:color w:val="auto"/>
        </w:rPr>
        <w:tab/>
      </w:r>
      <w:r>
        <w:rPr>
          <w:rFonts w:ascii="Arial" w:cs="Arial" w:eastAsia="Arial" w:hAnsi="Arial"/>
          <w:sz w:val="19"/>
          <w:szCs w:val="19"/>
          <w:b w:val="1"/>
          <w:bCs w:val="1"/>
          <w:color w:val="auto"/>
        </w:rPr>
        <w:t>/s/ Greg Lovins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Date: March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Mitchell R. Butier, certify that:</w:t>
      </w:r>
    </w:p>
    <w:p>
      <w:pPr>
        <w:spacing w:after="0" w:line="225"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3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33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00" w:right="20" w:hanging="333"/>
        <w:spacing w:after="0" w:line="266" w:lineRule="auto"/>
        <w:tabs>
          <w:tab w:leader="none" w:pos="59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00" w:hanging="333"/>
        <w:spacing w:after="0" w:line="266" w:lineRule="auto"/>
        <w:tabs>
          <w:tab w:leader="none" w:pos="59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00" w:right="20" w:hanging="333"/>
        <w:spacing w:after="0" w:line="282" w:lineRule="auto"/>
        <w:tabs>
          <w:tab w:leader="none" w:pos="569"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00" w:hanging="333"/>
        <w:spacing w:after="0" w:line="266" w:lineRule="auto"/>
        <w:tabs>
          <w:tab w:leader="none" w:pos="6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9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hanging="333"/>
        <w:spacing w:after="0" w:line="282" w:lineRule="auto"/>
        <w:tabs>
          <w:tab w:leader="none" w:pos="58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hanging="333"/>
        <w:spacing w:after="0" w:line="282" w:lineRule="auto"/>
        <w:tabs>
          <w:tab w:leader="none" w:pos="60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Lovins, certify that:</w:t>
      </w:r>
    </w:p>
    <w:p>
      <w:pPr>
        <w:spacing w:after="0" w:line="225"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Avery Dennison Corporation;</w:t>
      </w:r>
    </w:p>
    <w:p>
      <w:pPr>
        <w:spacing w:after="0" w:line="225" w:lineRule="exact"/>
        <w:rPr>
          <w:rFonts w:ascii="Times New Roman" w:cs="Times New Roman" w:eastAsia="Times New Roman" w:hAnsi="Times New Roman"/>
          <w:sz w:val="18"/>
          <w:szCs w:val="18"/>
          <w:color w:val="auto"/>
        </w:rPr>
      </w:pPr>
    </w:p>
    <w:p>
      <w:pPr>
        <w:ind w:left="260" w:hanging="252"/>
        <w:spacing w:after="0" w:line="282" w:lineRule="auto"/>
        <w:tabs>
          <w:tab w:leader="none" w:pos="3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60" w:hanging="252"/>
        <w:spacing w:after="0" w:line="282" w:lineRule="auto"/>
        <w:tabs>
          <w:tab w:leader="none" w:pos="3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260" w:hanging="252"/>
        <w:spacing w:after="0" w:line="266" w:lineRule="auto"/>
        <w:tabs>
          <w:tab w:leader="none" w:pos="34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600" w:right="20" w:hanging="333"/>
        <w:spacing w:after="0" w:line="266" w:lineRule="auto"/>
        <w:tabs>
          <w:tab w:leader="none" w:pos="5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600" w:hanging="333"/>
        <w:spacing w:after="0" w:line="266" w:lineRule="auto"/>
        <w:tabs>
          <w:tab w:leader="none" w:pos="59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600" w:right="20" w:hanging="333"/>
        <w:spacing w:after="0" w:line="282" w:lineRule="auto"/>
        <w:tabs>
          <w:tab w:leader="none" w:pos="56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00" w:hanging="333"/>
        <w:spacing w:after="0" w:line="266" w:lineRule="auto"/>
        <w:tabs>
          <w:tab w:leader="none" w:pos="6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9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00" w:hanging="333"/>
        <w:spacing w:after="0" w:line="282" w:lineRule="auto"/>
        <w:tabs>
          <w:tab w:leader="none" w:pos="58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00" w:hanging="333"/>
        <w:spacing w:after="0" w:line="282" w:lineRule="auto"/>
        <w:tabs>
          <w:tab w:leader="none" w:pos="60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60" w:hanging="485"/>
        <w:spacing w:after="0" w:line="282" w:lineRule="auto"/>
        <w:tabs>
          <w:tab w:leader="none" w:pos="12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April 1,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60" w:hanging="485"/>
        <w:spacing w:after="0" w:line="282" w:lineRule="auto"/>
        <w:tabs>
          <w:tab w:leader="none" w:pos="125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Mitchell R. Butier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Mitchell R. Butier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ind w:left="260" w:right="380" w:hanging="252"/>
        <w:spacing w:after="0" w:line="282" w:lineRule="auto"/>
        <w:tabs>
          <w:tab w:leader="none" w:pos="25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Avery Dennison Corporation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18 U.S.C. Section 1350, as created by Section 906 of the Sarbanes-Oxley Act of 2002, the undersigned officer of Avery Dennison Corporation (the “Company”) hereby certifies, to the best of his knowledge, that:</w:t>
      </w:r>
    </w:p>
    <w:p>
      <w:pPr>
        <w:spacing w:after="0" w:line="162" w:lineRule="exact"/>
        <w:rPr>
          <w:sz w:val="20"/>
          <w:szCs w:val="20"/>
          <w:color w:val="auto"/>
        </w:rPr>
      </w:pPr>
    </w:p>
    <w:p>
      <w:pPr>
        <w:ind w:left="1060" w:hanging="485"/>
        <w:spacing w:after="0" w:line="282" w:lineRule="auto"/>
        <w:tabs>
          <w:tab w:leader="none" w:pos="126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April 1, 2017 (the “Report”) fully complies with the requirements of Section 13(a) or Section 15(d), as applicable,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60" w:hanging="485"/>
        <w:spacing w:after="0" w:line="282" w:lineRule="auto"/>
        <w:tabs>
          <w:tab w:leader="none" w:pos="125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 2017</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Gregory S. Lovins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Gregory S. Lovins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Vice President and Interim Chief Financial Officer</w:t>
      </w:r>
    </w:p>
    <w:p>
      <w:pPr>
        <w:spacing w:after="0" w:line="207" w:lineRule="exact"/>
        <w:rPr>
          <w:sz w:val="20"/>
          <w:szCs w:val="20"/>
          <w:color w:val="auto"/>
        </w:rPr>
      </w:pPr>
    </w:p>
    <w:p>
      <w:pPr>
        <w:ind w:left="180" w:right="60" w:hanging="172"/>
        <w:spacing w:after="0" w:line="282" w:lineRule="auto"/>
        <w:tabs>
          <w:tab w:leader="none" w:pos="15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certification accompanies the Company’s Quarterly Report on Form 10-Q and is furnished, not filed, as provided in SEC Release 33-8238, dated June 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2"/>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29"/>
    </w:lvl>
  </w:abstractNum>
  <w:abstractNum w:abstractNumId="15">
    <w:nsid w:val="3F2DBA31"/>
    <w:multiLevelType w:val="hybridMultilevel"/>
    <w:lvl w:ilvl="0">
      <w:lvlJc w:val="left"/>
      <w:lvlText w:val="%1."/>
      <w:numFmt w:val="decimal"/>
      <w:start w:val="1"/>
    </w:lvl>
    <w:lvl w:ilvl="1">
      <w:lvlJc w:val="left"/>
      <w:lvlText w:val="%2)"/>
      <w:numFmt w:val="lowerLetter"/>
      <w:start w:val="1"/>
    </w:lvl>
  </w:abstractNum>
  <w:abstractNum w:abstractNumId="16">
    <w:nsid w:val="7C83E458"/>
    <w:multiLevelType w:val="hybridMultilevel"/>
    <w:lvl w:ilvl="0">
      <w:lvlJc w:val="left"/>
      <w:lvlText w:val="%1."/>
      <w:numFmt w:val="decimal"/>
      <w:start w:val="1"/>
    </w:lvl>
    <w:lvl w:ilvl="1">
      <w:lvlJc w:val="left"/>
      <w:lvlText w:val="%2)"/>
      <w:numFmt w:val="lowerLetter"/>
      <w:start w:val="1"/>
    </w:lvl>
  </w:abstractNum>
  <w:abstractNum w:abstractNumId="17">
    <w:nsid w:val="257130A3"/>
    <w:multiLevelType w:val="hybridMultilevel"/>
    <w:lvl w:ilvl="0">
      <w:lvlJc w:val="left"/>
      <w:lvlText w:val="(%1)"/>
      <w:numFmt w:val="lowerRoman"/>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lowerRoman"/>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2019-12-29T05:55:25Z</dcterms:created>
  <dcterms:modified xsi:type="dcterms:W3CDTF">2019-12-29T05:55:25Z</dcterms:modified>
</cp:coreProperties>
</file>