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pPr>
      <w:hyperlink w:anchor="ib3caf56900394eb1806ff7cd5a3e9df4_7">
        <w:r>
          <w:rPr>
            <w:rStyle w:val="InternetLink"/>
            <w:rFonts w:ascii="Times New Roman;serif" w:hAnsi="Times New Roman;serif"/>
            <w:b/>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 xml:space="preserve">UNITED STATES SECURITIES AND EXCHANGE COMMISSION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WASHINGTON, DC 20549 </w:t>
      </w:r>
    </w:p>
    <w:p>
      <w:pPr>
        <w:pStyle w:val="TextBody"/>
        <w:bidi w:val="0"/>
        <w:spacing w:lineRule="auto" w:line="288" w:before="160" w:after="283"/>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160" w:after="283"/>
        <w:jc w:val="left"/>
        <w:rPr>
          <w:rFonts w:ascii="Times New Roman;serif" w:hAnsi="Times New Roman;serif"/>
          <w:b/>
          <w:color w:val="000000"/>
          <w:sz w:val="18"/>
        </w:rPr>
      </w:pPr>
      <w:r>
        <w:rPr>
          <w:rFonts w:ascii="Times New Roman;serif" w:hAnsi="Times New Roman;serif"/>
          <w:b/>
          <w:color w:val="000000"/>
          <w:sz w:val="18"/>
        </w:rPr>
        <w:t>(Mark One)</w:t>
      </w:r>
    </w:p>
    <w:tbl>
      <w:tblPr>
        <w:tblW w:w="9807" w:type="dxa"/>
        <w:jc w:val="left"/>
        <w:tblInd w:w="0" w:type="dxa"/>
        <w:tblLayout w:type="fixed"/>
        <w:tblCellMar>
          <w:top w:w="28" w:type="dxa"/>
          <w:left w:w="28" w:type="dxa"/>
          <w:bottom w:w="28" w:type="dxa"/>
          <w:right w:w="28" w:type="dxa"/>
        </w:tblCellMar>
      </w:tblPr>
      <w:tblGrid>
        <w:gridCol w:w="124"/>
        <w:gridCol w:w="109"/>
        <w:gridCol w:w="109"/>
        <w:gridCol w:w="2773"/>
        <w:gridCol w:w="2773"/>
        <w:gridCol w:w="3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946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18"/>
              </w:rPr>
            </w:pPr>
            <w:r>
              <w:rPr>
                <w:rFonts w:ascii="Times New Roman;serif" w:hAnsi="Times New Roman;serif"/>
                <w:b/>
                <w:color w:val="000000"/>
                <w:sz w:val="18"/>
              </w:rPr>
              <w:t xml:space="preserve">QUARTERLY REPORT PURSUANT TO SECTION 13 OR 15(d) OF THE SECURITIES EXCHANGE ACT OF 1934 </w:t>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 the quarterly period ended March 31, 2026.</w:t>
      </w:r>
    </w:p>
    <w:p>
      <w:pPr>
        <w:pStyle w:val="TextBody"/>
        <w:bidi w:val="0"/>
        <w:spacing w:lineRule="auto" w:line="288" w:before="160" w:after="283"/>
        <w:jc w:val="center"/>
        <w:rPr>
          <w:rFonts w:ascii="Times New Roman;serif" w:hAnsi="Times New Roman;serif"/>
          <w:b/>
          <w:color w:val="000000"/>
          <w:sz w:val="18"/>
        </w:rPr>
      </w:pPr>
      <w:r>
        <w:rPr>
          <w:rFonts w:ascii="Times New Roman;serif" w:hAnsi="Times New Roman;serif"/>
          <w:b/>
          <w:color w:val="000000"/>
          <w:sz w:val="18"/>
        </w:rPr>
        <w:t>OR</w:t>
      </w:r>
    </w:p>
    <w:tbl>
      <w:tblPr>
        <w:tblW w:w="9807" w:type="dxa"/>
        <w:jc w:val="left"/>
        <w:tblInd w:w="0" w:type="dxa"/>
        <w:tblLayout w:type="fixed"/>
        <w:tblCellMar>
          <w:top w:w="28" w:type="dxa"/>
          <w:left w:w="28" w:type="dxa"/>
          <w:bottom w:w="28" w:type="dxa"/>
          <w:right w:w="28" w:type="dxa"/>
        </w:tblCellMar>
      </w:tblPr>
      <w:tblGrid>
        <w:gridCol w:w="124"/>
        <w:gridCol w:w="109"/>
        <w:gridCol w:w="109"/>
        <w:gridCol w:w="2773"/>
        <w:gridCol w:w="2773"/>
        <w:gridCol w:w="3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9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18"/>
              </w:rPr>
            </w:pPr>
            <w:r>
              <w:rPr>
                <w:rFonts w:ascii="Times New Roman;serif" w:hAnsi="Times New Roman;serif"/>
                <w:b/>
                <w:color w:val="000000"/>
                <w:sz w:val="18"/>
              </w:rPr>
              <w:t xml:space="preserve">TRANSITION REPORT PURSUANT TO SECTION 13 OR 15(d) OF THE SECURITIES EXCHANGE ACT OF 1934 </w:t>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 the transition period from ________________________ to ________________________</w:t>
      </w:r>
    </w:p>
    <w:p>
      <w:pPr>
        <w:pStyle w:val="TextBody"/>
        <w:bidi w:val="0"/>
        <w:spacing w:lineRule="auto" w:line="288" w:before="160" w:after="283"/>
        <w:jc w:val="center"/>
        <w:rPr>
          <w:rFonts w:ascii="Times New Roman;serif" w:hAnsi="Times New Roman;serif"/>
          <w:b/>
          <w:color w:val="000000"/>
          <w:sz w:val="18"/>
        </w:rPr>
      </w:pPr>
      <w:r>
        <w:rPr>
          <w:rFonts w:ascii="Times New Roman;serif" w:hAnsi="Times New Roman;serif"/>
          <w:b/>
          <w:color w:val="000000"/>
          <w:sz w:val="18"/>
        </w:rPr>
        <w:t>Commission file number 1-7685</w:t>
      </w:r>
    </w:p>
    <w:p>
      <w:pPr>
        <w:pStyle w:val="TextBody"/>
        <w:bidi w:val="0"/>
        <w:spacing w:lineRule="auto" w:line="288" w:before="160" w:after="283"/>
        <w:jc w:val="center"/>
        <w:rPr>
          <w:rFonts w:ascii="Times New Roman;serif" w:hAnsi="Times New Roman;serif"/>
          <w:b/>
          <w:color w:val="000000"/>
          <w:sz w:val="28"/>
        </w:rPr>
      </w:pPr>
      <w:r>
        <w:rPr>
          <w:rFonts w:ascii="Times New Roman;serif" w:hAnsi="Times New Roman;serif"/>
          <w:b/>
          <w:color w:val="000000"/>
          <w:sz w:val="28"/>
        </w:rPr>
        <w:t>AVERY DENNISON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6085" w:type="dxa"/>
        <w:jc w:val="left"/>
        <w:tblInd w:w="0" w:type="dxa"/>
        <w:tblLayout w:type="fixed"/>
        <w:tblCellMar>
          <w:top w:w="28" w:type="dxa"/>
          <w:left w:w="28" w:type="dxa"/>
          <w:bottom w:w="28" w:type="dxa"/>
          <w:right w:w="28" w:type="dxa"/>
        </w:tblCellMar>
      </w:tblPr>
      <w:tblGrid>
        <w:gridCol w:w="1295"/>
        <w:gridCol w:w="1139"/>
        <w:gridCol w:w="1150"/>
        <w:gridCol w:w="109"/>
        <w:gridCol w:w="109"/>
        <w:gridCol w:w="109"/>
        <w:gridCol w:w="635"/>
        <w:gridCol w:w="635"/>
        <w:gridCol w:w="904"/>
      </w:tblGrid>
      <w:tr>
        <w:trPr/>
        <w:tc>
          <w:tcPr>
            <w:tcW w:w="1295"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95-1492269</w:t>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(I.R.S. Employer Identification No.)</w:t>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8080 Norton Parkway</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Mentor, Ohio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44060</w:t>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(Zip Code)</w:t>
            </w:r>
          </w:p>
        </w:tc>
      </w:tr>
    </w:tbl>
    <w:p>
      <w:pPr>
        <w:pStyle w:val="TextBody"/>
        <w:bidi w:val="0"/>
        <w:spacing w:lineRule="auto" w:line="288" w:before="160" w:after="283"/>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 (440) 534-6000</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716" w:type="dxa"/>
        <w:jc w:val="left"/>
        <w:tblInd w:w="0" w:type="dxa"/>
        <w:tblLayout w:type="fixed"/>
        <w:tblCellMar>
          <w:top w:w="28" w:type="dxa"/>
          <w:left w:w="28" w:type="dxa"/>
          <w:bottom w:w="28" w:type="dxa"/>
          <w:right w:w="28" w:type="dxa"/>
        </w:tblCellMar>
      </w:tblPr>
      <w:tblGrid>
        <w:gridCol w:w="830"/>
        <w:gridCol w:w="727"/>
        <w:gridCol w:w="737"/>
        <w:gridCol w:w="109"/>
        <w:gridCol w:w="109"/>
        <w:gridCol w:w="109"/>
        <w:gridCol w:w="484"/>
        <w:gridCol w:w="484"/>
        <w:gridCol w:w="486"/>
        <w:gridCol w:w="109"/>
        <w:gridCol w:w="109"/>
        <w:gridCol w:w="109"/>
        <w:gridCol w:w="970"/>
        <w:gridCol w:w="970"/>
        <w:gridCol w:w="1374"/>
      </w:tblGrid>
      <w:tr>
        <w:trPr/>
        <w:tc>
          <w:tcPr>
            <w:tcW w:w="830"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AVY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3.750% Senior Notes due 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AVY34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Stock Market</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4.000% Senior Notes due 2035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AVY35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Stock Market</w:t>
            </w:r>
          </w:p>
        </w:tc>
      </w:tr>
    </w:tbl>
    <w:p>
      <w:pPr>
        <w:pStyle w:val="TextBody"/>
        <w:bidi w:val="0"/>
        <w:spacing w:lineRule="auto" w:line="288" w:before="160" w:after="283"/>
        <w:jc w:val="both"/>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r>
        <w:rPr>
          <w:color w:val="000000"/>
        </w:rPr>
        <w:t xml:space="preserve"> </w:t>
      </w:r>
    </w:p>
    <w:p>
      <w:pPr>
        <w:pStyle w:val="TextBody"/>
        <w:bidi w:val="0"/>
        <w:spacing w:lineRule="auto" w:line="288" w:before="160" w:after="283"/>
        <w:jc w:val="both"/>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r>
        <w:rPr>
          <w:color w:val="000000"/>
        </w:rPr>
        <w:t xml:space="preserve"> </w:t>
      </w:r>
    </w:p>
    <w:p>
      <w:pPr>
        <w:pStyle w:val="TextBody"/>
        <w:bidi w:val="0"/>
        <w:spacing w:lineRule="auto" w:line="288" w:before="160" w:after="283"/>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36"/>
        <w:gridCol w:w="558"/>
        <w:gridCol w:w="560"/>
        <w:gridCol w:w="109"/>
        <w:gridCol w:w="109"/>
        <w:gridCol w:w="109"/>
        <w:gridCol w:w="457"/>
        <w:gridCol w:w="457"/>
        <w:gridCol w:w="459"/>
        <w:gridCol w:w="109"/>
        <w:gridCol w:w="109"/>
        <w:gridCol w:w="109"/>
        <w:gridCol w:w="562"/>
        <w:gridCol w:w="562"/>
        <w:gridCol w:w="564"/>
        <w:gridCol w:w="109"/>
        <w:gridCol w:w="109"/>
        <w:gridCol w:w="109"/>
        <w:gridCol w:w="667"/>
        <w:gridCol w:w="667"/>
        <w:gridCol w:w="670"/>
        <w:gridCol w:w="109"/>
        <w:gridCol w:w="109"/>
        <w:gridCol w:w="109"/>
        <w:gridCol w:w="605"/>
        <w:gridCol w:w="605"/>
        <w:gridCol w:w="868"/>
      </w:tblGrid>
      <w:tr>
        <w:trPr/>
        <w:tc>
          <w:tcPr>
            <w:tcW w:w="63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88" w:before="240" w:after="283"/>
              <w:jc w:val="both"/>
              <w:rPr/>
            </w:pP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lineRule="auto" w:line="288" w:before="240" w:after="283"/>
              <w:jc w:val="both"/>
              <w:rPr/>
            </w:pP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lineRule="auto" w:line="288" w:before="240" w:after="283"/>
              <w:jc w:val="both"/>
              <w:rPr/>
            </w:pP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3"/>
            <w:tcBorders/>
            <w:tcMar>
              <w:top w:w="0" w:type="dxa"/>
              <w:left w:w="0" w:type="dxa"/>
              <w:bottom w:w="0" w:type="dxa"/>
              <w:right w:w="0" w:type="dxa"/>
            </w:tcMar>
            <w:vAlign w:val="center"/>
          </w:tcPr>
          <w:p>
            <w:pPr>
              <w:pStyle w:val="TableContents"/>
              <w:bidi w:val="0"/>
              <w:spacing w:lineRule="auto" w:line="288" w:before="240" w:after="283"/>
              <w:jc w:val="both"/>
              <w:rPr/>
            </w:pP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288" w:before="240" w:after="283"/>
              <w:jc w:val="both"/>
              <w:rPr/>
            </w:pP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Emerging growth company</w:t>
            </w:r>
          </w:p>
        </w:tc>
      </w:tr>
    </w:tbl>
    <w:p>
      <w:pPr>
        <w:pStyle w:val="TextBody"/>
        <w:bidi w:val="0"/>
        <w:spacing w:lineRule="auto" w:line="288" w:before="160" w:after="283"/>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r>
        <w:rPr>
          <w:color w:val="000000"/>
        </w:rPr>
        <w:t xml:space="preserve"> </w:t>
      </w:r>
    </w:p>
    <w:p>
      <w:pPr>
        <w:pStyle w:val="TextBody"/>
        <w:bidi w:val="0"/>
        <w:spacing w:lineRule="auto" w:line="288" w:before="160" w:after="283"/>
        <w:jc w:val="both"/>
        <w:rPr/>
      </w:pPr>
      <w:r>
        <w:rPr>
          <w:rFonts w:ascii="Times New Roman;serif" w:hAnsi="Times New Roman;serif"/>
          <w:b w:val="false"/>
          <w:color w:val="000000"/>
          <w:sz w:val="16"/>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160" w:after="283"/>
        <w:jc w:val="both"/>
        <w:rPr>
          <w:rFonts w:ascii="Times New Roman;serif" w:hAnsi="Times New Roman;serif"/>
          <w:b w:val="false"/>
          <w:color w:val="000000"/>
          <w:sz w:val="16"/>
        </w:rPr>
      </w:pPr>
      <w:r>
        <w:rPr>
          <w:rFonts w:ascii="Times New Roman;serif" w:hAnsi="Times New Roman;serif"/>
          <w:b w:val="false"/>
          <w:color w:val="000000"/>
          <w:sz w:val="16"/>
        </w:rPr>
        <w:t>Number of shares of $1 par value common stock outstanding as of May 2, 2026: 76,490,385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76" w:before="0" w:after="0"/>
        <w:jc w:val="left"/>
        <w:rPr/>
      </w:pPr>
      <w:hyperlink w:anchor="ib3caf56900394eb1806ff7cd5a3e9df4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AVERY DENNISON CORPORATION </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FISCAL FIRST QUARTER 2026 QUARTERLY REPORT ON FORM 10-Q</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TABLE OF CONTENTS</w:t>
      </w:r>
    </w:p>
    <w:tbl>
      <w:tblPr>
        <w:tblW w:w="10205" w:type="dxa"/>
        <w:jc w:val="left"/>
        <w:tblInd w:w="0" w:type="dxa"/>
        <w:tblLayout w:type="fixed"/>
        <w:tblCellMar>
          <w:top w:w="28" w:type="dxa"/>
          <w:left w:w="28" w:type="dxa"/>
          <w:bottom w:w="28" w:type="dxa"/>
          <w:right w:w="28" w:type="dxa"/>
        </w:tblCellMar>
      </w:tblPr>
      <w:tblGrid>
        <w:gridCol w:w="763"/>
        <w:gridCol w:w="631"/>
        <w:gridCol w:w="631"/>
        <w:gridCol w:w="2624"/>
        <w:gridCol w:w="2502"/>
        <w:gridCol w:w="2540"/>
        <w:gridCol w:w="149"/>
        <w:gridCol w:w="149"/>
        <w:gridCol w:w="216"/>
      </w:tblGrid>
      <w:tr>
        <w:trPr/>
        <w:tc>
          <w:tcPr>
            <w:tcW w:w="763"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Page</w:t>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3caf56900394eb1806ff7cd5a3e9df4_10">
              <w:r>
                <w:rPr>
                  <w:rStyle w:val="InternetLink"/>
                  <w:rFonts w:ascii="Times New Roman;serif" w:hAnsi="Times New Roman;serif"/>
                  <w:b/>
                  <w:color w:val="0000FF"/>
                  <w:sz w:val="18"/>
                  <w:u w:val="single"/>
                </w:rPr>
                <w:t>SAFE HARBOR STATEMENT</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3caf56900394eb1806ff7cd5a3e9df4_10">
              <w:r>
                <w:rPr>
                  <w:rStyle w:val="InternetLink"/>
                  <w:rFonts w:ascii="Times New Roman;serif" w:hAnsi="Times New Roman;serif"/>
                  <w:b w:val="false"/>
                  <w:strike w:val="false"/>
                  <w:dstrike w:val="false"/>
                  <w:color w:val="000000"/>
                  <w:sz w:val="18"/>
                  <w:u w:val="none"/>
                  <w:effect w:val="none"/>
                </w:rPr>
                <w:t>1</w:t>
              </w:r>
            </w:hyperlink>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3caf56900394eb1806ff7cd5a3e9df4_13">
              <w:r>
                <w:rPr>
                  <w:rStyle w:val="InternetLink"/>
                  <w:rFonts w:ascii="Times New Roman;serif" w:hAnsi="Times New Roman;serif"/>
                  <w:b/>
                  <w:color w:val="0000FF"/>
                  <w:sz w:val="18"/>
                  <w:u w:val="single"/>
                </w:rPr>
                <w:t>PART I. FINANCIAL INFORMATION (UNAUDITED)</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caf56900394eb1806ff7cd5a3e9df4_16">
              <w:r>
                <w:rPr>
                  <w:rStyle w:val="InternetLink"/>
                  <w:rFonts w:ascii="Times New Roman;serif" w:hAnsi="Times New Roman;serif"/>
                  <w:b w:val="false"/>
                  <w:strike w:val="false"/>
                  <w:dstrike w:val="false"/>
                  <w:color w:val="000000"/>
                  <w:sz w:val="18"/>
                  <w:u w:val="none"/>
                  <w:effect w:val="none"/>
                </w:rPr>
                <w:t>Item 1.</w:t>
              </w:r>
            </w:hyperlink>
          </w:p>
        </w:tc>
        <w:tc>
          <w:tcPr>
            <w:tcW w:w="76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caf56900394eb1806ff7cd5a3e9df4_16">
              <w:r>
                <w:rPr>
                  <w:rStyle w:val="InternetLink"/>
                  <w:rFonts w:ascii="Times New Roman;serif" w:hAnsi="Times New Roman;serif"/>
                  <w:b w:val="false"/>
                  <w:color w:val="0000FF"/>
                  <w:sz w:val="18"/>
                  <w:u w:val="single"/>
                </w:rPr>
                <w:t>Financial Statements:</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caf56900394eb1806ff7cd5a3e9df4_19">
              <w:r>
                <w:rPr>
                  <w:rStyle w:val="InternetLink"/>
                  <w:rFonts w:ascii="Times New Roman;serif" w:hAnsi="Times New Roman;serif"/>
                  <w:b w:val="false"/>
                  <w:color w:val="000080"/>
                  <w:sz w:val="18"/>
                  <w:u w:val="single"/>
                </w:rPr>
                <w:t xml:space="preserve">Condensed Consolidated Balance Sheets as of </w:t>
              </w:r>
            </w:hyperlink>
            <w:hyperlink w:anchor="ib3caf56900394eb1806ff7cd5a3e9df4_19">
              <w:r>
                <w:rPr>
                  <w:rStyle w:val="InternetLink"/>
                  <w:rFonts w:ascii="Times New Roman;serif" w:hAnsi="Times New Roman;serif"/>
                  <w:b w:val="false"/>
                  <w:color w:val="000080"/>
                  <w:sz w:val="18"/>
                  <w:u w:val="single"/>
                </w:rPr>
                <w:t>March 31</w:t>
              </w:r>
            </w:hyperlink>
            <w:hyperlink w:anchor="ib3caf56900394eb1806ff7cd5a3e9df4_19">
              <w:r>
                <w:rPr>
                  <w:rStyle w:val="InternetLink"/>
                  <w:rFonts w:ascii="Times New Roman;serif" w:hAnsi="Times New Roman;serif"/>
                  <w:b w:val="false"/>
                  <w:color w:val="000080"/>
                  <w:sz w:val="18"/>
                  <w:u w:val="single"/>
                </w:rPr>
                <w:t>, 202</w:t>
              </w:r>
            </w:hyperlink>
            <w:hyperlink w:anchor="ib3caf56900394eb1806ff7cd5a3e9df4_19">
              <w:r>
                <w:rPr>
                  <w:rStyle w:val="InternetLink"/>
                  <w:rFonts w:ascii="Times New Roman;serif" w:hAnsi="Times New Roman;serif"/>
                  <w:b w:val="false"/>
                  <w:color w:val="000080"/>
                  <w:sz w:val="18"/>
                  <w:u w:val="single"/>
                </w:rPr>
                <w:t>6</w:t>
              </w:r>
            </w:hyperlink>
            <w:hyperlink w:anchor="ib3caf56900394eb1806ff7cd5a3e9df4_19">
              <w:r>
                <w:rPr>
                  <w:rStyle w:val="InternetLink"/>
                  <w:rFonts w:ascii="Times New Roman;serif" w:hAnsi="Times New Roman;serif"/>
                  <w:b w:val="false"/>
                  <w:color w:val="000080"/>
                  <w:sz w:val="18"/>
                  <w:u w:val="single"/>
                </w:rPr>
                <w:t xml:space="preserve"> and December </w:t>
              </w:r>
            </w:hyperlink>
            <w:hyperlink w:anchor="ib3caf56900394eb1806ff7cd5a3e9df4_19">
              <w:r>
                <w:rPr>
                  <w:rStyle w:val="InternetLink"/>
                  <w:rFonts w:ascii="Times New Roman;serif" w:hAnsi="Times New Roman;serif"/>
                  <w:b w:val="false"/>
                  <w:color w:val="000080"/>
                  <w:sz w:val="18"/>
                  <w:u w:val="single"/>
                </w:rPr>
                <w:t>31</w:t>
              </w:r>
            </w:hyperlink>
            <w:hyperlink w:anchor="ib3caf56900394eb1806ff7cd5a3e9df4_19">
              <w:r>
                <w:rPr>
                  <w:rStyle w:val="InternetLink"/>
                  <w:rFonts w:ascii="Times New Roman;serif" w:hAnsi="Times New Roman;serif"/>
                  <w:b w:val="false"/>
                  <w:color w:val="000080"/>
                  <w:sz w:val="18"/>
                  <w:u w:val="single"/>
                </w:rPr>
                <w:t>, 202</w:t>
              </w:r>
            </w:hyperlink>
            <w:hyperlink w:anchor="ib3caf56900394eb1806ff7cd5a3e9df4_19">
              <w:r>
                <w:rPr>
                  <w:rStyle w:val="InternetLink"/>
                  <w:rFonts w:ascii="Times New Roman;serif" w:hAnsi="Times New Roman;serif"/>
                  <w:b w:val="false"/>
                  <w:color w:val="000080"/>
                  <w:sz w:val="18"/>
                  <w:u w:val="single"/>
                </w:rPr>
                <w:t>5</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caf56900394eb1806ff7cd5a3e9df4_19">
              <w:r>
                <w:rPr>
                  <w:rStyle w:val="InternetLink"/>
                  <w:rFonts w:ascii="Times New Roman;serif" w:hAnsi="Times New Roman;serif"/>
                  <w:b w:val="false"/>
                  <w:strike w:val="false"/>
                  <w:dstrike w:val="false"/>
                  <w:color w:val="000000"/>
                  <w:sz w:val="18"/>
                  <w:u w:val="none"/>
                  <w:effect w:val="none"/>
                </w:rPr>
                <w:t>2</w:t>
              </w:r>
            </w:hyperlink>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caf56900394eb1806ff7cd5a3e9df4_22">
              <w:r>
                <w:rPr>
                  <w:rStyle w:val="InternetLink"/>
                  <w:rFonts w:ascii="Times New Roman;serif" w:hAnsi="Times New Roman;serif"/>
                  <w:b w:val="false"/>
                  <w:color w:val="000080"/>
                  <w:sz w:val="18"/>
                  <w:u w:val="single"/>
                </w:rPr>
                <w:t>Condensed Consolidated Statements of Income for the Three</w:t>
              </w:r>
            </w:hyperlink>
            <w:hyperlink w:anchor="ib3caf56900394eb1806ff7cd5a3e9df4_22">
              <w:r>
                <w:rPr>
                  <w:rStyle w:val="InternetLink"/>
                  <w:rFonts w:ascii="Times New Roman;serif" w:hAnsi="Times New Roman;serif"/>
                  <w:b w:val="false"/>
                  <w:color w:val="000080"/>
                  <w:sz w:val="18"/>
                  <w:u w:val="single"/>
                </w:rPr>
                <w:t xml:space="preserve"> </w:t>
              </w:r>
            </w:hyperlink>
            <w:hyperlink w:anchor="ib3caf56900394eb1806ff7cd5a3e9df4_22">
              <w:r>
                <w:rPr>
                  <w:rStyle w:val="InternetLink"/>
                  <w:rFonts w:ascii="Times New Roman;serif" w:hAnsi="Times New Roman;serif"/>
                  <w:b w:val="false"/>
                  <w:color w:val="000080"/>
                  <w:sz w:val="18"/>
                  <w:u w:val="single"/>
                </w:rPr>
                <w:t>Months</w:t>
              </w:r>
            </w:hyperlink>
            <w:hyperlink w:anchor="ib3caf56900394eb1806ff7cd5a3e9df4_22">
              <w:r>
                <w:rPr>
                  <w:rStyle w:val="InternetLink"/>
                  <w:rFonts w:ascii="Times New Roman;serif" w:hAnsi="Times New Roman;serif"/>
                  <w:b w:val="false"/>
                  <w:color w:val="000080"/>
                  <w:sz w:val="18"/>
                  <w:u w:val="single"/>
                </w:rPr>
                <w:t xml:space="preserve"> Ended </w:t>
              </w:r>
            </w:hyperlink>
            <w:hyperlink w:anchor="ib3caf56900394eb1806ff7cd5a3e9df4_22">
              <w:r>
                <w:rPr>
                  <w:rStyle w:val="InternetLink"/>
                  <w:rFonts w:ascii="Times New Roman;serif" w:hAnsi="Times New Roman;serif"/>
                  <w:b w:val="false"/>
                  <w:color w:val="000080"/>
                  <w:sz w:val="18"/>
                  <w:u w:val="single"/>
                </w:rPr>
                <w:t>March</w:t>
              </w:r>
            </w:hyperlink>
            <w:hyperlink w:anchor="ib3caf56900394eb1806ff7cd5a3e9df4_22">
              <w:r>
                <w:rPr>
                  <w:rStyle w:val="InternetLink"/>
                  <w:rFonts w:ascii="Times New Roman;serif" w:hAnsi="Times New Roman;serif"/>
                  <w:b w:val="false"/>
                  <w:color w:val="000080"/>
                  <w:sz w:val="18"/>
                  <w:u w:val="single"/>
                </w:rPr>
                <w:t xml:space="preserve"> 31, 2026 </w:t>
              </w:r>
            </w:hyperlink>
            <w:hyperlink w:anchor="ib3caf56900394eb1806ff7cd5a3e9df4_22">
              <w:r>
                <w:rPr>
                  <w:rStyle w:val="InternetLink"/>
                  <w:rFonts w:ascii="Times New Roman;serif" w:hAnsi="Times New Roman;serif"/>
                  <w:b w:val="false"/>
                  <w:color w:val="000080"/>
                  <w:sz w:val="18"/>
                  <w:u w:val="single"/>
                </w:rPr>
                <w:t xml:space="preserve">and </w:t>
              </w:r>
            </w:hyperlink>
            <w:hyperlink w:anchor="ib3caf56900394eb1806ff7cd5a3e9df4_22">
              <w:r>
                <w:rPr>
                  <w:rStyle w:val="InternetLink"/>
                  <w:rFonts w:ascii="Times New Roman;serif" w:hAnsi="Times New Roman;serif"/>
                  <w:b w:val="false"/>
                  <w:color w:val="000080"/>
                  <w:sz w:val="18"/>
                  <w:u w:val="single"/>
                </w:rPr>
                <w:t>March</w:t>
              </w:r>
            </w:hyperlink>
            <w:hyperlink w:anchor="ib3caf56900394eb1806ff7cd5a3e9df4_22">
              <w:r>
                <w:rPr>
                  <w:rStyle w:val="InternetLink"/>
                  <w:rFonts w:ascii="Times New Roman;serif" w:hAnsi="Times New Roman;serif"/>
                  <w:b w:val="false"/>
                  <w:color w:val="000080"/>
                  <w:sz w:val="18"/>
                  <w:u w:val="single"/>
                </w:rPr>
                <w:t xml:space="preserve"> 2</w:t>
              </w:r>
            </w:hyperlink>
            <w:hyperlink w:anchor="ib3caf56900394eb1806ff7cd5a3e9df4_22">
              <w:r>
                <w:rPr>
                  <w:rStyle w:val="InternetLink"/>
                  <w:rFonts w:ascii="Times New Roman;serif" w:hAnsi="Times New Roman;serif"/>
                  <w:b w:val="false"/>
                  <w:color w:val="000080"/>
                  <w:sz w:val="18"/>
                  <w:u w:val="single"/>
                </w:rPr>
                <w:t>9</w:t>
              </w:r>
            </w:hyperlink>
            <w:hyperlink w:anchor="ib3caf56900394eb1806ff7cd5a3e9df4_22">
              <w:r>
                <w:rPr>
                  <w:rStyle w:val="InternetLink"/>
                  <w:rFonts w:ascii="Times New Roman;serif" w:hAnsi="Times New Roman;serif"/>
                  <w:b w:val="false"/>
                  <w:color w:val="000080"/>
                  <w:sz w:val="18"/>
                  <w:u w:val="single"/>
                </w:rPr>
                <w:t>, 202</w:t>
              </w:r>
            </w:hyperlink>
            <w:hyperlink w:anchor="ib3caf56900394eb1806ff7cd5a3e9df4_22">
              <w:r>
                <w:rPr>
                  <w:rStyle w:val="InternetLink"/>
                  <w:rFonts w:ascii="Times New Roman;serif" w:hAnsi="Times New Roman;serif"/>
                  <w:b w:val="false"/>
                  <w:color w:val="000080"/>
                  <w:sz w:val="18"/>
                  <w:u w:val="single"/>
                </w:rPr>
                <w:t>5</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caf56900394eb1806ff7cd5a3e9df4_22">
              <w:r>
                <w:rPr>
                  <w:rStyle w:val="InternetLink"/>
                  <w:rFonts w:ascii="Times New Roman;serif" w:hAnsi="Times New Roman;serif"/>
                  <w:b w:val="false"/>
                  <w:strike w:val="false"/>
                  <w:dstrike w:val="false"/>
                  <w:color w:val="000000"/>
                  <w:sz w:val="18"/>
                  <w:u w:val="none"/>
                  <w:effect w:val="none"/>
                </w:rPr>
                <w:t>3</w:t>
              </w:r>
            </w:hyperlink>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caf56900394eb1806ff7cd5a3e9df4_25">
              <w:r>
                <w:rPr>
                  <w:rStyle w:val="InternetLink"/>
                  <w:rFonts w:ascii="Times New Roman;serif" w:hAnsi="Times New Roman;serif"/>
                  <w:b w:val="false"/>
                  <w:color w:val="000080"/>
                  <w:sz w:val="18"/>
                  <w:u w:val="single"/>
                </w:rPr>
                <w:t xml:space="preserve">Condensed Consolidated Statements of Comprehensive Income for the Three </w:t>
              </w:r>
            </w:hyperlink>
            <w:hyperlink w:anchor="ib3caf56900394eb1806ff7cd5a3e9df4_25">
              <w:r>
                <w:rPr>
                  <w:rStyle w:val="InternetLink"/>
                  <w:rFonts w:ascii="Times New Roman;serif" w:hAnsi="Times New Roman;serif"/>
                  <w:b w:val="false"/>
                  <w:color w:val="000080"/>
                  <w:sz w:val="18"/>
                  <w:u w:val="single"/>
                </w:rPr>
                <w:t xml:space="preserve">Months Ended </w:t>
              </w:r>
            </w:hyperlink>
            <w:hyperlink w:anchor="ib3caf56900394eb1806ff7cd5a3e9df4_25">
              <w:r>
                <w:rPr>
                  <w:rStyle w:val="InternetLink"/>
                  <w:rFonts w:ascii="Times New Roman;serif" w:hAnsi="Times New Roman;serif"/>
                  <w:b w:val="false"/>
                  <w:color w:val="000080"/>
                  <w:sz w:val="18"/>
                  <w:u w:val="single"/>
                </w:rPr>
                <w:t>March 31, 2026</w:t>
              </w:r>
            </w:hyperlink>
            <w:hyperlink w:anchor="ib3caf56900394eb1806ff7cd5a3e9df4_25">
              <w:r>
                <w:rPr>
                  <w:rStyle w:val="InternetLink"/>
                  <w:rFonts w:ascii="Times New Roman;serif" w:hAnsi="Times New Roman;serif"/>
                  <w:b w:val="false"/>
                  <w:color w:val="000080"/>
                  <w:sz w:val="18"/>
                  <w:u w:val="single"/>
                </w:rPr>
                <w:t xml:space="preserve"> and </w:t>
              </w:r>
            </w:hyperlink>
            <w:hyperlink w:anchor="ib3caf56900394eb1806ff7cd5a3e9df4_25">
              <w:r>
                <w:rPr>
                  <w:rStyle w:val="InternetLink"/>
                  <w:rFonts w:ascii="Times New Roman;serif" w:hAnsi="Times New Roman;serif"/>
                  <w:b w:val="false"/>
                  <w:color w:val="000080"/>
                  <w:sz w:val="18"/>
                  <w:u w:val="single"/>
                </w:rPr>
                <w:t>March</w:t>
              </w:r>
            </w:hyperlink>
            <w:hyperlink w:anchor="ib3caf56900394eb1806ff7cd5a3e9df4_25">
              <w:r>
                <w:rPr>
                  <w:rStyle w:val="InternetLink"/>
                  <w:rFonts w:ascii="Times New Roman;serif" w:hAnsi="Times New Roman;serif"/>
                  <w:b w:val="false"/>
                  <w:color w:val="000080"/>
                  <w:sz w:val="18"/>
                  <w:u w:val="single"/>
                </w:rPr>
                <w:t xml:space="preserve"> </w:t>
              </w:r>
            </w:hyperlink>
            <w:hyperlink w:anchor="ib3caf56900394eb1806ff7cd5a3e9df4_25">
              <w:r>
                <w:rPr>
                  <w:rStyle w:val="InternetLink"/>
                  <w:rFonts w:ascii="Times New Roman;serif" w:hAnsi="Times New Roman;serif"/>
                  <w:b w:val="false"/>
                  <w:color w:val="000080"/>
                  <w:sz w:val="18"/>
                  <w:u w:val="single"/>
                </w:rPr>
                <w:t>29</w:t>
              </w:r>
            </w:hyperlink>
            <w:hyperlink w:anchor="ib3caf56900394eb1806ff7cd5a3e9df4_25">
              <w:r>
                <w:rPr>
                  <w:rStyle w:val="InternetLink"/>
                  <w:rFonts w:ascii="Times New Roman;serif" w:hAnsi="Times New Roman;serif"/>
                  <w:b w:val="false"/>
                  <w:color w:val="000080"/>
                  <w:sz w:val="18"/>
                  <w:u w:val="single"/>
                </w:rPr>
                <w:t>, 202</w:t>
              </w:r>
            </w:hyperlink>
            <w:hyperlink w:anchor="ib3caf56900394eb1806ff7cd5a3e9df4_25">
              <w:r>
                <w:rPr>
                  <w:rStyle w:val="InternetLink"/>
                  <w:rFonts w:ascii="Times New Roman;serif" w:hAnsi="Times New Roman;serif"/>
                  <w:b w:val="false"/>
                  <w:color w:val="000080"/>
                  <w:sz w:val="18"/>
                  <w:u w:val="single"/>
                </w:rPr>
                <w:t>5</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caf56900394eb1806ff7cd5a3e9df4_25">
              <w:r>
                <w:rPr>
                  <w:rStyle w:val="InternetLink"/>
                  <w:rFonts w:ascii="Times New Roman;serif" w:hAnsi="Times New Roman;serif"/>
                  <w:b w:val="false"/>
                  <w:strike w:val="false"/>
                  <w:dstrike w:val="false"/>
                  <w:color w:val="000000"/>
                  <w:sz w:val="18"/>
                  <w:u w:val="none"/>
                  <w:effect w:val="none"/>
                </w:rPr>
                <w:t>4</w:t>
              </w:r>
            </w:hyperlink>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caf56900394eb1806ff7cd5a3e9df4_28">
              <w:r>
                <w:rPr>
                  <w:rStyle w:val="InternetLink"/>
                  <w:rFonts w:ascii="Times New Roman;serif" w:hAnsi="Times New Roman;serif"/>
                  <w:b w:val="false"/>
                  <w:color w:val="000080"/>
                  <w:sz w:val="18"/>
                  <w:u w:val="single"/>
                </w:rPr>
                <w:t xml:space="preserve">Condensed Consolidated Statements of Cash Flows for the </w:t>
              </w:r>
            </w:hyperlink>
            <w:hyperlink w:anchor="ib3caf56900394eb1806ff7cd5a3e9df4_28">
              <w:r>
                <w:rPr>
                  <w:rStyle w:val="InternetLink"/>
                  <w:rFonts w:ascii="Times New Roman;serif" w:hAnsi="Times New Roman;serif"/>
                  <w:b w:val="false"/>
                  <w:color w:val="000080"/>
                  <w:sz w:val="18"/>
                  <w:u w:val="single"/>
                </w:rPr>
                <w:t>Three</w:t>
              </w:r>
            </w:hyperlink>
            <w:hyperlink w:anchor="ib3caf56900394eb1806ff7cd5a3e9df4_28">
              <w:r>
                <w:rPr>
                  <w:rStyle w:val="InternetLink"/>
                  <w:rFonts w:ascii="Times New Roman;serif" w:hAnsi="Times New Roman;serif"/>
                  <w:b w:val="false"/>
                  <w:color w:val="000080"/>
                  <w:sz w:val="18"/>
                  <w:u w:val="single"/>
                </w:rPr>
                <w:t xml:space="preserve"> Months Ended </w:t>
              </w:r>
            </w:hyperlink>
            <w:hyperlink w:anchor="ib3caf56900394eb1806ff7cd5a3e9df4_28">
              <w:r>
                <w:rPr>
                  <w:rStyle w:val="InternetLink"/>
                  <w:rFonts w:ascii="Times New Roman;serif" w:hAnsi="Times New Roman;serif"/>
                  <w:b w:val="false"/>
                  <w:color w:val="000080"/>
                  <w:sz w:val="18"/>
                  <w:u w:val="single"/>
                </w:rPr>
                <w:t>March 31</w:t>
              </w:r>
            </w:hyperlink>
            <w:hyperlink w:anchor="ib3caf56900394eb1806ff7cd5a3e9df4_28">
              <w:r>
                <w:rPr>
                  <w:rStyle w:val="InternetLink"/>
                  <w:rFonts w:ascii="Times New Roman;serif" w:hAnsi="Times New Roman;serif"/>
                  <w:b w:val="false"/>
                  <w:color w:val="000080"/>
                  <w:sz w:val="18"/>
                  <w:u w:val="single"/>
                </w:rPr>
                <w:t>, 202</w:t>
              </w:r>
            </w:hyperlink>
            <w:hyperlink w:anchor="ib3caf56900394eb1806ff7cd5a3e9df4_28">
              <w:r>
                <w:rPr>
                  <w:rStyle w:val="InternetLink"/>
                  <w:rFonts w:ascii="Times New Roman;serif" w:hAnsi="Times New Roman;serif"/>
                  <w:b w:val="false"/>
                  <w:color w:val="000080"/>
                  <w:sz w:val="18"/>
                  <w:u w:val="single"/>
                </w:rPr>
                <w:t>6</w:t>
              </w:r>
            </w:hyperlink>
            <w:hyperlink w:anchor="ib3caf56900394eb1806ff7cd5a3e9df4_28">
              <w:r>
                <w:rPr>
                  <w:rStyle w:val="InternetLink"/>
                  <w:rFonts w:ascii="Times New Roman;serif" w:hAnsi="Times New Roman;serif"/>
                  <w:b w:val="false"/>
                  <w:color w:val="000080"/>
                  <w:sz w:val="18"/>
                  <w:u w:val="single"/>
                </w:rPr>
                <w:t xml:space="preserve"> and </w:t>
              </w:r>
            </w:hyperlink>
            <w:hyperlink w:anchor="ib3caf56900394eb1806ff7cd5a3e9df4_28">
              <w:r>
                <w:rPr>
                  <w:rStyle w:val="InternetLink"/>
                  <w:rFonts w:ascii="Times New Roman;serif" w:hAnsi="Times New Roman;serif"/>
                  <w:b w:val="false"/>
                  <w:color w:val="000080"/>
                  <w:sz w:val="18"/>
                  <w:u w:val="single"/>
                </w:rPr>
                <w:t>March</w:t>
              </w:r>
            </w:hyperlink>
            <w:hyperlink w:anchor="ib3caf56900394eb1806ff7cd5a3e9df4_28">
              <w:r>
                <w:rPr>
                  <w:rStyle w:val="InternetLink"/>
                  <w:rFonts w:ascii="Times New Roman;serif" w:hAnsi="Times New Roman;serif"/>
                  <w:b w:val="false"/>
                  <w:color w:val="000080"/>
                  <w:sz w:val="18"/>
                  <w:u w:val="single"/>
                </w:rPr>
                <w:t xml:space="preserve"> 2</w:t>
              </w:r>
            </w:hyperlink>
            <w:hyperlink w:anchor="ib3caf56900394eb1806ff7cd5a3e9df4_28">
              <w:r>
                <w:rPr>
                  <w:rStyle w:val="InternetLink"/>
                  <w:rFonts w:ascii="Times New Roman;serif" w:hAnsi="Times New Roman;serif"/>
                  <w:b w:val="false"/>
                  <w:color w:val="000080"/>
                  <w:sz w:val="18"/>
                  <w:u w:val="single"/>
                </w:rPr>
                <w:t>9</w:t>
              </w:r>
            </w:hyperlink>
            <w:hyperlink w:anchor="ib3caf56900394eb1806ff7cd5a3e9df4_28">
              <w:r>
                <w:rPr>
                  <w:rStyle w:val="InternetLink"/>
                  <w:rFonts w:ascii="Times New Roman;serif" w:hAnsi="Times New Roman;serif"/>
                  <w:b w:val="false"/>
                  <w:color w:val="000080"/>
                  <w:sz w:val="18"/>
                  <w:u w:val="single"/>
                </w:rPr>
                <w:t>, 202</w:t>
              </w:r>
            </w:hyperlink>
            <w:hyperlink w:anchor="ib3caf56900394eb1806ff7cd5a3e9df4_28">
              <w:r>
                <w:rPr>
                  <w:rStyle w:val="InternetLink"/>
                  <w:rFonts w:ascii="Times New Roman;serif" w:hAnsi="Times New Roman;serif"/>
                  <w:b w:val="false"/>
                  <w:color w:val="000080"/>
                  <w:sz w:val="18"/>
                  <w:u w:val="single"/>
                </w:rPr>
                <w:t>5</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caf56900394eb1806ff7cd5a3e9df4_28">
              <w:r>
                <w:rPr>
                  <w:rStyle w:val="InternetLink"/>
                  <w:rFonts w:ascii="Times New Roman;serif" w:hAnsi="Times New Roman;serif"/>
                  <w:b w:val="false"/>
                  <w:strike w:val="false"/>
                  <w:dstrike w:val="false"/>
                  <w:color w:val="000000"/>
                  <w:sz w:val="18"/>
                  <w:u w:val="none"/>
                  <w:effect w:val="none"/>
                </w:rPr>
                <w:t>5</w:t>
              </w:r>
            </w:hyperlink>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caf56900394eb1806ff7cd5a3e9df4_31">
              <w:r>
                <w:rPr>
                  <w:rStyle w:val="InternetLink"/>
                  <w:rFonts w:ascii="Times New Roman;serif" w:hAnsi="Times New Roman;serif"/>
                  <w:b w:val="false"/>
                  <w:color w:val="0000FF"/>
                  <w:sz w:val="18"/>
                  <w:u w:val="single"/>
                </w:rPr>
                <w:t>Notes to Unaudited Condensed Consolidated Financial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caf56900394eb1806ff7cd5a3e9df4_31">
              <w:r>
                <w:rPr>
                  <w:rStyle w:val="InternetLink"/>
                  <w:rFonts w:ascii="Times New Roman;serif" w:hAnsi="Times New Roman;serif"/>
                  <w:b w:val="false"/>
                  <w:strike w:val="false"/>
                  <w:dstrike w:val="false"/>
                  <w:color w:val="000000"/>
                  <w:sz w:val="18"/>
                  <w:u w:val="none"/>
                  <w:effect w:val="none"/>
                </w:rPr>
                <w:t>6</w:t>
              </w:r>
            </w:hyperlink>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caf56900394eb1806ff7cd5a3e9df4_79">
              <w:r>
                <w:rPr>
                  <w:rStyle w:val="InternetLink"/>
                  <w:rFonts w:ascii="Times New Roman;serif" w:hAnsi="Times New Roman;serif"/>
                  <w:b w:val="false"/>
                  <w:strike w:val="false"/>
                  <w:dstrike w:val="false"/>
                  <w:color w:val="000000"/>
                  <w:sz w:val="18"/>
                  <w:u w:val="none"/>
                  <w:effect w:val="none"/>
                </w:rPr>
                <w:t>Item 2.</w:t>
              </w:r>
            </w:hyperlink>
          </w:p>
        </w:tc>
        <w:tc>
          <w:tcPr>
            <w:tcW w:w="76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caf56900394eb1806ff7cd5a3e9df4_79">
              <w:r>
                <w:rPr>
                  <w:rStyle w:val="InternetLink"/>
                  <w:rFonts w:ascii="Times New Roman;serif" w:hAnsi="Times New Roman;serif"/>
                  <w:b w:val="false"/>
                  <w:color w:val="0000FF"/>
                  <w:sz w:val="18"/>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caf56900394eb1806ff7cd5a3e9df4_79">
              <w:r>
                <w:rPr>
                  <w:rStyle w:val="InternetLink"/>
                  <w:rFonts w:ascii="Times New Roman;serif" w:hAnsi="Times New Roman;serif"/>
                  <w:b w:val="false"/>
                  <w:strike w:val="false"/>
                  <w:dstrike w:val="false"/>
                  <w:color w:val="000000"/>
                  <w:sz w:val="18"/>
                  <w:u w:val="none"/>
                  <w:effect w:val="none"/>
                </w:rPr>
                <w:t>17</w:t>
              </w:r>
            </w:hyperlink>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caf56900394eb1806ff7cd5a3e9df4_82">
              <w:r>
                <w:rPr>
                  <w:rStyle w:val="InternetLink"/>
                  <w:rFonts w:ascii="Times New Roman;serif" w:hAnsi="Times New Roman;serif"/>
                  <w:b w:val="false"/>
                  <w:color w:val="0000FF"/>
                  <w:sz w:val="18"/>
                  <w:u w:val="single"/>
                </w:rPr>
                <w:t>Non-GAAP Financial Measures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caf56900394eb1806ff7cd5a3e9df4_82">
              <w:r>
                <w:rPr>
                  <w:rStyle w:val="InternetLink"/>
                  <w:rFonts w:ascii="Times New Roman;serif" w:hAnsi="Times New Roman;serif"/>
                  <w:b w:val="false"/>
                  <w:strike w:val="false"/>
                  <w:dstrike w:val="false"/>
                  <w:color w:val="000000"/>
                  <w:sz w:val="18"/>
                  <w:u w:val="none"/>
                  <w:effect w:val="none"/>
                </w:rPr>
                <w:t>17</w:t>
              </w:r>
            </w:hyperlink>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caf56900394eb1806ff7cd5a3e9df4_85">
              <w:r>
                <w:rPr>
                  <w:rStyle w:val="InternetLink"/>
                  <w:rFonts w:ascii="Times New Roman;serif" w:hAnsi="Times New Roman;serif"/>
                  <w:b w:val="false"/>
                  <w:color w:val="0000FF"/>
                  <w:sz w:val="18"/>
                  <w:u w:val="single"/>
                </w:rPr>
                <w:t>Overview and Outlook</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caf56900394eb1806ff7cd5a3e9df4_85">
              <w:r>
                <w:rPr>
                  <w:rStyle w:val="InternetLink"/>
                  <w:rFonts w:ascii="Times New Roman;serif" w:hAnsi="Times New Roman;serif"/>
                  <w:b w:val="false"/>
                  <w:strike w:val="false"/>
                  <w:dstrike w:val="false"/>
                  <w:color w:val="000000"/>
                  <w:sz w:val="18"/>
                  <w:u w:val="none"/>
                  <w:effect w:val="none"/>
                </w:rPr>
                <w:t>18</w:t>
              </w:r>
            </w:hyperlink>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caf56900394eb1806ff7cd5a3e9df4_88">
              <w:r>
                <w:rPr>
                  <w:rStyle w:val="InternetLink"/>
                  <w:rFonts w:ascii="Times New Roman;serif" w:hAnsi="Times New Roman;serif"/>
                  <w:b w:val="false"/>
                  <w:color w:val="000080"/>
                  <w:sz w:val="18"/>
                  <w:u w:val="single"/>
                </w:rPr>
                <w:t xml:space="preserve">Analysis of Results of Operations for the </w:t>
              </w:r>
            </w:hyperlink>
            <w:hyperlink w:anchor="ib3caf56900394eb1806ff7cd5a3e9df4_88">
              <w:r>
                <w:rPr>
                  <w:rStyle w:val="InternetLink"/>
                  <w:rFonts w:ascii="Times New Roman;serif" w:hAnsi="Times New Roman;serif"/>
                  <w:b w:val="false"/>
                  <w:color w:val="000080"/>
                  <w:sz w:val="18"/>
                  <w:u w:val="single"/>
                </w:rPr>
                <w:t>First</w:t>
              </w:r>
            </w:hyperlink>
            <w:hyperlink w:anchor="ib3caf56900394eb1806ff7cd5a3e9df4_88">
              <w:r>
                <w:rPr>
                  <w:rStyle w:val="InternetLink"/>
                  <w:rFonts w:ascii="Times New Roman;serif" w:hAnsi="Times New Roman;serif"/>
                  <w:b w:val="false"/>
                  <w:color w:val="000080"/>
                  <w:sz w:val="18"/>
                  <w:u w:val="single"/>
                </w:rPr>
                <w:t xml:space="preserve"> Quarter</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caf56900394eb1806ff7cd5a3e9df4_88">
              <w:r>
                <w:rPr>
                  <w:rStyle w:val="InternetLink"/>
                  <w:rFonts w:ascii="Times New Roman;serif" w:hAnsi="Times New Roman;serif"/>
                  <w:b w:val="false"/>
                  <w:strike w:val="false"/>
                  <w:dstrike w:val="false"/>
                  <w:color w:val="000000"/>
                  <w:sz w:val="18"/>
                  <w:u w:val="none"/>
                  <w:effect w:val="none"/>
                </w:rPr>
                <w:t>19</w:t>
              </w:r>
            </w:hyperlink>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caf56900394eb1806ff7cd5a3e9df4_91">
              <w:r>
                <w:rPr>
                  <w:rStyle w:val="InternetLink"/>
                  <w:rFonts w:ascii="Times New Roman;serif" w:hAnsi="Times New Roman;serif"/>
                  <w:b w:val="false"/>
                  <w:color w:val="000080"/>
                  <w:sz w:val="18"/>
                  <w:u w:val="single"/>
                </w:rPr>
                <w:t xml:space="preserve">Results of Operations by Reportable Segment for the </w:t>
              </w:r>
            </w:hyperlink>
            <w:hyperlink w:anchor="ib3caf56900394eb1806ff7cd5a3e9df4_91">
              <w:r>
                <w:rPr>
                  <w:rStyle w:val="InternetLink"/>
                  <w:rFonts w:ascii="Times New Roman;serif" w:hAnsi="Times New Roman;serif"/>
                  <w:b w:val="false"/>
                  <w:color w:val="000080"/>
                  <w:sz w:val="18"/>
                  <w:u w:val="single"/>
                </w:rPr>
                <w:t>Fir</w:t>
              </w:r>
            </w:hyperlink>
            <w:hyperlink w:anchor="ib3caf56900394eb1806ff7cd5a3e9df4_91">
              <w:r>
                <w:rPr>
                  <w:rStyle w:val="InternetLink"/>
                  <w:rFonts w:ascii="Times New Roman;serif" w:hAnsi="Times New Roman;serif"/>
                  <w:b w:val="false"/>
                  <w:color w:val="000080"/>
                  <w:sz w:val="18"/>
                  <w:u w:val="single"/>
                </w:rPr>
                <w:t>st</w:t>
              </w:r>
            </w:hyperlink>
            <w:hyperlink w:anchor="ib3caf56900394eb1806ff7cd5a3e9df4_91">
              <w:r>
                <w:rPr>
                  <w:rStyle w:val="InternetLink"/>
                  <w:rFonts w:ascii="Times New Roman;serif" w:hAnsi="Times New Roman;serif"/>
                  <w:b w:val="false"/>
                  <w:color w:val="000080"/>
                  <w:sz w:val="18"/>
                  <w:u w:val="single"/>
                </w:rPr>
                <w:t xml:space="preserve"> Quarter</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caf56900394eb1806ff7cd5a3e9df4_91">
              <w:r>
                <w:rPr>
                  <w:rStyle w:val="InternetLink"/>
                  <w:rFonts w:ascii="Times New Roman;serif" w:hAnsi="Times New Roman;serif"/>
                  <w:b w:val="false"/>
                  <w:strike w:val="false"/>
                  <w:dstrike w:val="false"/>
                  <w:color w:val="000000"/>
                  <w:sz w:val="18"/>
                  <w:u w:val="none"/>
                  <w:effect w:val="none"/>
                </w:rPr>
                <w:t>21</w:t>
              </w:r>
            </w:hyperlink>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7666"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7666"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caf56900394eb1806ff7cd5a3e9df4_100">
              <w:r>
                <w:rPr>
                  <w:rStyle w:val="InternetLink"/>
                  <w:rFonts w:ascii="Times New Roman;serif" w:hAnsi="Times New Roman;serif"/>
                  <w:b w:val="false"/>
                  <w:color w:val="0000FF"/>
                  <w:sz w:val="18"/>
                  <w:u w:val="single"/>
                </w:rPr>
                <w:t>Financial Condition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caf56900394eb1806ff7cd5a3e9df4_100">
              <w:r>
                <w:rPr>
                  <w:rStyle w:val="InternetLink"/>
                  <w:rFonts w:ascii="Times New Roman;serif" w:hAnsi="Times New Roman;serif"/>
                  <w:b w:val="false"/>
                  <w:strike w:val="false"/>
                  <w:dstrike w:val="false"/>
                  <w:color w:val="000000"/>
                  <w:sz w:val="18"/>
                  <w:u w:val="none"/>
                  <w:effect w:val="none"/>
                </w:rPr>
                <w:t>22</w:t>
              </w:r>
            </w:hyperlink>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caf56900394eb1806ff7cd5a3e9df4_103">
              <w:r>
                <w:rPr>
                  <w:rStyle w:val="InternetLink"/>
                  <w:rFonts w:ascii="Times New Roman;serif" w:hAnsi="Times New Roman;serif"/>
                  <w:b w:val="false"/>
                  <w:strike w:val="false"/>
                  <w:dstrike w:val="false"/>
                  <w:color w:val="000000"/>
                  <w:sz w:val="18"/>
                  <w:u w:val="none"/>
                  <w:effect w:val="none"/>
                </w:rPr>
                <w:t>Item 3.</w:t>
              </w:r>
            </w:hyperlink>
          </w:p>
        </w:tc>
        <w:tc>
          <w:tcPr>
            <w:tcW w:w="76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caf56900394eb1806ff7cd5a3e9df4_103">
              <w:r>
                <w:rPr>
                  <w:rStyle w:val="InternetLink"/>
                  <w:rFonts w:ascii="Times New Roman;serif" w:hAnsi="Times New Roman;serif"/>
                  <w:b w:val="false"/>
                  <w:color w:val="0000FF"/>
                  <w:sz w:val="18"/>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caf56900394eb1806ff7cd5a3e9df4_103">
              <w:r>
                <w:rPr>
                  <w:rStyle w:val="InternetLink"/>
                  <w:rFonts w:ascii="Times New Roman;serif" w:hAnsi="Times New Roman;serif"/>
                  <w:b w:val="false"/>
                  <w:strike w:val="false"/>
                  <w:dstrike w:val="false"/>
                  <w:color w:val="000000"/>
                  <w:sz w:val="18"/>
                  <w:u w:val="none"/>
                  <w:effect w:val="none"/>
                </w:rPr>
                <w:t>25</w:t>
              </w:r>
            </w:hyperlink>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caf56900394eb1806ff7cd5a3e9df4_106">
              <w:r>
                <w:rPr>
                  <w:rStyle w:val="InternetLink"/>
                  <w:rFonts w:ascii="Times New Roman;serif" w:hAnsi="Times New Roman;serif"/>
                  <w:b w:val="false"/>
                  <w:strike w:val="false"/>
                  <w:dstrike w:val="false"/>
                  <w:color w:val="000000"/>
                  <w:sz w:val="18"/>
                  <w:u w:val="none"/>
                  <w:effect w:val="none"/>
                </w:rPr>
                <w:t>Item 4.</w:t>
              </w:r>
            </w:hyperlink>
          </w:p>
        </w:tc>
        <w:tc>
          <w:tcPr>
            <w:tcW w:w="76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caf56900394eb1806ff7cd5a3e9df4_106">
              <w:r>
                <w:rPr>
                  <w:rStyle w:val="InternetLink"/>
                  <w:rFonts w:ascii="Times New Roman;serif" w:hAnsi="Times New Roman;serif"/>
                  <w:b w:val="false"/>
                  <w:color w:val="0000FF"/>
                  <w:sz w:val="18"/>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caf56900394eb1806ff7cd5a3e9df4_106">
              <w:r>
                <w:rPr>
                  <w:rStyle w:val="InternetLink"/>
                  <w:rFonts w:ascii="Times New Roman;serif" w:hAnsi="Times New Roman;serif"/>
                  <w:b w:val="false"/>
                  <w:strike w:val="false"/>
                  <w:dstrike w:val="false"/>
                  <w:color w:val="000000"/>
                  <w:sz w:val="18"/>
                  <w:u w:val="none"/>
                  <w:effect w:val="none"/>
                </w:rPr>
                <w:t>26</w:t>
              </w:r>
            </w:hyperlink>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3caf56900394eb1806ff7cd5a3e9df4_109">
              <w:r>
                <w:rPr>
                  <w:rStyle w:val="InternetLink"/>
                  <w:rFonts w:ascii="Times New Roman;serif" w:hAnsi="Times New Roman;serif"/>
                  <w:b/>
                  <w:color w:val="0000FF"/>
                  <w:sz w:val="18"/>
                  <w:u w:val="single"/>
                </w:rPr>
                <w:t>PART II. OTHER INFORMATION</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caf56900394eb1806ff7cd5a3e9df4_112">
              <w:r>
                <w:rPr>
                  <w:rStyle w:val="InternetLink"/>
                  <w:rFonts w:ascii="Times New Roman;serif" w:hAnsi="Times New Roman;serif"/>
                  <w:b w:val="false"/>
                  <w:strike w:val="false"/>
                  <w:dstrike w:val="false"/>
                  <w:color w:val="000000"/>
                  <w:sz w:val="18"/>
                  <w:u w:val="none"/>
                  <w:effect w:val="none"/>
                </w:rPr>
                <w:t>Item 1.</w:t>
              </w:r>
            </w:hyperlink>
          </w:p>
        </w:tc>
        <w:tc>
          <w:tcPr>
            <w:tcW w:w="76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caf56900394eb1806ff7cd5a3e9df4_112">
              <w:r>
                <w:rPr>
                  <w:rStyle w:val="InternetLink"/>
                  <w:rFonts w:ascii="Times New Roman;serif" w:hAnsi="Times New Roman;serif"/>
                  <w:b w:val="false"/>
                  <w:color w:val="0000FF"/>
                  <w:sz w:val="18"/>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caf56900394eb1806ff7cd5a3e9df4_112">
              <w:r>
                <w:rPr>
                  <w:rStyle w:val="InternetLink"/>
                  <w:rFonts w:ascii="Times New Roman;serif" w:hAnsi="Times New Roman;serif"/>
                  <w:b w:val="false"/>
                  <w:strike w:val="false"/>
                  <w:dstrike w:val="false"/>
                  <w:color w:val="000000"/>
                  <w:sz w:val="18"/>
                  <w:u w:val="none"/>
                  <w:effect w:val="none"/>
                </w:rPr>
                <w:t>27</w:t>
              </w:r>
            </w:hyperlink>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caf56900394eb1806ff7cd5a3e9df4_115">
              <w:r>
                <w:rPr>
                  <w:rStyle w:val="InternetLink"/>
                  <w:rFonts w:ascii="Times New Roman;serif" w:hAnsi="Times New Roman;serif"/>
                  <w:b w:val="false"/>
                  <w:strike w:val="false"/>
                  <w:dstrike w:val="false"/>
                  <w:color w:val="000000"/>
                  <w:sz w:val="18"/>
                  <w:u w:val="none"/>
                  <w:effect w:val="none"/>
                </w:rPr>
                <w:t>Item 1A.</w:t>
              </w:r>
            </w:hyperlink>
          </w:p>
        </w:tc>
        <w:tc>
          <w:tcPr>
            <w:tcW w:w="76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caf56900394eb1806ff7cd5a3e9df4_115">
              <w:r>
                <w:rPr>
                  <w:rStyle w:val="InternetLink"/>
                  <w:rFonts w:ascii="Times New Roman;serif" w:hAnsi="Times New Roman;serif"/>
                  <w:b w:val="false"/>
                  <w:color w:val="0000FF"/>
                  <w:sz w:val="18"/>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caf56900394eb1806ff7cd5a3e9df4_115">
              <w:r>
                <w:rPr>
                  <w:rStyle w:val="InternetLink"/>
                  <w:rFonts w:ascii="Times New Roman;serif" w:hAnsi="Times New Roman;serif"/>
                  <w:b w:val="false"/>
                  <w:strike w:val="false"/>
                  <w:dstrike w:val="false"/>
                  <w:color w:val="000000"/>
                  <w:sz w:val="18"/>
                  <w:u w:val="none"/>
                  <w:effect w:val="none"/>
                </w:rPr>
                <w:t>27</w:t>
              </w:r>
            </w:hyperlink>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caf56900394eb1806ff7cd5a3e9df4_118">
              <w:r>
                <w:rPr>
                  <w:rStyle w:val="InternetLink"/>
                  <w:rFonts w:ascii="Times New Roman;serif" w:hAnsi="Times New Roman;serif"/>
                  <w:b w:val="false"/>
                  <w:strike w:val="false"/>
                  <w:dstrike w:val="false"/>
                  <w:color w:val="000000"/>
                  <w:sz w:val="18"/>
                  <w:u w:val="none"/>
                  <w:effect w:val="none"/>
                </w:rPr>
                <w:t>Item 2.</w:t>
              </w:r>
            </w:hyperlink>
          </w:p>
        </w:tc>
        <w:tc>
          <w:tcPr>
            <w:tcW w:w="76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caf56900394eb1806ff7cd5a3e9df4_118">
              <w:r>
                <w:rPr>
                  <w:rStyle w:val="InternetLink"/>
                  <w:rFonts w:ascii="Times New Roman;serif" w:hAnsi="Times New Roman;serif"/>
                  <w:b w:val="false"/>
                  <w:color w:val="0000FF"/>
                  <w:sz w:val="18"/>
                  <w:u w:val="single"/>
                </w:rPr>
                <w:t>Unregistered Sales of Equity Securities and Use of Proceeds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caf56900394eb1806ff7cd5a3e9df4_118">
              <w:r>
                <w:rPr>
                  <w:rStyle w:val="InternetLink"/>
                  <w:rFonts w:ascii="Times New Roman;serif" w:hAnsi="Times New Roman;serif"/>
                  <w:b w:val="false"/>
                  <w:strike w:val="false"/>
                  <w:dstrike w:val="false"/>
                  <w:color w:val="000000"/>
                  <w:sz w:val="18"/>
                  <w:u w:val="none"/>
                  <w:effect w:val="none"/>
                </w:rPr>
                <w:t>28</w:t>
              </w:r>
            </w:hyperlink>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caf56900394eb1806ff7cd5a3e9df4_121">
              <w:r>
                <w:rPr>
                  <w:rStyle w:val="InternetLink"/>
                  <w:rFonts w:ascii="Times New Roman;serif" w:hAnsi="Times New Roman;serif"/>
                  <w:b w:val="false"/>
                  <w:strike w:val="false"/>
                  <w:dstrike w:val="false"/>
                  <w:color w:val="000000"/>
                  <w:sz w:val="18"/>
                  <w:u w:val="none"/>
                  <w:effect w:val="none"/>
                </w:rPr>
                <w:t>Item 3.</w:t>
              </w:r>
            </w:hyperlink>
          </w:p>
        </w:tc>
        <w:tc>
          <w:tcPr>
            <w:tcW w:w="76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caf56900394eb1806ff7cd5a3e9df4_121">
              <w:r>
                <w:rPr>
                  <w:rStyle w:val="InternetLink"/>
                  <w:rFonts w:ascii="Times New Roman;serif" w:hAnsi="Times New Roman;serif"/>
                  <w:b w:val="false"/>
                  <w:color w:val="0000FF"/>
                  <w:sz w:val="18"/>
                  <w:u w:val="single"/>
                </w:rPr>
                <w:t>Defaults Upon Senior Securities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caf56900394eb1806ff7cd5a3e9df4_121">
              <w:r>
                <w:rPr>
                  <w:rStyle w:val="InternetLink"/>
                  <w:rFonts w:ascii="Times New Roman;serif" w:hAnsi="Times New Roman;serif"/>
                  <w:b w:val="false"/>
                  <w:strike w:val="false"/>
                  <w:dstrike w:val="false"/>
                  <w:color w:val="000000"/>
                  <w:sz w:val="18"/>
                  <w:u w:val="none"/>
                  <w:effect w:val="none"/>
                </w:rPr>
                <w:t>28</w:t>
              </w:r>
            </w:hyperlink>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caf56900394eb1806ff7cd5a3e9df4_124">
              <w:r>
                <w:rPr>
                  <w:rStyle w:val="InternetLink"/>
                  <w:rFonts w:ascii="Times New Roman;serif" w:hAnsi="Times New Roman;serif"/>
                  <w:b w:val="false"/>
                  <w:strike w:val="false"/>
                  <w:dstrike w:val="false"/>
                  <w:color w:val="000000"/>
                  <w:sz w:val="18"/>
                  <w:u w:val="none"/>
                  <w:effect w:val="none"/>
                </w:rPr>
                <w:t>Item 4.</w:t>
              </w:r>
            </w:hyperlink>
          </w:p>
        </w:tc>
        <w:tc>
          <w:tcPr>
            <w:tcW w:w="76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caf56900394eb1806ff7cd5a3e9df4_124">
              <w:r>
                <w:rPr>
                  <w:rStyle w:val="InternetLink"/>
                  <w:rFonts w:ascii="Times New Roman;serif" w:hAnsi="Times New Roman;serif"/>
                  <w:b w:val="false"/>
                  <w:color w:val="0000FF"/>
                  <w:sz w:val="18"/>
                  <w:u w:val="single"/>
                </w:rPr>
                <w:t>Mine Safety Disclosures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caf56900394eb1806ff7cd5a3e9df4_124">
              <w:r>
                <w:rPr>
                  <w:rStyle w:val="InternetLink"/>
                  <w:rFonts w:ascii="Times New Roman;serif" w:hAnsi="Times New Roman;serif"/>
                  <w:b w:val="false"/>
                  <w:strike w:val="false"/>
                  <w:dstrike w:val="false"/>
                  <w:color w:val="000000"/>
                  <w:sz w:val="18"/>
                  <w:u w:val="none"/>
                  <w:effect w:val="none"/>
                </w:rPr>
                <w:t>28</w:t>
              </w:r>
            </w:hyperlink>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caf56900394eb1806ff7cd5a3e9df4_127">
              <w:r>
                <w:rPr>
                  <w:rStyle w:val="InternetLink"/>
                  <w:rFonts w:ascii="Times New Roman;serif" w:hAnsi="Times New Roman;serif"/>
                  <w:b w:val="false"/>
                  <w:strike w:val="false"/>
                  <w:dstrike w:val="false"/>
                  <w:color w:val="000000"/>
                  <w:sz w:val="18"/>
                  <w:u w:val="none"/>
                  <w:effect w:val="none"/>
                </w:rPr>
                <w:t>Item 5.</w:t>
              </w:r>
            </w:hyperlink>
          </w:p>
        </w:tc>
        <w:tc>
          <w:tcPr>
            <w:tcW w:w="76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caf56900394eb1806ff7cd5a3e9df4_127">
              <w:r>
                <w:rPr>
                  <w:rStyle w:val="InternetLink"/>
                  <w:rFonts w:ascii="Times New Roman;serif" w:hAnsi="Times New Roman;serif"/>
                  <w:b w:val="false"/>
                  <w:color w:val="0000FF"/>
                  <w:sz w:val="18"/>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caf56900394eb1806ff7cd5a3e9df4_127">
              <w:r>
                <w:rPr>
                  <w:rStyle w:val="InternetLink"/>
                  <w:rFonts w:ascii="Times New Roman;serif" w:hAnsi="Times New Roman;serif"/>
                  <w:b w:val="false"/>
                  <w:strike w:val="false"/>
                  <w:dstrike w:val="false"/>
                  <w:color w:val="000000"/>
                  <w:sz w:val="18"/>
                  <w:u w:val="none"/>
                  <w:effect w:val="none"/>
                </w:rPr>
                <w:t>28</w:t>
              </w:r>
            </w:hyperlink>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caf56900394eb1806ff7cd5a3e9df4_133">
              <w:r>
                <w:rPr>
                  <w:rStyle w:val="InternetLink"/>
                  <w:rFonts w:ascii="Times New Roman;serif" w:hAnsi="Times New Roman;serif"/>
                  <w:b w:val="false"/>
                  <w:strike w:val="false"/>
                  <w:dstrike w:val="false"/>
                  <w:color w:val="000000"/>
                  <w:sz w:val="18"/>
                  <w:u w:val="none"/>
                  <w:effect w:val="none"/>
                </w:rPr>
                <w:t>Item 6.</w:t>
              </w:r>
            </w:hyperlink>
          </w:p>
        </w:tc>
        <w:tc>
          <w:tcPr>
            <w:tcW w:w="76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caf56900394eb1806ff7cd5a3e9df4_133">
              <w:r>
                <w:rPr>
                  <w:rStyle w:val="InternetLink"/>
                  <w:rFonts w:ascii="Times New Roman;serif" w:hAnsi="Times New Roman;serif"/>
                  <w:b w:val="false"/>
                  <w:color w:val="0000FF"/>
                  <w:sz w:val="18"/>
                  <w:u w:val="single"/>
                </w:rPr>
                <w:t>Exhibits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caf56900394eb1806ff7cd5a3e9df4_133">
              <w:r>
                <w:rPr>
                  <w:rStyle w:val="InternetLink"/>
                  <w:rFonts w:ascii="Times New Roman;serif" w:hAnsi="Times New Roman;serif"/>
                  <w:b w:val="false"/>
                  <w:strike w:val="false"/>
                  <w:dstrike w:val="false"/>
                  <w:color w:val="000000"/>
                  <w:sz w:val="18"/>
                  <w:u w:val="none"/>
                  <w:effect w:val="none"/>
                </w:rPr>
                <w:t>29</w:t>
              </w:r>
            </w:hyperlink>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caf56900394eb1806ff7cd5a3e9df4_136">
              <w:r>
                <w:rPr>
                  <w:rStyle w:val="InternetLink"/>
                  <w:rFonts w:ascii="Times New Roman;serif" w:hAnsi="Times New Roman;serif"/>
                  <w:b w:val="false"/>
                  <w:color w:val="0000FF"/>
                  <w:sz w:val="18"/>
                  <w:u w:val="single"/>
                </w:rPr>
                <w:t>Signatures</w:t>
              </w:r>
            </w:hyperlink>
          </w:p>
        </w:tc>
        <w:tc>
          <w:tcPr>
            <w:tcW w:w="7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caf56900394eb1806ff7cd5a3e9df4_136">
              <w:r>
                <w:rPr>
                  <w:rStyle w:val="InternetLink"/>
                  <w:rFonts w:ascii="Times New Roman;serif" w:hAnsi="Times New Roman;serif"/>
                  <w:b w:val="false"/>
                  <w:strike w:val="false"/>
                  <w:dstrike w:val="false"/>
                  <w:color w:val="000000"/>
                  <w:sz w:val="18"/>
                  <w:u w:val="none"/>
                  <w:effect w:val="none"/>
                </w:rPr>
                <w:t>30</w:t>
              </w:r>
            </w:hyperlink>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Exhibits</w:t>
            </w:r>
          </w:p>
        </w:tc>
        <w:tc>
          <w:tcPr>
            <w:tcW w:w="7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76" w:before="0" w:after="0"/>
        <w:jc w:val="left"/>
        <w:rPr/>
      </w:pPr>
      <w:hyperlink w:anchor="ib3caf56900394eb1806ff7cd5a3e9df4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Safe Harbor Statement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This Quarterly Report contains “forward-looking statements” within the meaning of the Private Securities Litigation Reform Act of 1995. These statements, which are not statements of historical fact, contain estimates, assumptions, projections and/or expectations regarding future events, which may or may not occur. Words such as “aim,” “anticipate,” “assume,” “believe,” “continue,” “could,” “estimate,” “expect,” “foresee,” “guidance,” “intend,” “may,” “might,” “objective,” “plan,” “potential,” “project,” “seek,” “shall,” “should,” “target,” “will,” “would,” or variations thereof, and other expressions that refer to future events and trends, identify forward-looking statements. Our forward-looking statements, and financial or other business targets, are subject to certain risks and uncertainties, which could cause our actual results to differ materially from the expected results, performance or achievements expressed or implied by such forward-looking statements.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We believe that the most significant risk factors that could affect our financial performance in the near term include: (i) the impact on underlying demand for our products from global economic conditions, tariffs, geopolitical uncertainty, and changes in environmental standards, regulations, and preferences; (ii) competitors’ actions, including pricing, expansion in key markets, and product offerings; (iii) the cost and availability of raw materials; (iv) the degree to which higher costs can be offset with productivity measures and/or passed on to customers through price increases, without a significant loss of volume; (v) foreign currency fluctuations; and (vi) the execution and integration of acquisitions.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Certain risks and uncertainties are discussed in more detail under “Risk Factors” and “Management’s Discussion and Analysis of Financial Condition and Results of Operations” in our 2025 Annual Report on Form 10-K filed with the Securities and Exchange Commission (“SEC”) on February 25, 2026. Actual results and trends may differ materially from historical or anticipated results depending on a variety of factors, including but not limited to, risks and uncertainties related to the following:</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18"/>
        </w:rPr>
        <w:t>International Operations – worldwide economic, social, geopolitical and market conditions; changes in geopolitical conditions, including those related to trade relations and tariffs, China, recent conflicts involving the U.S., Israel and Iran and related hostilities in the Middle East, the Russia-Ukraine war, the Israel-Hamas war; fluctuations in foreign currency exchange rates; and other risks associated with international operations, including in emerging markets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8"/>
        </w:rPr>
        <w:t>Our Business – fluctuations in demand affecting sales to customers; fluctuations in the cost and availability of raw materials and energy; changes in our markets due to competitive conditions, technological developments, laws and regulations, and customer preferences; environmental regulations and sustainability trends; the impact of competitive products and pricing; the execution and integration of acquisitions; selling prices; customer and supplier concentrations or consolidations; the financial condition of distributors; outsourced manufacturers; product and service quality claims; restructuring and other cost reduction actions; our ability to generate sustained productivity improvement and our ability to achieve and sustain targeted cost reductions; the timely development and market acceptance of new products, including sustainable or sustainably-sourced products; our investment in development activities and new production facilities; the collection of receivables from customers; and our sustainability and governance practices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8"/>
        </w:rPr>
        <w:t>Information Technology – disruptions in information technology systems; cybersecurity events or other security breaches; and successful installation of new or upgraded information technology systems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18"/>
        </w:rPr>
        <w:t>Income Taxes – fluctuations in tax rates; changes in tax laws and regulations, and uncertainties associated with interpretations of such laws and regulations; outcome of tax audits; and the realization of deferred tax assets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18"/>
        </w:rPr>
        <w:t>Human Capital – recruitment and retention of employees and collective labor arrangements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18"/>
        </w:rPr>
        <w:t xml:space="preserve">Our Indebtedness – our ability to obtain adequate financing arrangements and maintain access to capital; credit rating risks; fluctuations in interest rates; and compliance with our debt covenants </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18"/>
        </w:rPr>
        <w:t>Ownership of Our Stock – potential significant variability of our stock price and amounts of future dividends and share repurchases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18"/>
        </w:rPr>
        <w:t>Legal and Regulatory Matters – protection and infringement of our intellectual property; the impact of legal and regulatory proceedings, including with respect to anti-corruption, environmental, health and safety, and trade compliance</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18"/>
        </w:rPr>
        <w:t xml:space="preserve">Other Financial Matters – fluctuations in pension costs and goodwill impairment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Our forward-looking statements are made only as of the filing date of this Form 10-Q. We assume no duty to update these forward-looking statements to reflect new, changed or unanticipated events or circumstances, other than as may be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lineRule="auto" w:line="276" w:before="0" w:after="0"/>
        <w:jc w:val="left"/>
        <w:rPr/>
      </w:pPr>
      <w:hyperlink w:anchor="ib3caf56900394eb1806ff7cd5a3e9df4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CONDENSED CONSOLIDATED BALANCE SHEETS </w:t>
      </w:r>
    </w:p>
    <w:p>
      <w:pPr>
        <w:pStyle w:val="TextBody"/>
        <w:bidi w:val="0"/>
        <w:spacing w:lineRule="auto" w:line="288" w:before="0" w:after="0"/>
        <w:jc w:val="left"/>
        <w:rPr/>
      </w:pPr>
      <w:r>
        <w:rPr>
          <w:rFonts w:ascii="Times New Roman;serif" w:hAnsi="Times New Roman;serif"/>
          <w:b/>
          <w:color w:val="000000"/>
          <w:sz w:val="18"/>
        </w:rPr>
        <w:t>(</w:t>
      </w:r>
      <w:r>
        <w:rPr>
          <w:rFonts w:ascii="Times New Roman;serif" w:hAnsi="Times New Roman;serif"/>
          <w:b/>
          <w:i/>
          <w:color w:val="000000"/>
          <w:sz w:val="18"/>
        </w:rPr>
        <w:t>Unaudited</w:t>
      </w:r>
      <w:r>
        <w:rPr>
          <w:rFonts w:ascii="Times New Roman;serif" w:hAnsi="Times New Roman;serif"/>
          <w:b/>
          <w:color w:val="000000"/>
          <w:sz w:val="18"/>
        </w:rPr>
        <w:t xml:space="preserve">) </w:t>
      </w:r>
    </w:p>
    <w:tbl>
      <w:tblPr>
        <w:tblW w:w="10205" w:type="dxa"/>
        <w:jc w:val="left"/>
        <w:tblInd w:w="0" w:type="dxa"/>
        <w:tblLayout w:type="fixed"/>
        <w:tblCellMar>
          <w:top w:w="28" w:type="dxa"/>
          <w:left w:w="28" w:type="dxa"/>
          <w:bottom w:w="28" w:type="dxa"/>
          <w:right w:w="28" w:type="dxa"/>
        </w:tblCellMar>
      </w:tblPr>
      <w:tblGrid>
        <w:gridCol w:w="2983"/>
        <w:gridCol w:w="2283"/>
        <w:gridCol w:w="2304"/>
        <w:gridCol w:w="214"/>
        <w:gridCol w:w="756"/>
        <w:gridCol w:w="119"/>
        <w:gridCol w:w="109"/>
        <w:gridCol w:w="109"/>
        <w:gridCol w:w="109"/>
        <w:gridCol w:w="228"/>
        <w:gridCol w:w="807"/>
        <w:gridCol w:w="184"/>
      </w:tblGrid>
      <w:tr>
        <w:trPr/>
        <w:tc>
          <w:tcPr>
            <w:tcW w:w="2983"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7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(Dollars in millions, except per share amount)</w:t>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5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Trade accounts receivable, less allowances of $27.1 and $28.1 at March 31, 2026 and December 31, 2025, respectively</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1,647.1 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3,219.5 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2,990.3 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1,573.5 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2,263.0 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2,272.5 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intangibles resulting from business acquisitions, net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8,978.6 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8,801.7 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borrowings and current portion of long-term debt and finance leases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1,329.5 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employee benefits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2,799.7 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2,653.6 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and finance leases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3,185.1 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3,210.0 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retirement benefits and other liabilities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 and income taxes payable</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(see Note 10)</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$1 par value per share, authorized – 400,000,000 shares at March 31, 2026 and December 31, 2025; issued – 124,126,624 shares at March 31, 2026 and December 31, 2025; outstanding – 76,661,900 and 76,877,487 shares at March 31, 2026 and December 31, 2025, respectively</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in excess of par value</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5,709.4 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5,597.5 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47,464,724 shares and 47,249,137 shares at March 31, 2026 and December 31, 2025, respectively</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(3,957.6)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(3,904.1)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(409.7)</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2,242.1 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liabilities and shareholders’ equity</w:t>
            </w:r>
          </w:p>
        </w:tc>
        <w:tc>
          <w:tcPr>
            <w:tcW w:w="21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8,978.6 </w:t>
            </w:r>
          </w:p>
        </w:tc>
        <w:tc>
          <w:tcPr>
            <w:tcW w:w="11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8,801.7 </w:t>
            </w:r>
          </w:p>
        </w:tc>
        <w:tc>
          <w:tcPr>
            <w:tcW w:w="18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See Notes to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lineRule="auto" w:line="276" w:before="0" w:after="0"/>
        <w:jc w:val="left"/>
        <w:rPr/>
      </w:pPr>
      <w:hyperlink w:anchor="ib3caf56900394eb1806ff7cd5a3e9df4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CONDENSED CONSOLIDATED STATEMENTS OF INCOME </w:t>
      </w:r>
    </w:p>
    <w:p>
      <w:pPr>
        <w:pStyle w:val="TextBody"/>
        <w:bidi w:val="0"/>
        <w:spacing w:lineRule="auto" w:line="288" w:before="0" w:after="0"/>
        <w:jc w:val="both"/>
        <w:rPr/>
      </w:pPr>
      <w:r>
        <w:rPr>
          <w:rFonts w:ascii="Times New Roman;serif" w:hAnsi="Times New Roman;serif"/>
          <w:b/>
          <w:color w:val="000000"/>
          <w:sz w:val="18"/>
        </w:rPr>
        <w:t>(</w:t>
      </w:r>
      <w:r>
        <w:rPr>
          <w:rFonts w:ascii="Times New Roman;serif" w:hAnsi="Times New Roman;serif"/>
          <w:b/>
          <w:i/>
          <w:color w:val="000000"/>
          <w:sz w:val="18"/>
        </w:rPr>
        <w:t>Unaudited</w:t>
      </w:r>
      <w:r>
        <w:rPr>
          <w:rFonts w:ascii="Times New Roman;serif" w:hAnsi="Times New Roman;serif"/>
          <w:b/>
          <w:color w:val="000000"/>
          <w:sz w:val="18"/>
        </w:rPr>
        <w:t xml:space="preserve">) </w:t>
      </w:r>
    </w:p>
    <w:tbl>
      <w:tblPr>
        <w:tblW w:w="7262" w:type="dxa"/>
        <w:jc w:val="center"/>
        <w:tblInd w:w="0" w:type="dxa"/>
        <w:tblLayout w:type="fixed"/>
        <w:tblCellMar>
          <w:top w:w="28" w:type="dxa"/>
          <w:left w:w="28" w:type="dxa"/>
          <w:bottom w:w="28" w:type="dxa"/>
          <w:right w:w="28" w:type="dxa"/>
        </w:tblCellMar>
      </w:tblPr>
      <w:tblGrid>
        <w:gridCol w:w="1316"/>
        <w:gridCol w:w="1152"/>
        <w:gridCol w:w="1162"/>
        <w:gridCol w:w="109"/>
        <w:gridCol w:w="109"/>
        <w:gridCol w:w="157"/>
        <w:gridCol w:w="157"/>
        <w:gridCol w:w="283"/>
        <w:gridCol w:w="999"/>
        <w:gridCol w:w="157"/>
        <w:gridCol w:w="109"/>
        <w:gridCol w:w="109"/>
        <w:gridCol w:w="109"/>
        <w:gridCol w:w="251"/>
        <w:gridCol w:w="886"/>
        <w:gridCol w:w="197"/>
      </w:tblGrid>
      <w:tr>
        <w:trPr/>
        <w:tc>
          <w:tcPr>
            <w:tcW w:w="1316"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661" w:type="dxa"/>
            <w:gridSpan w:val="6"/>
            <w:tcBorders/>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29, 2025</w:t>
            </w:r>
          </w:p>
        </w:tc>
      </w:tr>
      <w:tr>
        <w:trPr/>
        <w:tc>
          <w:tcPr>
            <w:tcW w:w="3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2,298.5 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2,148.3 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non-operating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227.0 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3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common share, assuming dilution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15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9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3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number of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shares, assuming dilution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8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77.0 </w:t>
            </w:r>
          </w:p>
        </w:tc>
        <w:tc>
          <w:tcPr>
            <w:tcW w:w="157"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79.4 </w:t>
            </w:r>
          </w:p>
        </w:tc>
        <w:tc>
          <w:tcPr>
            <w:tcW w:w="197"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See Notes to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lineRule="auto" w:line="276" w:before="0" w:after="0"/>
        <w:jc w:val="left"/>
        <w:rPr/>
      </w:pPr>
      <w:hyperlink w:anchor="ib3caf56900394eb1806ff7cd5a3e9df4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CONDENSED CONSOLIDATED STATEMENTS OF COMPREHENSIVE INCOME </w:t>
      </w:r>
    </w:p>
    <w:p>
      <w:pPr>
        <w:pStyle w:val="TextBody"/>
        <w:bidi w:val="0"/>
        <w:spacing w:lineRule="auto" w:line="288" w:before="0" w:after="0"/>
        <w:jc w:val="left"/>
        <w:rPr/>
      </w:pPr>
      <w:r>
        <w:rPr>
          <w:rFonts w:ascii="Times New Roman;serif" w:hAnsi="Times New Roman;serif"/>
          <w:b/>
          <w:color w:val="000000"/>
          <w:sz w:val="18"/>
        </w:rPr>
        <w:t>(</w:t>
      </w:r>
      <w:r>
        <w:rPr>
          <w:rFonts w:ascii="Times New Roman;serif" w:hAnsi="Times New Roman;serif"/>
          <w:b/>
          <w:i/>
          <w:color w:val="000000"/>
          <w:sz w:val="18"/>
        </w:rPr>
        <w:t>Unaudited</w:t>
      </w:r>
      <w:r>
        <w:rPr>
          <w:rFonts w:ascii="Times New Roman;serif" w:hAnsi="Times New Roman;serif"/>
          <w:b/>
          <w:color w:val="000000"/>
          <w:sz w:val="18"/>
        </w:rPr>
        <w:t xml:space="preserve">) </w:t>
      </w:r>
    </w:p>
    <w:tbl>
      <w:tblPr>
        <w:tblW w:w="7068" w:type="dxa"/>
        <w:jc w:val="center"/>
        <w:tblInd w:w="0" w:type="dxa"/>
        <w:tblLayout w:type="fixed"/>
        <w:tblCellMar>
          <w:top w:w="28" w:type="dxa"/>
          <w:left w:w="28" w:type="dxa"/>
          <w:bottom w:w="28" w:type="dxa"/>
          <w:right w:w="28" w:type="dxa"/>
        </w:tblCellMar>
      </w:tblPr>
      <w:tblGrid>
        <w:gridCol w:w="1295"/>
        <w:gridCol w:w="1066"/>
        <w:gridCol w:w="1074"/>
        <w:gridCol w:w="109"/>
        <w:gridCol w:w="109"/>
        <w:gridCol w:w="177"/>
        <w:gridCol w:w="177"/>
        <w:gridCol w:w="318"/>
        <w:gridCol w:w="904"/>
        <w:gridCol w:w="177"/>
        <w:gridCol w:w="109"/>
        <w:gridCol w:w="109"/>
        <w:gridCol w:w="109"/>
        <w:gridCol w:w="289"/>
        <w:gridCol w:w="819"/>
        <w:gridCol w:w="227"/>
      </w:tblGrid>
      <w:tr>
        <w:trPr/>
        <w:tc>
          <w:tcPr>
            <w:tcW w:w="129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662" w:type="dxa"/>
            <w:gridSpan w:val="6"/>
            <w:tcBorders/>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29, 2025</w:t>
            </w:r>
          </w:p>
        </w:tc>
      </w:tr>
      <w:tr>
        <w:trPr/>
        <w:tc>
          <w:tcPr>
            <w:tcW w:w="3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and other postretirement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Fair value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comprehensive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184.8 </w:t>
            </w:r>
          </w:p>
        </w:tc>
        <w:tc>
          <w:tcPr>
            <w:tcW w:w="17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173.2 </w:t>
            </w:r>
          </w:p>
        </w:tc>
        <w:tc>
          <w:tcPr>
            <w:tcW w:w="22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See Notes to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lineRule="auto" w:line="276" w:before="0" w:after="0"/>
        <w:jc w:val="left"/>
        <w:rPr/>
      </w:pPr>
      <w:hyperlink w:anchor="ib3caf56900394eb1806ff7cd5a3e9df4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CONDENSED CONSOLIDATED STATEMENTS OF CASH FLOWS </w:t>
      </w:r>
    </w:p>
    <w:p>
      <w:pPr>
        <w:pStyle w:val="TextBody"/>
        <w:bidi w:val="0"/>
        <w:spacing w:lineRule="auto" w:line="288" w:before="0" w:after="0"/>
        <w:jc w:val="left"/>
        <w:rPr/>
      </w:pPr>
      <w:r>
        <w:rPr>
          <w:rFonts w:ascii="Times New Roman;serif" w:hAnsi="Times New Roman;serif"/>
          <w:b/>
          <w:i/>
          <w:color w:val="000000"/>
          <w:sz w:val="18"/>
        </w:rPr>
        <w:t>(Unaudited</w:t>
      </w:r>
      <w:r>
        <w:rPr>
          <w:rFonts w:ascii="Times New Roman;serif" w:hAnsi="Times New Roman;serif"/>
          <w:b/>
          <w:color w:val="000000"/>
          <w:sz w:val="18"/>
        </w:rPr>
        <w:t>)</w:t>
      </w:r>
      <w:r>
        <w:rPr>
          <w:color w:val="000000"/>
        </w:rPr>
        <w:t xml:space="preserve"> </w:t>
      </w:r>
    </w:p>
    <w:tbl>
      <w:tblPr>
        <w:tblW w:w="9416" w:type="dxa"/>
        <w:jc w:val="left"/>
        <w:tblInd w:w="0" w:type="dxa"/>
        <w:tblLayout w:type="fixed"/>
        <w:tblCellMar>
          <w:top w:w="28" w:type="dxa"/>
          <w:left w:w="28" w:type="dxa"/>
          <w:bottom w:w="28" w:type="dxa"/>
          <w:right w:w="28" w:type="dxa"/>
        </w:tblCellMar>
      </w:tblPr>
      <w:tblGrid>
        <w:gridCol w:w="2339"/>
        <w:gridCol w:w="2053"/>
        <w:gridCol w:w="2073"/>
        <w:gridCol w:w="293"/>
        <w:gridCol w:w="833"/>
        <w:gridCol w:w="163"/>
        <w:gridCol w:w="109"/>
        <w:gridCol w:w="109"/>
        <w:gridCol w:w="109"/>
        <w:gridCol w:w="289"/>
        <w:gridCol w:w="819"/>
        <w:gridCol w:w="227"/>
      </w:tblGrid>
      <w:tr>
        <w:trPr/>
        <w:tc>
          <w:tcPr>
            <w:tcW w:w="2339"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28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29, 2025</w:t>
            </w:r>
          </w:p>
        </w:tc>
      </w:tr>
      <w:tr>
        <w:trPr/>
        <w:tc>
          <w:tcPr>
            <w:tcW w:w="646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28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(used in) operating activities:</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 and sales returns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taxes and other non-cash taxes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expense and loss (income and gain), net</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 and other adjustments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(286.0)</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plant and equipment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software and other deferred charges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property, plant and equipment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insurance and sales (purchases) of investments, net</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Proceeds from settlement of net investment hedges </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acquisitions, net of cash acquired, and venture investments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borrowings with maturities of three months or less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796.5 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long-term debt and finance leases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(525.0)</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repurchases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(261.6)</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(tax withholding) proceeds related to stock-based compensation</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Payments for settlement of fair value hedges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foreign currency translation on cash balances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cash and cash equivalents</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year</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29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255.1 </w:t>
            </w:r>
          </w:p>
        </w:tc>
        <w:tc>
          <w:tcPr>
            <w:tcW w:w="16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195.9 </w:t>
            </w:r>
          </w:p>
        </w:tc>
        <w:tc>
          <w:tcPr>
            <w:tcW w:w="22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See Notes to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lineRule="auto" w:line="276" w:before="0" w:after="0"/>
        <w:jc w:val="left"/>
        <w:rPr/>
      </w:pPr>
      <w:hyperlink w:anchor="ib3caf56900394eb1806ff7cd5a3e9df4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left"/>
        <w:rPr>
          <w:rFonts w:ascii="Times New Roman;serif" w:hAnsi="Times New Roman;serif"/>
          <w:b/>
          <w:color w:val="000000"/>
          <w:sz w:val="18"/>
          <w:u w:val="single"/>
        </w:rPr>
      </w:pPr>
      <w:r>
        <w:rPr>
          <w:rFonts w:ascii="Times New Roman;serif" w:hAnsi="Times New Roman;serif"/>
          <w:b/>
          <w:color w:val="000000"/>
          <w:sz w:val="18"/>
          <w:u w:val="single"/>
        </w:rPr>
        <w:t xml:space="preserve">NOTES TO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Note 1. General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The unaudited Condensed Consolidated Financial Statements and related notes in this Quarterly Report on Form 10-Q are presented as permitted by Article 10 of Regulation S-X and do not contain certain information included in the audited Consolidated Financial Statements and related notes in our 2025 Annual Report on Form 10-K, which should be read in conjunction with this report. These unaudited Condensed Consolidated Financial Statements contain all adjustments of a normal and recurring nature necessary for a fair statement of our interim results. Interim results of operations are not necessarily indicative of the results expected for the full fiscal year or any future period. These unaudited Condensed Consolidated Financial Statements reflect our current estimates and assumptions affecting (i) our reported amounts of assets and liabilities and related disclosures as of the date of the financial statements and (ii) our reported amounts of sales and expenses during the reporting periods presented.</w:t>
      </w:r>
    </w:p>
    <w:p>
      <w:pPr>
        <w:pStyle w:val="TextBody"/>
        <w:bidi w:val="0"/>
        <w:spacing w:lineRule="auto" w:line="288" w:before="240" w:after="283"/>
        <w:jc w:val="left"/>
        <w:rPr>
          <w:rFonts w:ascii="Times New Roman;serif" w:hAnsi="Times New Roman;serif"/>
          <w:b/>
          <w:i/>
          <w:color w:val="000000"/>
          <w:sz w:val="18"/>
        </w:rPr>
      </w:pPr>
      <w:r>
        <w:rPr>
          <w:rFonts w:ascii="Times New Roman;serif" w:hAnsi="Times New Roman;serif"/>
          <w:b/>
          <w:i/>
          <w:color w:val="000000"/>
          <w:sz w:val="18"/>
        </w:rPr>
        <w:t xml:space="preserve">Fiscal Periods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three months ended March 31, 2026 and March 29, 2025 consisted of 90 and 91 days, respectively.</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Our 2026 fiscal year is coincident with the calendar year, beginning on January 1 and ending on December 31; our 2025 fiscal year began on December 29, 2024 and ended on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Note 2. Goodwill and Other Intangibles Resulting from Business Acquisitions</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Changes in the net carrying amount of goodwill for the three months ended March 31, 2026 by reportable segment are shown below. </w:t>
      </w:r>
    </w:p>
    <w:tbl>
      <w:tblPr>
        <w:tblW w:w="7297" w:type="dxa"/>
        <w:jc w:val="center"/>
        <w:tblInd w:w="0" w:type="dxa"/>
        <w:tblLayout w:type="fixed"/>
        <w:tblCellMar>
          <w:top w:w="28" w:type="dxa"/>
          <w:left w:w="28" w:type="dxa"/>
          <w:bottom w:w="28" w:type="dxa"/>
          <w:right w:w="28" w:type="dxa"/>
        </w:tblCellMar>
      </w:tblPr>
      <w:tblGrid>
        <w:gridCol w:w="950"/>
        <w:gridCol w:w="834"/>
        <w:gridCol w:w="841"/>
        <w:gridCol w:w="314"/>
        <w:gridCol w:w="891"/>
        <w:gridCol w:w="174"/>
        <w:gridCol w:w="109"/>
        <w:gridCol w:w="109"/>
        <w:gridCol w:w="109"/>
        <w:gridCol w:w="271"/>
        <w:gridCol w:w="958"/>
        <w:gridCol w:w="151"/>
        <w:gridCol w:w="109"/>
        <w:gridCol w:w="109"/>
        <w:gridCol w:w="109"/>
        <w:gridCol w:w="109"/>
        <w:gridCol w:w="109"/>
        <w:gridCol w:w="196"/>
        <w:gridCol w:w="691"/>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Materials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Solutions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Total</w:t>
            </w:r>
          </w:p>
        </w:tc>
      </w:tr>
      <w:tr>
        <w:trPr/>
        <w:tc>
          <w:tcPr>
            <w:tcW w:w="26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Goodwill as of December 31, 2025</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Acquisition adjustments</w:t>
            </w:r>
            <w:r>
              <w:rPr>
                <w:rFonts w:ascii="Times New Roman;serif" w:hAnsi="Times New Roman;serif"/>
                <w:b w:val="false"/>
                <w:color w:val="000000"/>
                <w:sz w:val="12"/>
              </w:rPr>
              <w:t>(1)</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Translation adjustments</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Goodwill as of March 31, 2026</w:t>
            </w:r>
          </w:p>
        </w:tc>
        <w:tc>
          <w:tcPr>
            <w:tcW w:w="31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880.9 </w:t>
            </w:r>
          </w:p>
        </w:tc>
        <w:tc>
          <w:tcPr>
            <w:tcW w:w="17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1,382.1 </w:t>
            </w:r>
          </w:p>
        </w:tc>
        <w:tc>
          <w:tcPr>
            <w:tcW w:w="15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2,263.0 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9"/>
        </w:rPr>
        <w:t xml:space="preserve">(1) </w:t>
      </w:r>
      <w:r>
        <w:rPr>
          <w:rFonts w:ascii="Times New Roman;serif" w:hAnsi="Times New Roman;serif"/>
          <w:b w:val="false"/>
          <w:color w:val="000000"/>
          <w:sz w:val="14"/>
        </w:rPr>
        <w:t>Measurement period adjustments related to the purchase price allocation for our 2025 acquisition of W.F. Taylor Holdings, Inc.</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Amortization expense for finite-lived intangible assets resulting from business acquisitions was $25.8 million and $22.1 million for the three months ended March 31, 2026 and March 29, 2025, respectively.</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Estimated future amortization expense related to existing finite-lived intangible assets for the remainder of fiscal year 2026 and for each of the next four fiscal years and thereafter is shown below. </w:t>
      </w:r>
    </w:p>
    <w:tbl>
      <w:tblPr>
        <w:tblW w:w="3103" w:type="dxa"/>
        <w:jc w:val="left"/>
        <w:tblInd w:w="0" w:type="dxa"/>
        <w:tblLayout w:type="fixed"/>
        <w:tblCellMar>
          <w:top w:w="28" w:type="dxa"/>
          <w:left w:w="28" w:type="dxa"/>
          <w:bottom w:w="28" w:type="dxa"/>
          <w:right w:w="28" w:type="dxa"/>
        </w:tblCellMar>
      </w:tblPr>
      <w:tblGrid>
        <w:gridCol w:w="682"/>
        <w:gridCol w:w="599"/>
        <w:gridCol w:w="608"/>
        <w:gridCol w:w="291"/>
        <w:gridCol w:w="693"/>
        <w:gridCol w:w="230"/>
      </w:tblGrid>
      <w:tr>
        <w:trPr/>
        <w:tc>
          <w:tcPr>
            <w:tcW w:w="68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Estimated</w:t>
              <w:br/>
              <w:t xml:space="preserve">Amortization </w:t>
              <w:br/>
              <w:t>Expense</w:t>
            </w:r>
          </w:p>
        </w:tc>
      </w:tr>
      <w:tr>
        <w:trPr/>
        <w:tc>
          <w:tcPr>
            <w:tcW w:w="1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2026 (remainder of year)</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98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200.5 </w:t>
            </w:r>
          </w:p>
        </w:tc>
        <w:tc>
          <w:tcPr>
            <w:tcW w:w="23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Note 3. Debt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The estimated fair value of our long-term debt is primarily based on the credit spread above U.S. Treasury securities or euro government bond securities, as applicable, on notes with similar rates, credit ratings and remaining maturities. The fair value of short-term borrowings, which include commercial paper issuances and short-term lines of credit, approximates their carrying value given the short duration of these obligations. The fair value of our total debt was $3.68 billion at March 31, 2026 and $3.67 billion at December 31, 2025. Fair value was determined based primarily on Level 2 inputs, which are inputs other than quoted prices in active markets that are either directly or indirectly observable.</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Our $1.20 billion revolving credit facility (the “Revolver”) contains a financial covenant requiring that we maintain a specified ratio of total debt minus unrestricted cash and cash equivalents in excess of $50 million to a certain measure of income. As of both March 31, 2026 and December 31, 2025, we were in compliance with this financial covenant. No balance was outstanding under the Revolver as of March 31, 2026 or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lineRule="auto" w:line="276" w:before="0" w:after="0"/>
        <w:jc w:val="left"/>
        <w:rPr/>
      </w:pPr>
      <w:hyperlink w:anchor="ib3caf56900394eb1806ff7cd5a3e9df4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Note 4. Cost Reduction Actions</w:t>
      </w:r>
    </w:p>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2026 Actions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recorded $15.9 million in restructuring charges during the three months ended March 31, 2026. These charges consisted of severance and related costs for the reduction of approximately 370 positions, as well as asset impairment charges, at various locations across our company as a result of actions taken to optimize our operational footprint and workforce headcount.</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During the three months ended March 31, 2026, restructuring charges and payments were as follows: </w:t>
      </w:r>
    </w:p>
    <w:tbl>
      <w:tblPr>
        <w:tblW w:w="10205" w:type="dxa"/>
        <w:jc w:val="left"/>
        <w:tblInd w:w="0" w:type="dxa"/>
        <w:tblLayout w:type="fixed"/>
        <w:tblCellMar>
          <w:top w:w="28" w:type="dxa"/>
          <w:left w:w="28" w:type="dxa"/>
          <w:bottom w:w="28" w:type="dxa"/>
          <w:right w:w="28" w:type="dxa"/>
        </w:tblCellMar>
      </w:tblPr>
      <w:tblGrid>
        <w:gridCol w:w="728"/>
        <w:gridCol w:w="628"/>
        <w:gridCol w:w="629"/>
        <w:gridCol w:w="385"/>
        <w:gridCol w:w="917"/>
        <w:gridCol w:w="215"/>
        <w:gridCol w:w="109"/>
        <w:gridCol w:w="109"/>
        <w:gridCol w:w="109"/>
        <w:gridCol w:w="213"/>
        <w:gridCol w:w="508"/>
        <w:gridCol w:w="120"/>
        <w:gridCol w:w="109"/>
        <w:gridCol w:w="109"/>
        <w:gridCol w:w="109"/>
        <w:gridCol w:w="213"/>
        <w:gridCol w:w="539"/>
        <w:gridCol w:w="120"/>
        <w:gridCol w:w="109"/>
        <w:gridCol w:w="109"/>
        <w:gridCol w:w="109"/>
        <w:gridCol w:w="285"/>
        <w:gridCol w:w="591"/>
        <w:gridCol w:w="160"/>
        <w:gridCol w:w="109"/>
        <w:gridCol w:w="109"/>
        <w:gridCol w:w="109"/>
        <w:gridCol w:w="277"/>
        <w:gridCol w:w="574"/>
        <w:gridCol w:w="155"/>
        <w:gridCol w:w="109"/>
        <w:gridCol w:w="109"/>
        <w:gridCol w:w="109"/>
        <w:gridCol w:w="313"/>
        <w:gridCol w:w="746"/>
        <w:gridCol w:w="254"/>
      </w:tblGrid>
      <w:tr>
        <w:trPr/>
        <w:tc>
          <w:tcPr>
            <w:tcW w:w="7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1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517"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Accrual at</w:t>
            </w:r>
          </w:p>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Charges,</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Net of</w:t>
            </w:r>
          </w:p>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Reversals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Cash</w:t>
            </w:r>
          </w:p>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Non-cash</w:t>
            </w:r>
          </w:p>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Impairment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Foreign</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Currency</w:t>
            </w:r>
          </w:p>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Accrual at</w:t>
            </w:r>
          </w:p>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March 31, 2026</w:t>
            </w:r>
          </w:p>
        </w:tc>
      </w:tr>
      <w:tr>
        <w:trPr/>
        <w:tc>
          <w:tcPr>
            <w:tcW w:w="1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2026 Actions</w:t>
            </w:r>
          </w:p>
        </w:tc>
        <w:tc>
          <w:tcPr>
            <w:tcW w:w="15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Severance and related costs</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Asset impairment</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Lease cancellation charges</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2025 Actions</w:t>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Severance and related costs</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1985"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1985"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1985"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1985"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1985"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1985"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1985"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1985"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1985"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1985"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1985"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198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8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21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2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w:t>
            </w:r>
          </w:p>
        </w:tc>
        <w:tc>
          <w:tcPr>
            <w:tcW w:w="12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6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2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Accruals for severance and related costs, as well as lease cancellation charges, were included in “Other current liabilities” and “Long-term retirement benefits and other liabilities” in the unaudited Condensed Consolidated Balance Sheets. Asset impairment charges were based on the estimated market value of the assets, less selling costs, if applicable. Restructuring charges were included in “Other expense (income), net” in the unaudited Condensed Consolidated Statements of Income.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The table below shows the amount of restructuring charges, net of reversals, incurred by reportable segment and Corporate.</w:t>
      </w:r>
    </w:p>
    <w:tbl>
      <w:tblPr>
        <w:tblW w:w="9692" w:type="dxa"/>
        <w:jc w:val="center"/>
        <w:tblInd w:w="0" w:type="dxa"/>
        <w:tblLayout w:type="fixed"/>
        <w:tblCellMar>
          <w:top w:w="28" w:type="dxa"/>
          <w:left w:w="28" w:type="dxa"/>
          <w:bottom w:w="28" w:type="dxa"/>
          <w:right w:w="28" w:type="dxa"/>
        </w:tblCellMar>
      </w:tblPr>
      <w:tblGrid>
        <w:gridCol w:w="2190"/>
        <w:gridCol w:w="1927"/>
        <w:gridCol w:w="1942"/>
        <w:gridCol w:w="109"/>
        <w:gridCol w:w="109"/>
        <w:gridCol w:w="193"/>
        <w:gridCol w:w="193"/>
        <w:gridCol w:w="348"/>
        <w:gridCol w:w="827"/>
        <w:gridCol w:w="193"/>
        <w:gridCol w:w="109"/>
        <w:gridCol w:w="109"/>
        <w:gridCol w:w="109"/>
        <w:gridCol w:w="360"/>
        <w:gridCol w:w="691"/>
        <w:gridCol w:w="283"/>
      </w:tblGrid>
      <w:tr>
        <w:trPr/>
        <w:tc>
          <w:tcPr>
            <w:tcW w:w="2190"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661" w:type="dxa"/>
            <w:gridSpan w:val="6"/>
            <w:tcBorders/>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29, 2025</w:t>
            </w:r>
          </w:p>
        </w:tc>
      </w:tr>
      <w:tr>
        <w:trPr/>
        <w:tc>
          <w:tcPr>
            <w:tcW w:w="6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Restructuring charges, net of reversals, by reportable segment and Corporate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Materials Group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Solutions Group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9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8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Note 5. Financial Instruments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We use various derivative financial instruments to manage risks in foreign currency exchange rates, commodity prices and interest rates. We recognize derivative financial instruments as either assets or liabilities at fair value in the unaudited Condensed Consolidated Balance Sheets. Refer to Note 9, “Fair Value Measurements,” to the unaudited Condensed Consolidated Financial Statements for more information. </w:t>
      </w:r>
    </w:p>
    <w:p>
      <w:pPr>
        <w:pStyle w:val="TextBody"/>
        <w:bidi w:val="0"/>
        <w:spacing w:lineRule="auto" w:line="288" w:before="240" w:after="283"/>
        <w:jc w:val="both"/>
        <w:rPr>
          <w:rFonts w:ascii="Times New Roman;serif" w:hAnsi="Times New Roman;serif"/>
          <w:b/>
          <w:i/>
          <w:color w:val="000000"/>
          <w:sz w:val="18"/>
        </w:rPr>
      </w:pPr>
      <w:r>
        <w:rPr>
          <w:rFonts w:ascii="Times New Roman;serif" w:hAnsi="Times New Roman;serif"/>
          <w:b/>
          <w:i/>
          <w:color w:val="000000"/>
          <w:sz w:val="18"/>
        </w:rPr>
        <w:t>Fair Value Hedges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enter into foreign currency forward contracts to hedge our euro-denominated debt to offset changes in the fair value of the hedged item attributable to foreign currency risk. As of March 31, 2026, the foreign currency forward contracts hedging our €500 million of senior notes due in the third quarter of 2035 and €500 million of senior notes due in the fourth quarter of 2034 mature in September and December 2026, respectively.</w:t>
      </w:r>
    </w:p>
    <w:p>
      <w:pPr>
        <w:pStyle w:val="TextBody"/>
        <w:bidi w:val="0"/>
        <w:spacing w:lineRule="auto" w:line="288" w:before="240" w:after="283"/>
        <w:jc w:val="both"/>
        <w:rPr>
          <w:rFonts w:ascii="Times New Roman;serif" w:hAnsi="Times New Roman;serif"/>
          <w:b/>
          <w:i/>
          <w:color w:val="000000"/>
          <w:sz w:val="18"/>
        </w:rPr>
      </w:pPr>
      <w:r>
        <w:rPr>
          <w:rFonts w:ascii="Times New Roman;serif" w:hAnsi="Times New Roman;serif"/>
          <w:b/>
          <w:i/>
          <w:color w:val="000000"/>
          <w:sz w:val="18"/>
        </w:rPr>
        <w:t>Cash Flow Hedges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entered into U.S. dollar to euro cross-currency swap contracts with a total notional amount of $250 million to effectively convert our fixed-rate U.S. dollar-denominated debt to euro-denominated debt, including semiannual interest payments and the payment of principal at maturity. During the term of the contracts, which end on April 30, 2030, we pay fixed-rate interest in euros and receive fixed-rate interest in U.S. dollars.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We designate commodity forward contracts on forecasted purchases of commodities as cash flow hedges. The impact of these commodity hedge activities on the unaudited Condensed Consolidated Financial Statements was not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lineRule="auto" w:line="276" w:before="0" w:after="0"/>
        <w:jc w:val="left"/>
        <w:rPr/>
      </w:pPr>
      <w:hyperlink w:anchor="ib3caf56900394eb1806ff7cd5a3e9df4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both"/>
        <w:rPr>
          <w:rFonts w:ascii="Times New Roman;serif" w:hAnsi="Times New Roman;serif"/>
          <w:b/>
          <w:i/>
          <w:color w:val="000000"/>
          <w:sz w:val="18"/>
        </w:rPr>
      </w:pPr>
      <w:r>
        <w:rPr>
          <w:rFonts w:ascii="Times New Roman;serif" w:hAnsi="Times New Roman;serif"/>
          <w:b/>
          <w:i/>
          <w:color w:val="000000"/>
          <w:sz w:val="18"/>
        </w:rPr>
        <w:t>Net Investment Hedges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enter into foreign currency contracts and zero-cost collars, which are combined as net investment hedges for accounting purposes. These net investment hedges minimize the effect of foreign currency exchange rates on our net investment in certain foreign operations between the sold put strike and bought call strike rates of the contracts. As of March 31, 2026, the notional amount of these hedges was €1.0 billion, consisting of two €500 million tranches that mature in September and December 2026.</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We enter into cross-currency swap contracts and zero-cost collars, which are also combined as net investment hedges for accounting purposes. These net investment hedges minimize the effect of foreign currency exchange rates on our net investment in certain foreign operations between the sold put strike and bought call strike rates of the contracts. The cross-currency swap contracts and zero-cost collars mature in February 2036 and 2027, respectively.</w:t>
      </w:r>
    </w:p>
    <w:p>
      <w:pPr>
        <w:pStyle w:val="TextBody"/>
        <w:bidi w:val="0"/>
        <w:spacing w:lineRule="auto" w:line="288" w:before="240" w:after="283"/>
        <w:jc w:val="both"/>
        <w:rPr>
          <w:rFonts w:ascii="Times New Roman;serif" w:hAnsi="Times New Roman;serif"/>
          <w:b/>
          <w:i/>
          <w:color w:val="000000"/>
          <w:sz w:val="18"/>
        </w:rPr>
      </w:pPr>
      <w:r>
        <w:rPr>
          <w:rFonts w:ascii="Times New Roman;serif" w:hAnsi="Times New Roman;serif"/>
          <w:b/>
          <w:i/>
          <w:color w:val="000000"/>
          <w:sz w:val="18"/>
        </w:rPr>
        <w:t>Other Derivatives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enter into foreign currency exchange contracts to reduce the risk from foreign currency exchange rate fluctuations associated with our receivables, payables, loans and firm commitments denominated in certain foreign currencies that arise primarily as a result of our operations outside the U.S. The impact of these foreign currency exchange contracts on the unaudited Condensed Consolidated Financial Statements was not material.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shows the fair value and balance sheet locations of our fair value hedges, cross-currency swap contracts designated as cash flow hedges and net investment hedges as of March 31, 2026 and December 31, 2025: </w:t>
      </w:r>
    </w:p>
    <w:tbl>
      <w:tblPr>
        <w:tblW w:w="10205" w:type="dxa"/>
        <w:jc w:val="left"/>
        <w:tblInd w:w="0" w:type="dxa"/>
        <w:tblLayout w:type="fixed"/>
        <w:tblCellMar>
          <w:top w:w="28" w:type="dxa"/>
          <w:left w:w="28" w:type="dxa"/>
          <w:bottom w:w="28" w:type="dxa"/>
          <w:right w:w="28" w:type="dxa"/>
        </w:tblCellMar>
      </w:tblPr>
      <w:tblGrid>
        <w:gridCol w:w="841"/>
        <w:gridCol w:w="438"/>
        <w:gridCol w:w="373"/>
        <w:gridCol w:w="109"/>
        <w:gridCol w:w="213"/>
        <w:gridCol w:w="752"/>
        <w:gridCol w:w="118"/>
        <w:gridCol w:w="109"/>
        <w:gridCol w:w="109"/>
        <w:gridCol w:w="109"/>
        <w:gridCol w:w="244"/>
        <w:gridCol w:w="582"/>
        <w:gridCol w:w="136"/>
        <w:gridCol w:w="109"/>
        <w:gridCol w:w="109"/>
        <w:gridCol w:w="109"/>
        <w:gridCol w:w="364"/>
        <w:gridCol w:w="755"/>
        <w:gridCol w:w="204"/>
        <w:gridCol w:w="109"/>
        <w:gridCol w:w="109"/>
        <w:gridCol w:w="109"/>
        <w:gridCol w:w="273"/>
        <w:gridCol w:w="652"/>
        <w:gridCol w:w="153"/>
        <w:gridCol w:w="109"/>
        <w:gridCol w:w="109"/>
        <w:gridCol w:w="109"/>
        <w:gridCol w:w="348"/>
        <w:gridCol w:w="829"/>
        <w:gridCol w:w="195"/>
        <w:gridCol w:w="109"/>
        <w:gridCol w:w="109"/>
        <w:gridCol w:w="109"/>
        <w:gridCol w:w="367"/>
        <w:gridCol w:w="301"/>
        <w:gridCol w:w="323"/>
      </w:tblGrid>
      <w:tr>
        <w:trPr/>
        <w:tc>
          <w:tcPr>
            <w:tcW w:w="84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Other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Other Non-Current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Other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Type of Hedge</w:t>
            </w:r>
          </w:p>
        </w:tc>
      </w:tr>
      <w:tr>
        <w:trPr/>
        <w:tc>
          <w:tcPr>
            <w:tcW w:w="16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designated as hedges:</w:t>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Fair value</w:t>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 contracts</w:t>
            </w:r>
          </w:p>
        </w:tc>
        <w:tc>
          <w:tcPr>
            <w:tcW w:w="109"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Cash flow</w:t>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 with collars</w:t>
            </w:r>
          </w:p>
        </w:tc>
        <w:tc>
          <w:tcPr>
            <w:tcW w:w="109"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Net investment</w:t>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Cross-currency swap contracts with collars</w:t>
            </w:r>
          </w:p>
        </w:tc>
        <w:tc>
          <w:tcPr>
            <w:tcW w:w="109"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Net investment</w:t>
            </w:r>
          </w:p>
        </w:tc>
      </w:tr>
      <w:tr>
        <w:trPr/>
        <w:tc>
          <w:tcPr>
            <w:tcW w:w="16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designated as hedges:</w:t>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Fair value</w:t>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 contracts</w:t>
            </w:r>
          </w:p>
        </w:tc>
        <w:tc>
          <w:tcPr>
            <w:tcW w:w="109"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Cash flow</w:t>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 with collars</w:t>
            </w:r>
          </w:p>
        </w:tc>
        <w:tc>
          <w:tcPr>
            <w:tcW w:w="109"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Net investment</w:t>
            </w:r>
          </w:p>
        </w:tc>
      </w:tr>
      <w:tr>
        <w:trPr/>
        <w:tc>
          <w:tcPr>
            <w:tcW w:w="1652" w:type="dxa"/>
            <w:gridSpan w:val="3"/>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2"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04"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95"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The following table shows the components of net gains (losses) recognized in income related to derivative instruments:</w:t>
      </w:r>
    </w:p>
    <w:tbl>
      <w:tblPr>
        <w:tblW w:w="9933" w:type="dxa"/>
        <w:jc w:val="left"/>
        <w:tblInd w:w="0" w:type="dxa"/>
        <w:tblLayout w:type="fixed"/>
        <w:tblCellMar>
          <w:top w:w="28" w:type="dxa"/>
          <w:left w:w="28" w:type="dxa"/>
          <w:bottom w:w="28" w:type="dxa"/>
          <w:right w:w="28" w:type="dxa"/>
        </w:tblCellMar>
      </w:tblPr>
      <w:tblGrid>
        <w:gridCol w:w="2189"/>
        <w:gridCol w:w="1921"/>
        <w:gridCol w:w="1949"/>
        <w:gridCol w:w="109"/>
        <w:gridCol w:w="109"/>
        <w:gridCol w:w="109"/>
        <w:gridCol w:w="149"/>
        <w:gridCol w:w="149"/>
        <w:gridCol w:w="149"/>
        <w:gridCol w:w="149"/>
        <w:gridCol w:w="298"/>
        <w:gridCol w:w="826"/>
        <w:gridCol w:w="166"/>
        <w:gridCol w:w="109"/>
        <w:gridCol w:w="109"/>
        <w:gridCol w:w="109"/>
        <w:gridCol w:w="320"/>
        <w:gridCol w:w="762"/>
        <w:gridCol w:w="252"/>
      </w:tblGrid>
      <w:tr>
        <w:trPr/>
        <w:tc>
          <w:tcPr>
            <w:tcW w:w="2189"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661" w:type="dxa"/>
            <w:gridSpan w:val="6"/>
            <w:tcBorders/>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29, 2025</w:t>
            </w:r>
          </w:p>
        </w:tc>
      </w:tr>
      <w:tr>
        <w:trPr/>
        <w:tc>
          <w:tcPr>
            <w:tcW w:w="6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derivatives designated as fair value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 - Marketing, 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w:t>
            </w:r>
          </w:p>
        </w:tc>
        <w:tc>
          <w:tcPr>
            <w:tcW w:w="16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25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60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60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60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The impact of the hedged items associated with the derivatives in the table above is recorded to the same income statement line as the derivative instrument. The net gains (losses) recognized in income related to our cross-currency swap contracts were not material to the unaudited Condensed Consolidated Statements of Income for the three months ended March 31, 2026 and March 29, 2025.</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We recognized a gain in translation of approximately $11 million and a loss of approximately $8 million for the net investment hedges for the three months ended March 31, 2026, and March 29,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lineRule="auto" w:line="276" w:before="0" w:after="0"/>
        <w:jc w:val="left"/>
        <w:rPr/>
      </w:pPr>
      <w:hyperlink w:anchor="ib3caf56900394eb1806ff7cd5a3e9df4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Note 6. Taxes Based on Income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summarizes our income before taxes, provision for income taxes, and effective tax rate: </w:t>
      </w:r>
    </w:p>
    <w:tbl>
      <w:tblPr>
        <w:tblW w:w="5658" w:type="dxa"/>
        <w:jc w:val="center"/>
        <w:tblInd w:w="0" w:type="dxa"/>
        <w:tblLayout w:type="fixed"/>
        <w:tblCellMar>
          <w:top w:w="28" w:type="dxa"/>
          <w:left w:w="28" w:type="dxa"/>
          <w:bottom w:w="28" w:type="dxa"/>
          <w:right w:w="28" w:type="dxa"/>
        </w:tblCellMar>
      </w:tblPr>
      <w:tblGrid>
        <w:gridCol w:w="733"/>
        <w:gridCol w:w="645"/>
        <w:gridCol w:w="647"/>
        <w:gridCol w:w="109"/>
        <w:gridCol w:w="109"/>
        <w:gridCol w:w="156"/>
        <w:gridCol w:w="156"/>
        <w:gridCol w:w="280"/>
        <w:gridCol w:w="796"/>
        <w:gridCol w:w="366"/>
        <w:gridCol w:w="109"/>
        <w:gridCol w:w="109"/>
        <w:gridCol w:w="109"/>
        <w:gridCol w:w="248"/>
        <w:gridCol w:w="705"/>
        <w:gridCol w:w="381"/>
      </w:tblGrid>
      <w:tr>
        <w:trPr/>
        <w:tc>
          <w:tcPr>
            <w:tcW w:w="73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661" w:type="dxa"/>
            <w:gridSpan w:val="6"/>
            <w:tcBorders/>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29, 2025</w:t>
            </w:r>
          </w:p>
        </w:tc>
      </w:tr>
      <w:tr>
        <w:trPr/>
        <w:tc>
          <w:tcPr>
            <w:tcW w:w="2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240.4 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227.0 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3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38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Our provision for income taxes for the three months ended March 31, 2026 included a net tax charge related to the tax on recognition of foreign withholding taxes on current year earnings and net controlled foreign corporation tested income of our foreign subsidiaries, partially offset by the benefit from foreign-derived deduction eligible income. Our provision for income taxes for the three months ended March 31, 2026 also included a net discrete charge from increases in tax reserves related to a court ruling impacting tax group requirements in a foreign jurisdiction.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Our provision for income taxes for the three months ended March 29, 2025 included a net tax charge related to the tax on global intangible low-taxed income of our foreign subsidiaries and recognition of foreign withholding taxes on current year earnings, partially offset by the benefit from foreign-derived intangible income. Our provision for income taxes for the three months ended March 29, 2025 also included a discrete benefit from a favorable ruling related to deductibility of interest expense in a foreign jurisdiction.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amount of income taxes we pay is subject to ongoing audits by taxing jurisdictions around the world. Our estimate of the potential outcome of any uncertain tax issue is subject to our assessment of the relevant risks, facts and circumstances existing at the time. We believe that we have adequately provided for reasonably foreseeable outcomes related to these matters. However, our future results may include favorable or unfavorable adjustments to our estimated tax liabilities in the period the assessments are made or resolved, which may impact our effective tax rate. The final determination of tax audits and any related legal proceedings could materially differ from the amounts currently reflected in our tax provision for income taxes and the related liabilities. We and our U.S. subsidiaries have completed the IRS Compliance Assurance Process through 2023. With limited exceptions, we are no longer subject to income tax examinations by tax authorities for years prior to 2010.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Note 7. Net Income Per Common Share</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Net income per common share was computed as follows: </w:t>
      </w:r>
    </w:p>
    <w:tbl>
      <w:tblPr>
        <w:tblW w:w="9422" w:type="dxa"/>
        <w:jc w:val="left"/>
        <w:tblInd w:w="0" w:type="dxa"/>
        <w:tblLayout w:type="fixed"/>
        <w:tblCellMar>
          <w:top w:w="28" w:type="dxa"/>
          <w:left w:w="28" w:type="dxa"/>
          <w:bottom w:w="28" w:type="dxa"/>
          <w:right w:w="28" w:type="dxa"/>
        </w:tblCellMar>
      </w:tblPr>
      <w:tblGrid>
        <w:gridCol w:w="2097"/>
        <w:gridCol w:w="1837"/>
        <w:gridCol w:w="1855"/>
        <w:gridCol w:w="109"/>
        <w:gridCol w:w="109"/>
        <w:gridCol w:w="177"/>
        <w:gridCol w:w="177"/>
        <w:gridCol w:w="318"/>
        <w:gridCol w:w="904"/>
        <w:gridCol w:w="177"/>
        <w:gridCol w:w="109"/>
        <w:gridCol w:w="109"/>
        <w:gridCol w:w="109"/>
        <w:gridCol w:w="289"/>
        <w:gridCol w:w="819"/>
        <w:gridCol w:w="227"/>
      </w:tblGrid>
      <w:tr>
        <w:trPr/>
        <w:tc>
          <w:tcPr>
            <w:tcW w:w="2097"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662" w:type="dxa"/>
            <w:gridSpan w:val="6"/>
            <w:tcBorders/>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29, 2025</w:t>
            </w:r>
          </w:p>
        </w:tc>
      </w:tr>
      <w:tr>
        <w:trPr/>
        <w:tc>
          <w:tcPr>
            <w:tcW w:w="57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(B)Weighted average number of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Dilutive shares (additional common shares issuable under stock-based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ind w:left="0" w:right="0" w:hanging="360"/>
              <w:jc w:val="left"/>
              <w:rPr/>
            </w:pPr>
            <w:r>
              <w:rPr>
                <w:rFonts w:ascii="Times New Roman;serif" w:hAnsi="Times New Roman;serif"/>
                <w:b w:val="false"/>
                <w:color w:val="000000"/>
                <w:sz w:val="18"/>
              </w:rPr>
              <w:t>(C)</w:t>
            </w:r>
            <w:r>
              <w:rPr>
                <w:color w:val="000000"/>
              </w:rPr>
              <w:t> </w:t>
            </w:r>
            <w:r>
              <w:rPr>
                <w:rFonts w:ascii="Times New Roman;serif" w:hAnsi="Times New Roman;serif"/>
                <w:b w:val="false"/>
                <w:color w:val="000000"/>
                <w:sz w:val="18"/>
              </w:rPr>
              <w:t>Weighted average number of common shares outstanding, assuming dilution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common share: (A) ÷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common share, assuming dilution: (A) ÷ (C)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17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22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Certain stock-based compensation awards were excluded from the computation of net income per common share, assuming dilution, because they would not have had a dilutive effect. Stock-based compensation awards excluded from the computation totaled 0.1 million shares for both the three months ended March 31, 2026 and March 29,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p>
      <w:pPr>
        <w:pStyle w:val="TextBody"/>
        <w:bidi w:val="0"/>
        <w:spacing w:lineRule="auto" w:line="276" w:before="0" w:after="0"/>
        <w:jc w:val="left"/>
        <w:rPr/>
      </w:pPr>
      <w:hyperlink w:anchor="ib3caf56900394eb1806ff7cd5a3e9df4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Note 8. Supplemental Equity and Comprehensive Income Information </w:t>
      </w:r>
    </w:p>
    <w:p>
      <w:pPr>
        <w:pStyle w:val="TextBody"/>
        <w:bidi w:val="0"/>
        <w:spacing w:lineRule="auto" w:line="288" w:before="240" w:after="283"/>
        <w:jc w:val="left"/>
        <w:rPr>
          <w:rFonts w:ascii="Times New Roman;serif" w:hAnsi="Times New Roman;serif"/>
          <w:b/>
          <w:i/>
          <w:color w:val="000000"/>
          <w:sz w:val="18"/>
        </w:rPr>
      </w:pPr>
      <w:r>
        <w:rPr>
          <w:rFonts w:ascii="Times New Roman;serif" w:hAnsi="Times New Roman;serif"/>
          <w:b/>
          <w:i/>
          <w:color w:val="000000"/>
          <w:sz w:val="18"/>
        </w:rPr>
        <w:t xml:space="preserve">Consolidated Changes in Shareholders’ Equity </w:t>
      </w:r>
    </w:p>
    <w:tbl>
      <w:tblPr>
        <w:tblW w:w="9198" w:type="dxa"/>
        <w:jc w:val="left"/>
        <w:tblInd w:w="0" w:type="dxa"/>
        <w:tblLayout w:type="fixed"/>
        <w:tblCellMar>
          <w:top w:w="28" w:type="dxa"/>
          <w:left w:w="28" w:type="dxa"/>
          <w:bottom w:w="28" w:type="dxa"/>
          <w:right w:w="28" w:type="dxa"/>
        </w:tblCellMar>
      </w:tblPr>
      <w:tblGrid>
        <w:gridCol w:w="2014"/>
        <w:gridCol w:w="1772"/>
        <w:gridCol w:w="1778"/>
        <w:gridCol w:w="109"/>
        <w:gridCol w:w="109"/>
        <w:gridCol w:w="148"/>
        <w:gridCol w:w="148"/>
        <w:gridCol w:w="267"/>
        <w:gridCol w:w="1043"/>
        <w:gridCol w:w="148"/>
        <w:gridCol w:w="109"/>
        <w:gridCol w:w="109"/>
        <w:gridCol w:w="109"/>
        <w:gridCol w:w="234"/>
        <w:gridCol w:w="917"/>
        <w:gridCol w:w="184"/>
      </w:tblGrid>
      <w:tr>
        <w:trPr/>
        <w:tc>
          <w:tcPr>
            <w:tcW w:w="2014"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662" w:type="dxa"/>
            <w:gridSpan w:val="6"/>
            <w:tcBorders/>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29, 2025</w:t>
            </w:r>
          </w:p>
        </w:tc>
      </w:tr>
      <w:tr>
        <w:trPr/>
        <w:tc>
          <w:tcPr>
            <w:tcW w:w="5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Common stock issued, $1 par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Capital in excess of par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Issuance of shares under stock-based compensation plans</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817.7 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Retained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5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5,597.5 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5,151.2 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Cumulative-effect adjustment upon adoption of accounting standard update</w:t>
            </w:r>
            <w:r>
              <w:rPr>
                <w:rFonts w:ascii="Times New Roman;serif" w:hAnsi="Times New Roman;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Issuance of shares under stock-based compensation plans</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Contribution of shares to 401(k) plan</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5,709.4 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5,276.5 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Treasury stock at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5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(3,904.1)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(3,347.5)</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shares for treasury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(261.6)</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Issuance of shares under stock-based compensation plans</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Contribution of shares to 401(k) plan</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(3,957.6)</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(3,598.6)</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5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(409.7)</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(456.1)</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(393.0)</w:t>
            </w:r>
          </w:p>
        </w:tc>
        <w:tc>
          <w:tcPr>
            <w:tcW w:w="14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(449.2)</w:t>
            </w:r>
          </w:p>
        </w:tc>
        <w:tc>
          <w:tcPr>
            <w:tcW w:w="18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9"/>
        </w:rPr>
        <w:t xml:space="preserve">(1) </w:t>
      </w:r>
      <w:r>
        <w:rPr>
          <w:rFonts w:ascii="Times New Roman;serif" w:hAnsi="Times New Roman;serif"/>
          <w:b w:val="false"/>
          <w:color w:val="000000"/>
          <w:sz w:val="14"/>
        </w:rPr>
        <w:t>We fund a portion of our employee-related costs using shares of our common stock held in treasury. We reduce capital in excess of par value based on the grant date fair value of vesting awards and record net gains or losses associated with using treasury shares to retained earnings.</w:t>
      </w:r>
    </w:p>
    <w:p>
      <w:pPr>
        <w:pStyle w:val="TextBody"/>
        <w:bidi w:val="0"/>
        <w:spacing w:lineRule="auto" w:line="288" w:before="0" w:after="0"/>
        <w:jc w:val="both"/>
        <w:rPr/>
      </w:pPr>
      <w:r>
        <w:rPr>
          <w:rFonts w:ascii="Times New Roman;serif" w:hAnsi="Times New Roman;serif"/>
          <w:b w:val="false"/>
          <w:color w:val="000000"/>
          <w:sz w:val="9"/>
        </w:rPr>
        <w:t xml:space="preserve">(2) </w:t>
      </w:r>
      <w:r>
        <w:rPr>
          <w:rFonts w:ascii="Times New Roman;serif" w:hAnsi="Times New Roman;serif"/>
          <w:b w:val="false"/>
          <w:color w:val="000000"/>
          <w:sz w:val="14"/>
        </w:rPr>
        <w:t xml:space="preserve">In the first quarter of 2025, we adopted accounting guidance that requires crypto assets to be measured at fair value, which resulted in an adjustment to reflect the difference between the carrying value of our holdings in crypto assets and their fair value as of the beginning of 2025. Crypto assets were not material to the unaudited Condensed Consolidated Financial Statements.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Dividends per common share were as follows: </w:t>
      </w:r>
    </w:p>
    <w:tbl>
      <w:tblPr>
        <w:tblW w:w="5835" w:type="dxa"/>
        <w:jc w:val="center"/>
        <w:tblInd w:w="0" w:type="dxa"/>
        <w:tblLayout w:type="fixed"/>
        <w:tblCellMar>
          <w:top w:w="28" w:type="dxa"/>
          <w:left w:w="28" w:type="dxa"/>
          <w:bottom w:w="28" w:type="dxa"/>
          <w:right w:w="28" w:type="dxa"/>
        </w:tblCellMar>
      </w:tblPr>
      <w:tblGrid>
        <w:gridCol w:w="798"/>
        <w:gridCol w:w="700"/>
        <w:gridCol w:w="706"/>
        <w:gridCol w:w="109"/>
        <w:gridCol w:w="109"/>
        <w:gridCol w:w="212"/>
        <w:gridCol w:w="212"/>
        <w:gridCol w:w="382"/>
        <w:gridCol w:w="734"/>
        <w:gridCol w:w="212"/>
        <w:gridCol w:w="109"/>
        <w:gridCol w:w="109"/>
        <w:gridCol w:w="109"/>
        <w:gridCol w:w="360"/>
        <w:gridCol w:w="691"/>
        <w:gridCol w:w="283"/>
      </w:tblGrid>
      <w:tr>
        <w:trPr/>
        <w:tc>
          <w:tcPr>
            <w:tcW w:w="7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661" w:type="dxa"/>
            <w:gridSpan w:val="6"/>
            <w:tcBorders/>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29, 2025</w:t>
            </w:r>
          </w:p>
        </w:tc>
      </w:tr>
      <w:tr>
        <w:trPr/>
        <w:tc>
          <w:tcPr>
            <w:tcW w:w="220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21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8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10</w:t>
                      </w:r>
                    </w:p>
                  </w:txbxContent>
                </v:textbox>
                <w10:wrap type="none"/>
              </v:rect>
            </w:pict>
          </mc:Fallback>
        </mc:AlternateContent>
      </w:r>
    </w:p>
    <w:p>
      <w:pPr>
        <w:pStyle w:val="TextBody"/>
        <w:bidi w:val="0"/>
        <w:spacing w:lineRule="auto" w:line="276" w:before="0" w:after="0"/>
        <w:jc w:val="left"/>
        <w:rPr/>
      </w:pPr>
      <w:hyperlink w:anchor="ib3caf56900394eb1806ff7cd5a3e9df4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left"/>
        <w:rPr>
          <w:rFonts w:ascii="Times New Roman;serif" w:hAnsi="Times New Roman;serif"/>
          <w:b/>
          <w:i/>
          <w:color w:val="000000"/>
          <w:sz w:val="18"/>
        </w:rPr>
      </w:pPr>
      <w:r>
        <w:rPr>
          <w:rFonts w:ascii="Times New Roman;serif" w:hAnsi="Times New Roman;serif"/>
          <w:b/>
          <w:i/>
          <w:color w:val="000000"/>
          <w:sz w:val="18"/>
        </w:rPr>
        <w:t xml:space="preserve">Changes in Accumulated Other Comprehensive Loss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changes in “Accumulated other comprehensive loss” (net of tax) for the three-month period ended March 31, 2026 were as follows:</w:t>
      </w:r>
    </w:p>
    <w:tbl>
      <w:tblPr>
        <w:tblW w:w="10205" w:type="dxa"/>
        <w:jc w:val="left"/>
        <w:tblInd w:w="0" w:type="dxa"/>
        <w:tblLayout w:type="fixed"/>
        <w:tblCellMar>
          <w:top w:w="28" w:type="dxa"/>
          <w:left w:w="28" w:type="dxa"/>
          <w:bottom w:w="28" w:type="dxa"/>
          <w:right w:w="28" w:type="dxa"/>
        </w:tblCellMar>
      </w:tblPr>
      <w:tblGrid>
        <w:gridCol w:w="1443"/>
        <w:gridCol w:w="1214"/>
        <w:gridCol w:w="1224"/>
        <w:gridCol w:w="250"/>
        <w:gridCol w:w="731"/>
        <w:gridCol w:w="139"/>
        <w:gridCol w:w="109"/>
        <w:gridCol w:w="109"/>
        <w:gridCol w:w="109"/>
        <w:gridCol w:w="306"/>
        <w:gridCol w:w="753"/>
        <w:gridCol w:w="172"/>
        <w:gridCol w:w="109"/>
        <w:gridCol w:w="109"/>
        <w:gridCol w:w="109"/>
        <w:gridCol w:w="244"/>
        <w:gridCol w:w="470"/>
        <w:gridCol w:w="136"/>
        <w:gridCol w:w="109"/>
        <w:gridCol w:w="109"/>
        <w:gridCol w:w="109"/>
        <w:gridCol w:w="224"/>
        <w:gridCol w:w="497"/>
        <w:gridCol w:w="124"/>
        <w:gridCol w:w="109"/>
        <w:gridCol w:w="109"/>
        <w:gridCol w:w="109"/>
        <w:gridCol w:w="196"/>
        <w:gridCol w:w="612"/>
        <w:gridCol w:w="162"/>
      </w:tblGrid>
      <w:tr>
        <w:trPr/>
        <w:tc>
          <w:tcPr>
            <w:tcW w:w="1443"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12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Foreign</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Currency</w:t>
            </w:r>
          </w:p>
          <w:p>
            <w:pPr>
              <w:pStyle w:val="TableContents"/>
              <w:bidi w:val="0"/>
              <w:spacing w:lineRule="auto" w:line="288" w:before="0" w:after="0"/>
              <w:jc w:val="right"/>
              <w:rPr/>
            </w:pPr>
            <w:r>
              <w:rPr>
                <w:rFonts w:ascii="Times New Roman;serif" w:hAnsi="Times New Roman;serif"/>
                <w:b/>
                <w:color w:val="000000"/>
                <w:sz w:val="18"/>
              </w:rPr>
              <w:t>Translation</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Pension and</w:t>
            </w:r>
          </w:p>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Other</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Postretirement</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Cash Flow</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 xml:space="preserve">Hedges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Fair Value</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 xml:space="preserve">Hedges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Total</w:t>
            </w:r>
          </w:p>
        </w:tc>
      </w:tr>
      <w:tr>
        <w:trPr/>
        <w:tc>
          <w:tcPr>
            <w:tcW w:w="38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(359.0)</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(409.7)</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 net of tax</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Reclassifications to net income, net of tax</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March 31, 2026</w:t>
            </w:r>
          </w:p>
        </w:tc>
        <w:tc>
          <w:tcPr>
            <w:tcW w:w="25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(347.7)</w:t>
            </w:r>
          </w:p>
        </w:tc>
        <w:tc>
          <w:tcPr>
            <w:tcW w:w="13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w:t>
            </w:r>
          </w:p>
        </w:tc>
        <w:tc>
          <w:tcPr>
            <w:tcW w:w="17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2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(393.0)</w:t>
            </w:r>
          </w:p>
        </w:tc>
        <w:tc>
          <w:tcPr>
            <w:tcW w:w="16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9"/>
        </w:rPr>
        <w:t xml:space="preserve">(1) </w:t>
      </w:r>
      <w:r>
        <w:rPr>
          <w:rFonts w:ascii="Times New Roman;serif" w:hAnsi="Times New Roman;serif"/>
          <w:b w:val="false"/>
          <w:color w:val="000000"/>
          <w:sz w:val="14"/>
        </w:rPr>
        <w:t>Included the impact of our derivative financial instruments, accounted for as net investment hedges. Refer to Note 5, “Financial Instruments,” to the unaudited Condensed Consolidated Financial Statements for more information.</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changes in “Accumulated other comprehensive loss” (net of tax) for the three-month period ended March 29, 2025 were as follows: </w:t>
      </w:r>
    </w:p>
    <w:tbl>
      <w:tblPr>
        <w:tblW w:w="10205" w:type="dxa"/>
        <w:jc w:val="center"/>
        <w:tblInd w:w="0" w:type="dxa"/>
        <w:tblLayout w:type="fixed"/>
        <w:tblCellMar>
          <w:top w:w="28" w:type="dxa"/>
          <w:left w:w="28" w:type="dxa"/>
          <w:bottom w:w="28" w:type="dxa"/>
          <w:right w:w="28" w:type="dxa"/>
        </w:tblCellMar>
      </w:tblPr>
      <w:tblGrid>
        <w:gridCol w:w="1443"/>
        <w:gridCol w:w="1214"/>
        <w:gridCol w:w="1225"/>
        <w:gridCol w:w="250"/>
        <w:gridCol w:w="731"/>
        <w:gridCol w:w="139"/>
        <w:gridCol w:w="109"/>
        <w:gridCol w:w="109"/>
        <w:gridCol w:w="109"/>
        <w:gridCol w:w="306"/>
        <w:gridCol w:w="753"/>
        <w:gridCol w:w="172"/>
        <w:gridCol w:w="109"/>
        <w:gridCol w:w="109"/>
        <w:gridCol w:w="109"/>
        <w:gridCol w:w="226"/>
        <w:gridCol w:w="503"/>
        <w:gridCol w:w="126"/>
        <w:gridCol w:w="109"/>
        <w:gridCol w:w="109"/>
        <w:gridCol w:w="109"/>
        <w:gridCol w:w="242"/>
        <w:gridCol w:w="464"/>
        <w:gridCol w:w="134"/>
        <w:gridCol w:w="109"/>
        <w:gridCol w:w="109"/>
        <w:gridCol w:w="109"/>
        <w:gridCol w:w="196"/>
        <w:gridCol w:w="612"/>
        <w:gridCol w:w="161"/>
      </w:tblGrid>
      <w:tr>
        <w:trPr/>
        <w:tc>
          <w:tcPr>
            <w:tcW w:w="1443"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12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Foreign</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Currency</w:t>
            </w:r>
          </w:p>
          <w:p>
            <w:pPr>
              <w:pStyle w:val="TableContents"/>
              <w:bidi w:val="0"/>
              <w:spacing w:lineRule="auto" w:line="288" w:before="0" w:after="0"/>
              <w:jc w:val="right"/>
              <w:rPr/>
            </w:pPr>
            <w:r>
              <w:rPr>
                <w:rFonts w:ascii="Times New Roman;serif" w:hAnsi="Times New Roman;serif"/>
                <w:b/>
                <w:color w:val="000000"/>
                <w:sz w:val="18"/>
              </w:rPr>
              <w:t>Translation</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Pension and</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Other</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Postretirement</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Cash Flow</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Fair Value</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 xml:space="preserve">Hedges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Total</w:t>
            </w:r>
          </w:p>
        </w:tc>
      </w:tr>
      <w:tr>
        <w:trPr/>
        <w:tc>
          <w:tcPr>
            <w:tcW w:w="38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December 28, 2024</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(375.5)</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(456.1)</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 net of tax</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Reclassifications to net income, net of tax</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2"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March 29, 2025</w:t>
            </w:r>
          </w:p>
        </w:tc>
        <w:tc>
          <w:tcPr>
            <w:tcW w:w="25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(372.6)</w:t>
            </w:r>
          </w:p>
        </w:tc>
        <w:tc>
          <w:tcPr>
            <w:tcW w:w="13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w:t>
            </w:r>
          </w:p>
        </w:tc>
        <w:tc>
          <w:tcPr>
            <w:tcW w:w="17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3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(449.2)</w:t>
            </w:r>
          </w:p>
        </w:tc>
        <w:tc>
          <w:tcPr>
            <w:tcW w:w="16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9"/>
        </w:rPr>
        <w:t xml:space="preserve">(1) </w:t>
      </w:r>
      <w:r>
        <w:rPr>
          <w:rFonts w:ascii="Times New Roman;serif" w:hAnsi="Times New Roman;serif"/>
          <w:b w:val="false"/>
          <w:color w:val="000000"/>
          <w:sz w:val="14"/>
        </w:rPr>
        <w:t>Included the impact of our derivative financial instruments, accounted for as net investment hedges. Refer to Note 5, “Financial Instruments,” to the unaudited Condensed Consolidated Financial Statements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Note 9. Fair Value Measurements </w:t>
      </w:r>
    </w:p>
    <w:p>
      <w:pPr>
        <w:pStyle w:val="TextBody"/>
        <w:bidi w:val="0"/>
        <w:spacing w:lineRule="auto" w:line="288" w:before="240" w:after="283"/>
        <w:jc w:val="left"/>
        <w:rPr>
          <w:rFonts w:ascii="Times New Roman;serif" w:hAnsi="Times New Roman;serif"/>
          <w:b/>
          <w:i/>
          <w:color w:val="000000"/>
          <w:sz w:val="18"/>
        </w:rPr>
      </w:pPr>
      <w:r>
        <w:rPr>
          <w:rFonts w:ascii="Times New Roman;serif" w:hAnsi="Times New Roman;serif"/>
          <w:b/>
          <w:i/>
          <w:color w:val="000000"/>
          <w:sz w:val="18"/>
        </w:rPr>
        <w:t xml:space="preserve">Recurring Fair Value Measurements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Assets and liabilities carried at fair value, measured on a recurring basis, as of March 31, 2026 were as follows: </w:t>
      </w:r>
    </w:p>
    <w:tbl>
      <w:tblPr>
        <w:tblW w:w="7289" w:type="dxa"/>
        <w:jc w:val="left"/>
        <w:tblInd w:w="0" w:type="dxa"/>
        <w:tblLayout w:type="fixed"/>
        <w:tblCellMar>
          <w:top w:w="28" w:type="dxa"/>
          <w:left w:w="28" w:type="dxa"/>
          <w:bottom w:w="28" w:type="dxa"/>
          <w:right w:w="28" w:type="dxa"/>
        </w:tblCellMar>
      </w:tblPr>
      <w:tblGrid>
        <w:gridCol w:w="928"/>
        <w:gridCol w:w="815"/>
        <w:gridCol w:w="822"/>
        <w:gridCol w:w="196"/>
        <w:gridCol w:w="466"/>
        <w:gridCol w:w="109"/>
        <w:gridCol w:w="109"/>
        <w:gridCol w:w="109"/>
        <w:gridCol w:w="109"/>
        <w:gridCol w:w="198"/>
        <w:gridCol w:w="472"/>
        <w:gridCol w:w="110"/>
        <w:gridCol w:w="109"/>
        <w:gridCol w:w="109"/>
        <w:gridCol w:w="109"/>
        <w:gridCol w:w="248"/>
        <w:gridCol w:w="589"/>
        <w:gridCol w:w="139"/>
        <w:gridCol w:w="109"/>
        <w:gridCol w:w="109"/>
        <w:gridCol w:w="109"/>
        <w:gridCol w:w="315"/>
        <w:gridCol w:w="653"/>
        <w:gridCol w:w="248"/>
      </w:tblGrid>
      <w:tr>
        <w:trPr/>
        <w:tc>
          <w:tcPr>
            <w:tcW w:w="92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Measurements Using</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Quoted</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Prices</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in Active</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Markets</w:t>
            </w:r>
          </w:p>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Significant</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Other</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Observable</w:t>
            </w:r>
          </w:p>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Inputs</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Significant</w:t>
              <w:br/>
              <w:t>Other</w:t>
              <w:br/>
              <w:t>Unobservable</w:t>
              <w:br/>
              <w:t>Inputs</w:t>
              <w:br/>
              <w:t>(Level 3)</w:t>
            </w:r>
          </w:p>
        </w:tc>
      </w:tr>
      <w:tr>
        <w:trPr/>
        <w:tc>
          <w:tcPr>
            <w:tcW w:w="25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Bank drafts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liabilities</w:t>
            </w:r>
          </w:p>
        </w:tc>
        <w:tc>
          <w:tcPr>
            <w:tcW w:w="66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48"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3"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11</w:t>
                      </w:r>
                    </w:p>
                  </w:txbxContent>
                </v:textbox>
                <w10:wrap type="none"/>
              </v:rect>
            </w:pict>
          </mc:Fallback>
        </mc:AlternateContent>
      </w:r>
    </w:p>
    <w:p>
      <w:pPr>
        <w:pStyle w:val="TextBody"/>
        <w:bidi w:val="0"/>
        <w:spacing w:lineRule="auto" w:line="276" w:before="0" w:after="0"/>
        <w:jc w:val="left"/>
        <w:rPr/>
      </w:pPr>
      <w:hyperlink w:anchor="ib3caf56900394eb1806ff7cd5a3e9df4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Assets and liabilities carried at fair value, measured on a recurring basis, as of December 31, 2025 were as follows: </w:t>
      </w:r>
    </w:p>
    <w:tbl>
      <w:tblPr>
        <w:tblW w:w="7289" w:type="dxa"/>
        <w:jc w:val="left"/>
        <w:tblInd w:w="0" w:type="dxa"/>
        <w:tblLayout w:type="fixed"/>
        <w:tblCellMar>
          <w:top w:w="28" w:type="dxa"/>
          <w:left w:w="28" w:type="dxa"/>
          <w:bottom w:w="28" w:type="dxa"/>
          <w:right w:w="28" w:type="dxa"/>
        </w:tblCellMar>
      </w:tblPr>
      <w:tblGrid>
        <w:gridCol w:w="928"/>
        <w:gridCol w:w="815"/>
        <w:gridCol w:w="822"/>
        <w:gridCol w:w="196"/>
        <w:gridCol w:w="466"/>
        <w:gridCol w:w="109"/>
        <w:gridCol w:w="109"/>
        <w:gridCol w:w="109"/>
        <w:gridCol w:w="109"/>
        <w:gridCol w:w="198"/>
        <w:gridCol w:w="472"/>
        <w:gridCol w:w="110"/>
        <w:gridCol w:w="109"/>
        <w:gridCol w:w="109"/>
        <w:gridCol w:w="109"/>
        <w:gridCol w:w="248"/>
        <w:gridCol w:w="589"/>
        <w:gridCol w:w="139"/>
        <w:gridCol w:w="109"/>
        <w:gridCol w:w="109"/>
        <w:gridCol w:w="109"/>
        <w:gridCol w:w="315"/>
        <w:gridCol w:w="653"/>
        <w:gridCol w:w="248"/>
      </w:tblGrid>
      <w:tr>
        <w:trPr/>
        <w:tc>
          <w:tcPr>
            <w:tcW w:w="92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Measurements Using</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Quoted</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Prices</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in Active</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Markets</w:t>
            </w:r>
          </w:p>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Significant</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Other</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Observable</w:t>
            </w:r>
          </w:p>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Inputs</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Significant</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Other</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Unobservable</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Inputs</w:t>
            </w:r>
          </w:p>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(Level 3)</w:t>
            </w:r>
          </w:p>
        </w:tc>
      </w:tr>
      <w:tr>
        <w:trPr/>
        <w:tc>
          <w:tcPr>
            <w:tcW w:w="25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Bank drafts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liabilities</w:t>
            </w:r>
          </w:p>
        </w:tc>
        <w:tc>
          <w:tcPr>
            <w:tcW w:w="66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48"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Investments include fixed income securities (primarily U.S. government and corporate debt and equity securities) measured at fair value using quoted prices/bids and a money market fund measured at fair value using net asset value. Investments of $1.4 million and $1.1 million were included in "Cash and cash equivalents," $46.6 million and $46.9 million in "Other current assets," and $0.7 million and $1.1 million in “Other assets” as of March 31, 2026 and December 31, 2025, respectively, in the unaudited Condensed Consolidated Balance Sheets. Derivatives that are exchange-traded are measured at fair value using quoted market prices and classified within Level 1 of the valuation hierarchy. Derivatives measured based on foreign currency exchange rate inputs that are readily available in public markets are classified within Level 2 of the valuation hierarchy. Bank drafts (maturities greater than three months), which are valued at face value due to their short-term nature, were included in “Other current assets” in the unaudited Condensed Consolidated Balance Sheets.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Contingent consideration liabilities as of March 31, 2026 and December 31, 2025 relate to estimated earn-out payments associated with an acquisition completed in 2021, which are subject to the acquired company achieving certain post-acquisition performance targets. These liabilities were recorded based on the expected payments and have been classified within Level 3 of the valuation hierarchy. Activity related to contingent consideration was immaterial for the three months ended March 31, 2026 and March 29, 2025.</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 addition to the investments described above, we hold venture investments that had a total carrying value of approximately $57 million and $58 million as of March 31, 2026 and December 31, 2025, respectively, which was included in “Other assets” in the unaudited Condensed Consolidated Balance Sheets. We hold certain venture investments based on Level 1 inputs; the fair value of these investments was $0.7 million and $1.1 million as of March 31, 2026 and December 31, 2025, respectively. We recognized a net loss of $1.3 million and $14.3 million in our venture and other investments for the three months ended March 31, 2026 and March 29, 2025, respectively. These net losses were recorded in “Other expense (income), net” in the unaudited Condensed Consolidated Statements of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Note 10. Commitments and Contingencies </w:t>
      </w:r>
    </w:p>
    <w:p>
      <w:pPr>
        <w:pStyle w:val="TextBody"/>
        <w:bidi w:val="0"/>
        <w:spacing w:lineRule="auto" w:line="288" w:before="240" w:after="283"/>
        <w:jc w:val="left"/>
        <w:rPr>
          <w:rFonts w:ascii="Times New Roman;serif" w:hAnsi="Times New Roman;serif"/>
          <w:b/>
          <w:i/>
          <w:color w:val="000000"/>
          <w:sz w:val="18"/>
        </w:rPr>
      </w:pPr>
      <w:r>
        <w:rPr>
          <w:rFonts w:ascii="Times New Roman;serif" w:hAnsi="Times New Roman;serif"/>
          <w:b/>
          <w:i/>
          <w:color w:val="000000"/>
          <w:sz w:val="18"/>
        </w:rPr>
        <w:t xml:space="preserve">Legal Proceedings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are involved in various lawsuits, claims, inquiries and other regulatory and compliance matters, most of which are routine to the nature of our business. When it is probable that a loss will be incurred and where a range of the loss can be reasonably estimated, the best estimate within the range is accrued. When the best estimate within the range cannot be determined, the low end of the range is accrued. The ultimate resolution of these claims could affect future results of operations should our exposure be materially different from our estimates or should we incur liabilities that were not previously accrued. Probable insurance reimbursements are not offset against potential liabilities.</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Because of the uncertainties associated with claims resolution and litigation, future expenses to resolve legal proceedings could be higher than the liabilities we have accrued. If information were to become available that allowed us to reasonably estimate an amount higher or lower than what we have accrued in the range of potential expenses determined to be probable, we would adjust our accrued liabilities accordingly. Additional lawsuits, claims, inquiries and other regulatory and compliance matters could arise in the future. The range of expenses for resolving any future matters would be assessed as they arise; until then, a range of potential expenses for their resolution cannot be determined. Based upon current information, we believe that the impact of the resolution of legal proceedings would not be, individually or in the aggregate, material to our financial position, results of operations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4"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12</w:t>
                      </w:r>
                    </w:p>
                  </w:txbxContent>
                </v:textbox>
                <w10:wrap type="none"/>
              </v:rect>
            </w:pict>
          </mc:Fallback>
        </mc:AlternateContent>
      </w:r>
    </w:p>
    <w:p>
      <w:pPr>
        <w:pStyle w:val="TextBody"/>
        <w:bidi w:val="0"/>
        <w:spacing w:lineRule="auto" w:line="276" w:before="0" w:after="0"/>
        <w:jc w:val="left"/>
        <w:rPr/>
      </w:pPr>
      <w:hyperlink w:anchor="ib3caf56900394eb1806ff7cd5a3e9df4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left"/>
        <w:rPr>
          <w:rFonts w:ascii="Times New Roman;serif" w:hAnsi="Times New Roman;serif"/>
          <w:b/>
          <w:i/>
          <w:color w:val="000000"/>
          <w:sz w:val="18"/>
        </w:rPr>
      </w:pPr>
      <w:r>
        <w:rPr>
          <w:rFonts w:ascii="Times New Roman;serif" w:hAnsi="Times New Roman;serif"/>
          <w:b/>
          <w:i/>
          <w:color w:val="000000"/>
          <w:sz w:val="18"/>
        </w:rPr>
        <w:t xml:space="preserve">Environmental Expenditures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Environmental expenditures are generally expensed. When it is probable that a loss will be incurred and where a range of the loss can be reasonably estimated, the best estimate within the range is accrued. When the best estimate within the range cannot be determined, the low end of the range is accrued. The ultimate resolution of these matters could affect future results of operations should our exposure be materially different from our estimates or should we incur liabilities that were not previously accrued. Probable insurance reimbursements are not offset against potential liabilities. We review our estimates of the costs of complying with environmental laws related to the remediation and cleanup of various sites, including sites in which governmental agencies have designated us as a potentially responsible party (“PRP”). However, environmental expenditures for newly acquired assets and those that extend or improve the economic useful life of existing assets are capitalized and amortized over the shorter of the estimated useful life of the acquired asset or the remaining life of the existing asset.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As of March 31, 2026, we have been designated by the U.S. Environmental Protection Agency (“EPA”) and/or other responsible state agencies as a PRP at ten waste disposal or waste recycling sites that are the subject of separate investigations or proceedings concerning alleged soil and/or groundwater contamination. No settlement of our liability related to any of these sites has been agreed upon. We are participating with other PRPs at these sites and anticipate that our share of remediation costs will be determined pursuant to agreements that we enter into with the EPA or other governmental authorities.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These estimates could change as a result of changes in planned remedial actions, remediation technologies, site conditions, the estimated time to complete remediation, environmental laws and regulations, and other factors. Because of the uncertainties associated with environmental assessment and remediation activities, our future expenses to remediate these sites could be higher than the liabilities we have accrued. If information were to become available that allowed us to reasonably estimate an amount higher or lower than what we have accrued in the range of potential expenses, we would adjust our environmental liabilities accordingly. In addition, we may be identified as a PRP at additional sites in the future. The range of expenses for remediation of any future-identified sites would be addressed as they arise; until then, a range of expenses for their remediation cannot be determined.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activity related to our environmental liabilities for the three months ended March 31, 2026 is shown below. </w:t>
      </w:r>
    </w:p>
    <w:tbl>
      <w:tblPr>
        <w:tblW w:w="3095" w:type="dxa"/>
        <w:jc w:val="left"/>
        <w:tblInd w:w="0" w:type="dxa"/>
        <w:tblLayout w:type="fixed"/>
        <w:tblCellMar>
          <w:top w:w="28" w:type="dxa"/>
          <w:left w:w="28" w:type="dxa"/>
          <w:bottom w:w="28" w:type="dxa"/>
          <w:right w:w="28" w:type="dxa"/>
        </w:tblCellMar>
      </w:tblPr>
      <w:tblGrid>
        <w:gridCol w:w="825"/>
        <w:gridCol w:w="724"/>
        <w:gridCol w:w="730"/>
        <w:gridCol w:w="196"/>
        <w:gridCol w:w="466"/>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December 31,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Charges, net of reversals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March 31, 2026</w:t>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Approximately $2 million of this balance was classified as short-term and included in “Other current liabilities” in the unaudited Condensed Consolidated Balance Sheets as of both March 31,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Note 11. Segment and Disaggregated Revenue Information </w:t>
      </w:r>
    </w:p>
    <w:p>
      <w:pPr>
        <w:pStyle w:val="TextBody"/>
        <w:bidi w:val="0"/>
        <w:spacing w:lineRule="auto" w:line="288" w:before="240" w:after="283"/>
        <w:jc w:val="left"/>
        <w:rPr>
          <w:rFonts w:ascii="Times New Roman;serif" w:hAnsi="Times New Roman;serif"/>
          <w:b/>
          <w:i/>
          <w:color w:val="000000"/>
          <w:sz w:val="18"/>
        </w:rPr>
      </w:pPr>
      <w:r>
        <w:rPr>
          <w:rFonts w:ascii="Times New Roman;serif" w:hAnsi="Times New Roman;serif"/>
          <w:b/>
          <w:i/>
          <w:color w:val="000000"/>
          <w:sz w:val="18"/>
        </w:rPr>
        <w:t xml:space="preserve">Disaggregated Revenue Information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Disaggregated revenue information is shown below in the manner that best reflects how the nature, amount, timing and uncertainty of our revenue and cash flows are affected by economic factors. Revenue from our Materials Group reportable segment is attributed to geographic areas based on the location from which products are shipped. Revenue from our Solutions Group reportable segment is shown by product group. </w:t>
      </w:r>
    </w:p>
    <w:tbl>
      <w:tblPr>
        <w:tblW w:w="6723" w:type="dxa"/>
        <w:jc w:val="left"/>
        <w:tblInd w:w="0" w:type="dxa"/>
        <w:tblLayout w:type="fixed"/>
        <w:tblCellMar>
          <w:top w:w="28" w:type="dxa"/>
          <w:left w:w="28" w:type="dxa"/>
          <w:bottom w:w="28" w:type="dxa"/>
          <w:right w:w="28" w:type="dxa"/>
        </w:tblCellMar>
      </w:tblPr>
      <w:tblGrid>
        <w:gridCol w:w="1118"/>
        <w:gridCol w:w="983"/>
        <w:gridCol w:w="989"/>
        <w:gridCol w:w="109"/>
        <w:gridCol w:w="109"/>
        <w:gridCol w:w="157"/>
        <w:gridCol w:w="157"/>
        <w:gridCol w:w="283"/>
        <w:gridCol w:w="1000"/>
        <w:gridCol w:w="157"/>
        <w:gridCol w:w="109"/>
        <w:gridCol w:w="109"/>
        <w:gridCol w:w="109"/>
        <w:gridCol w:w="251"/>
        <w:gridCol w:w="886"/>
        <w:gridCol w:w="197"/>
      </w:tblGrid>
      <w:tr>
        <w:trPr/>
        <w:tc>
          <w:tcPr>
            <w:tcW w:w="111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661" w:type="dxa"/>
            <w:gridSpan w:val="6"/>
            <w:tcBorders/>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color w:val="000000"/>
                <w:sz w:val="18"/>
              </w:rPr>
              <w:t>March 31, 2026</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29, 2025</w:t>
            </w:r>
          </w:p>
        </w:tc>
      </w:tr>
      <w:tr>
        <w:trPr/>
        <w:tc>
          <w:tcPr>
            <w:tcW w:w="3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sales to unaffiliated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Materials Group: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Europe, the Middle East and North Africa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Asia Pacific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Materials Group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1,480.1 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Solutions Group: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4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Apparel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Identification Solutions and Vestcom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Solutions Group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16"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 to unaffiliated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3" w:type="dxa"/>
            <w:tcBorders>
              <w:top w:val="single" w:sz="16"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0" w:type="dxa"/>
            <w:tcBorders>
              <w:top w:val="single" w:sz="16"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2,298.5 </w:t>
            </w:r>
          </w:p>
        </w:tc>
        <w:tc>
          <w:tcPr>
            <w:tcW w:w="157" w:type="dxa"/>
            <w:tcBorders>
              <w:top w:val="single" w:sz="16"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16"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16"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2,148.3 </w:t>
            </w:r>
          </w:p>
        </w:tc>
        <w:tc>
          <w:tcPr>
            <w:tcW w:w="197" w:type="dxa"/>
            <w:tcBorders>
              <w:top w:val="single" w:sz="16"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633" w:type="dxa"/>
            <w:gridSpan w:val="13"/>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9"/>
        </w:rPr>
        <w:t xml:space="preserve">(1) </w:t>
      </w:r>
      <w:r>
        <w:rPr>
          <w:rFonts w:ascii="Times New Roman;serif" w:hAnsi="Times New Roman;serif"/>
          <w:b w:val="false"/>
          <w:color w:val="000000"/>
          <w:sz w:val="14"/>
        </w:rPr>
        <w:t>Beginning in the first quarter of 2026 and to better align with our growth strategy, incremental revenues for certain radio-frequency identification products were reflected in the Materials Group reportable segment; in prior years, these revenues were reflected in the Solutions Group reportable segment. Prior-year amounts were not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5"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13</w:t>
                      </w:r>
                    </w:p>
                  </w:txbxContent>
                </v:textbox>
                <w10:wrap type="none"/>
              </v:rect>
            </w:pict>
          </mc:Fallback>
        </mc:AlternateContent>
      </w:r>
    </w:p>
    <w:p>
      <w:pPr>
        <w:pStyle w:val="TextBody"/>
        <w:bidi w:val="0"/>
        <w:spacing w:lineRule="auto" w:line="276" w:before="0" w:after="0"/>
        <w:jc w:val="left"/>
        <w:rPr/>
      </w:pPr>
      <w:hyperlink w:anchor="ib3caf56900394eb1806ff7cd5a3e9df4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left"/>
        <w:rPr>
          <w:rFonts w:ascii="Times New Roman;serif" w:hAnsi="Times New Roman;serif"/>
          <w:b/>
          <w:i/>
          <w:color w:val="000000"/>
          <w:sz w:val="18"/>
        </w:rPr>
      </w:pPr>
      <w:r>
        <w:rPr>
          <w:rFonts w:ascii="Times New Roman;serif" w:hAnsi="Times New Roman;serif"/>
          <w:b/>
          <w:i/>
          <w:color w:val="000000"/>
          <w:sz w:val="18"/>
        </w:rPr>
        <w:t>Segment Information</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chief operating decision maker uses segment adjusted operating income to evaluate segment performance and allocate resources. Segment adjusted operating income is defined as income before taxes adjusted for other expense (income), net; interest expense; and other non-operating expense (income), net. Segment results and reconciliation to income before taxes are presented below.</w:t>
      </w:r>
    </w:p>
    <w:tbl>
      <w:tblPr>
        <w:tblW w:w="6256" w:type="dxa"/>
        <w:jc w:val="left"/>
        <w:tblInd w:w="0" w:type="dxa"/>
        <w:tblLayout w:type="fixed"/>
        <w:tblCellMar>
          <w:top w:w="28" w:type="dxa"/>
          <w:left w:w="28" w:type="dxa"/>
          <w:bottom w:w="28" w:type="dxa"/>
          <w:right w:w="28" w:type="dxa"/>
        </w:tblCellMar>
      </w:tblPr>
      <w:tblGrid>
        <w:gridCol w:w="950"/>
        <w:gridCol w:w="835"/>
        <w:gridCol w:w="839"/>
        <w:gridCol w:w="109"/>
        <w:gridCol w:w="109"/>
        <w:gridCol w:w="157"/>
        <w:gridCol w:w="157"/>
        <w:gridCol w:w="283"/>
        <w:gridCol w:w="999"/>
        <w:gridCol w:w="157"/>
        <w:gridCol w:w="109"/>
        <w:gridCol w:w="109"/>
        <w:gridCol w:w="109"/>
        <w:gridCol w:w="251"/>
        <w:gridCol w:w="886"/>
        <w:gridCol w:w="197"/>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661" w:type="dxa"/>
            <w:gridSpan w:val="6"/>
            <w:tcBorders/>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29, 2025</w:t>
            </w:r>
          </w:p>
        </w:tc>
      </w:tr>
      <w:tr>
        <w:trPr/>
        <w:tc>
          <w:tcPr>
            <w:tcW w:w="26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Materials Group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sales to unaffiliated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Segment expense</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1,395.1 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1,249.8 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adjusted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230.3 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Solutions Group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sales to unaffiliated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Segment expense</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adjusted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5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68.2 </w:t>
            </w:r>
          </w:p>
        </w:tc>
        <w:tc>
          <w:tcPr>
            <w:tcW w:w="19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9"/>
        </w:rPr>
        <w:t xml:space="preserve">(1) </w:t>
      </w:r>
      <w:r>
        <w:rPr>
          <w:rFonts w:ascii="Times New Roman;serif" w:hAnsi="Times New Roman;serif"/>
          <w:b w:val="false"/>
          <w:color w:val="000000"/>
          <w:sz w:val="14"/>
        </w:rPr>
        <w:t>Segment expense included cost of products sold and marketing, general and administrative expense and excluded other expense (income), net.</w:t>
      </w:r>
    </w:p>
    <w:tbl>
      <w:tblPr>
        <w:tblW w:w="6783" w:type="dxa"/>
        <w:jc w:val="left"/>
        <w:tblInd w:w="0" w:type="dxa"/>
        <w:tblLayout w:type="fixed"/>
        <w:tblCellMar>
          <w:top w:w="28" w:type="dxa"/>
          <w:left w:w="28" w:type="dxa"/>
          <w:bottom w:w="28" w:type="dxa"/>
          <w:right w:w="28" w:type="dxa"/>
        </w:tblCellMar>
      </w:tblPr>
      <w:tblGrid>
        <w:gridCol w:w="1137"/>
        <w:gridCol w:w="1001"/>
        <w:gridCol w:w="1012"/>
        <w:gridCol w:w="109"/>
        <w:gridCol w:w="109"/>
        <w:gridCol w:w="177"/>
        <w:gridCol w:w="177"/>
        <w:gridCol w:w="318"/>
        <w:gridCol w:w="904"/>
        <w:gridCol w:w="177"/>
        <w:gridCol w:w="109"/>
        <w:gridCol w:w="109"/>
        <w:gridCol w:w="109"/>
        <w:gridCol w:w="289"/>
        <w:gridCol w:w="819"/>
        <w:gridCol w:w="227"/>
      </w:tblGrid>
      <w:tr>
        <w:trPr/>
        <w:tc>
          <w:tcPr>
            <w:tcW w:w="113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662" w:type="dxa"/>
            <w:gridSpan w:val="6"/>
            <w:tcBorders/>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29, 2025</w:t>
            </w:r>
          </w:p>
        </w:tc>
      </w:tr>
      <w:tr>
        <w:trPr/>
        <w:tc>
          <w:tcPr>
            <w:tcW w:w="31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Segment adjusted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Materials Group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230.3 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Solutions Group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312.7 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298.5 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Corporate expense</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Other expense (income), net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non-operating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240.4 </w:t>
            </w:r>
          </w:p>
        </w:tc>
        <w:tc>
          <w:tcPr>
            <w:tcW w:w="17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227.0 </w:t>
            </w:r>
          </w:p>
        </w:tc>
        <w:tc>
          <w:tcPr>
            <w:tcW w:w="22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9"/>
        </w:rPr>
        <w:t xml:space="preserve">(1) </w:t>
      </w:r>
      <w:r>
        <w:rPr>
          <w:rFonts w:ascii="Times New Roman;serif" w:hAnsi="Times New Roman;serif"/>
          <w:b w:val="false"/>
          <w:color w:val="000000"/>
          <w:sz w:val="14"/>
        </w:rPr>
        <w:t xml:space="preserve">Corporate expense generally includes unallocated corporate headquarter expenses such as administrative and stock-based compensation costs. </w:t>
      </w:r>
    </w:p>
    <w:p>
      <w:pPr>
        <w:pStyle w:val="TextBody"/>
        <w:bidi w:val="0"/>
        <w:spacing w:lineRule="auto" w:line="288" w:before="240" w:after="283"/>
        <w:jc w:val="both"/>
        <w:rPr>
          <w:rFonts w:ascii="Times New Roman;serif" w:hAnsi="Times New Roman;serif"/>
          <w:b/>
          <w:i/>
          <w:color w:val="000000"/>
          <w:sz w:val="18"/>
        </w:rPr>
      </w:pPr>
      <w:r>
        <w:rPr>
          <w:rFonts w:ascii="Times New Roman;serif" w:hAnsi="Times New Roman;serif"/>
          <w:b/>
          <w:i/>
          <w:color w:val="000000"/>
          <w:sz w:val="18"/>
        </w:rPr>
        <w:t>Additional Segment Information</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Additional financial information by reportable segment is shown below. We do not disclose total assets by reportable segment since we neither generate nor review that information internally.</w:t>
      </w:r>
    </w:p>
    <w:tbl>
      <w:tblPr>
        <w:tblW w:w="6887" w:type="dxa"/>
        <w:jc w:val="left"/>
        <w:tblInd w:w="0" w:type="dxa"/>
        <w:tblLayout w:type="fixed"/>
        <w:tblCellMar>
          <w:top w:w="28" w:type="dxa"/>
          <w:left w:w="28" w:type="dxa"/>
          <w:bottom w:w="28" w:type="dxa"/>
          <w:right w:w="28" w:type="dxa"/>
        </w:tblCellMar>
      </w:tblPr>
      <w:tblGrid>
        <w:gridCol w:w="1178"/>
        <w:gridCol w:w="1035"/>
        <w:gridCol w:w="1041"/>
        <w:gridCol w:w="109"/>
        <w:gridCol w:w="109"/>
        <w:gridCol w:w="193"/>
        <w:gridCol w:w="193"/>
        <w:gridCol w:w="348"/>
        <w:gridCol w:w="827"/>
        <w:gridCol w:w="193"/>
        <w:gridCol w:w="109"/>
        <w:gridCol w:w="109"/>
        <w:gridCol w:w="109"/>
        <w:gridCol w:w="320"/>
        <w:gridCol w:w="762"/>
        <w:gridCol w:w="252"/>
      </w:tblGrid>
      <w:tr>
        <w:trPr/>
        <w:tc>
          <w:tcPr>
            <w:tcW w:w="1178"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661" w:type="dxa"/>
            <w:gridSpan w:val="6"/>
            <w:tcBorders/>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29, 2025</w:t>
            </w:r>
          </w:p>
        </w:tc>
      </w:tr>
      <w:tr>
        <w:trPr/>
        <w:tc>
          <w:tcPr>
            <w:tcW w:w="32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Intersegment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Materials Group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Solutions Group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Intersegment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57.1 </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Capital expenditures</w:t>
            </w:r>
            <w:r>
              <w:rPr>
                <w:rFonts w:ascii="Times New Roman;serif" w:hAnsi="Times New Roman;serif"/>
                <w:b/>
                <w:color w:val="000000"/>
                <w:sz w:val="12"/>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Materials Group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Solutions Group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Depreciation and amortization expense</w:t>
            </w:r>
            <w:r>
              <w:rPr>
                <w:rFonts w:ascii="Times New Roman;serif" w:hAnsi="Times New Roman;serif"/>
                <w:b/>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Materials Group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Solutions Group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86.8 </w:t>
            </w:r>
          </w:p>
        </w:tc>
        <w:tc>
          <w:tcPr>
            <w:tcW w:w="19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77.9 </w:t>
            </w:r>
          </w:p>
        </w:tc>
        <w:tc>
          <w:tcPr>
            <w:tcW w:w="25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3633" w:type="dxa"/>
            <w:gridSpan w:val="13"/>
            <w:tcBorders/>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9"/>
        </w:rPr>
        <w:t xml:space="preserve">(1) </w:t>
      </w:r>
      <w:r>
        <w:rPr>
          <w:rFonts w:ascii="Times New Roman;serif" w:hAnsi="Times New Roman;serif"/>
          <w:b w:val="false"/>
          <w:color w:val="000000"/>
          <w:sz w:val="14"/>
        </w:rPr>
        <w:t xml:space="preserve">Corporate capital expenditures and depreciation and amortization expense are allocated to the reportable segments based on their percentage of consolidated net sales. </w:t>
      </w:r>
    </w:p>
    <w:p>
      <w:pPr>
        <w:pStyle w:val="TextBody"/>
        <w:bidi w:val="0"/>
        <w:spacing w:lineRule="auto" w:line="288" w:before="0" w:after="0"/>
        <w:ind w:left="0" w:right="0" w:hanging="180"/>
        <w:jc w:val="both"/>
        <w:rPr/>
      </w:pPr>
      <w:r>
        <w:rPr>
          <w:rFonts w:ascii="Times New Roman;serif" w:hAnsi="Times New Roman;serif"/>
          <w:b w:val="false"/>
          <w:color w:val="000000"/>
          <w:sz w:val="9"/>
        </w:rPr>
        <w:t xml:space="preserve">(2) </w:t>
      </w:r>
      <w:r>
        <w:rPr>
          <w:rFonts w:ascii="Times New Roman;serif" w:hAnsi="Times New Roman;serif"/>
          <w:b w:val="false"/>
          <w:color w:val="000000"/>
          <w:sz w:val="14"/>
        </w:rPr>
        <w:t>Capital expenditures for property, plant and equipment included accruals.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6"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14</w:t>
                      </w:r>
                    </w:p>
                  </w:txbxContent>
                </v:textbox>
                <w10:wrap type="none"/>
              </v:rect>
            </w:pict>
          </mc:Fallback>
        </mc:AlternateContent>
      </w:r>
    </w:p>
    <w:p>
      <w:pPr>
        <w:pStyle w:val="TextBody"/>
        <w:bidi w:val="0"/>
        <w:spacing w:lineRule="auto" w:line="276" w:before="0" w:after="0"/>
        <w:jc w:val="left"/>
        <w:rPr/>
      </w:pPr>
      <w:hyperlink w:anchor="ib3caf56900394eb1806ff7cd5a3e9df4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Other expense (income), net, by type was as follows:</w:t>
      </w:r>
    </w:p>
    <w:tbl>
      <w:tblPr>
        <w:tblW w:w="7142" w:type="dxa"/>
        <w:jc w:val="left"/>
        <w:tblInd w:w="0" w:type="dxa"/>
        <w:tblLayout w:type="fixed"/>
        <w:tblCellMar>
          <w:top w:w="28" w:type="dxa"/>
          <w:left w:w="28" w:type="dxa"/>
          <w:bottom w:w="28" w:type="dxa"/>
          <w:right w:w="28" w:type="dxa"/>
        </w:tblCellMar>
      </w:tblPr>
      <w:tblGrid>
        <w:gridCol w:w="1270"/>
        <w:gridCol w:w="1118"/>
        <w:gridCol w:w="1121"/>
        <w:gridCol w:w="109"/>
        <w:gridCol w:w="109"/>
        <w:gridCol w:w="193"/>
        <w:gridCol w:w="193"/>
        <w:gridCol w:w="348"/>
        <w:gridCol w:w="827"/>
        <w:gridCol w:w="193"/>
        <w:gridCol w:w="109"/>
        <w:gridCol w:w="109"/>
        <w:gridCol w:w="109"/>
        <w:gridCol w:w="320"/>
        <w:gridCol w:w="762"/>
        <w:gridCol w:w="252"/>
      </w:tblGrid>
      <w:tr>
        <w:trPr/>
        <w:tc>
          <w:tcPr>
            <w:tcW w:w="127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661" w:type="dxa"/>
            <w:gridSpan w:val="6"/>
            <w:tcBorders/>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29, 2025</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expense (income), net, by type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Restructuring charges, net of reversals: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Severance and related costs, net of reversals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Asset impairment and lease cancellation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venture and other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Argentine peso remeasurement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items, net</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93"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252"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633" w:type="dxa"/>
            <w:gridSpan w:val="13"/>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9"/>
        </w:rPr>
        <w:t>(1)</w:t>
      </w:r>
      <w:r>
        <w:rPr>
          <w:color w:val="000000"/>
        </w:rPr>
        <w:t xml:space="preserve"> </w:t>
      </w:r>
      <w:r>
        <w:rPr>
          <w:rFonts w:ascii="Times New Roman;serif" w:hAnsi="Times New Roman;serif"/>
          <w:b w:val="false"/>
          <w:color w:val="000000"/>
          <w:sz w:val="14"/>
        </w:rPr>
        <w:t>Included outcomes of legal matters and settlements and transaction and related costs, net of (gain) loss on sales of assets.</w:t>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Note 12. Supplemental Financial Information </w:t>
      </w:r>
    </w:p>
    <w:p>
      <w:pPr>
        <w:pStyle w:val="TextBody"/>
        <w:bidi w:val="0"/>
        <w:spacing w:lineRule="auto" w:line="288" w:before="240" w:after="283"/>
        <w:jc w:val="left"/>
        <w:rPr>
          <w:rFonts w:ascii="Times New Roman;serif" w:hAnsi="Times New Roman;serif"/>
          <w:b/>
          <w:i/>
          <w:color w:val="000000"/>
          <w:sz w:val="18"/>
        </w:rPr>
      </w:pPr>
      <w:r>
        <w:rPr>
          <w:rFonts w:ascii="Times New Roman;serif" w:hAnsi="Times New Roman;serif"/>
          <w:b/>
          <w:i/>
          <w:color w:val="000000"/>
          <w:sz w:val="18"/>
        </w:rPr>
        <w:t xml:space="preserve">Inventories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table below summarizes amounts in inventories. </w:t>
      </w:r>
    </w:p>
    <w:tbl>
      <w:tblPr>
        <w:tblW w:w="4601" w:type="dxa"/>
        <w:jc w:val="center"/>
        <w:tblInd w:w="0" w:type="dxa"/>
        <w:tblLayout w:type="fixed"/>
        <w:tblCellMar>
          <w:top w:w="28" w:type="dxa"/>
          <w:left w:w="28" w:type="dxa"/>
          <w:bottom w:w="28" w:type="dxa"/>
          <w:right w:w="28" w:type="dxa"/>
        </w:tblCellMar>
      </w:tblPr>
      <w:tblGrid>
        <w:gridCol w:w="574"/>
        <w:gridCol w:w="455"/>
        <w:gridCol w:w="367"/>
        <w:gridCol w:w="293"/>
        <w:gridCol w:w="833"/>
        <w:gridCol w:w="163"/>
        <w:gridCol w:w="109"/>
        <w:gridCol w:w="109"/>
        <w:gridCol w:w="109"/>
        <w:gridCol w:w="343"/>
        <w:gridCol w:w="976"/>
        <w:gridCol w:w="270"/>
      </w:tblGrid>
      <w:tr>
        <w:trPr/>
        <w:tc>
          <w:tcPr>
            <w:tcW w:w="57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3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387.6 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Work-in-progress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242.5 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345.7 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29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989.4 </w:t>
            </w:r>
          </w:p>
        </w:tc>
        <w:tc>
          <w:tcPr>
            <w:tcW w:w="16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975.8 </w:t>
            </w:r>
          </w:p>
        </w:tc>
        <w:tc>
          <w:tcPr>
            <w:tcW w:w="27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18"/>
        </w:rPr>
      </w:pPr>
      <w:r>
        <w:rPr>
          <w:rFonts w:ascii="Times New Roman;serif" w:hAnsi="Times New Roman;serif"/>
          <w:b/>
          <w:i/>
          <w:color w:val="000000"/>
          <w:sz w:val="18"/>
        </w:rPr>
        <w:t xml:space="preserve">Property, Plant and Equipment, Net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table below summarizes the amounts in property, plant and equipment, net. </w:t>
      </w:r>
    </w:p>
    <w:tbl>
      <w:tblPr>
        <w:tblW w:w="5756" w:type="dxa"/>
        <w:jc w:val="left"/>
        <w:tblInd w:w="0" w:type="dxa"/>
        <w:tblLayout w:type="fixed"/>
        <w:tblCellMar>
          <w:top w:w="28" w:type="dxa"/>
          <w:left w:w="28" w:type="dxa"/>
          <w:bottom w:w="28" w:type="dxa"/>
          <w:right w:w="28" w:type="dxa"/>
        </w:tblCellMar>
      </w:tblPr>
      <w:tblGrid>
        <w:gridCol w:w="920"/>
        <w:gridCol w:w="810"/>
        <w:gridCol w:w="819"/>
        <w:gridCol w:w="254"/>
        <w:gridCol w:w="895"/>
        <w:gridCol w:w="141"/>
        <w:gridCol w:w="109"/>
        <w:gridCol w:w="109"/>
        <w:gridCol w:w="109"/>
        <w:gridCol w:w="299"/>
        <w:gridCol w:w="1056"/>
        <w:gridCol w:w="235"/>
      </w:tblGrid>
      <w:tr>
        <w:trPr/>
        <w:tc>
          <w:tcPr>
            <w:tcW w:w="92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5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4,261.9 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4,271.9 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depreciation</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(2,688.4)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(2,664.2)</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2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1,573.5 </w:t>
            </w:r>
          </w:p>
        </w:tc>
        <w:tc>
          <w:tcPr>
            <w:tcW w:w="1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1,607.7 </w:t>
            </w:r>
          </w:p>
        </w:tc>
        <w:tc>
          <w:tcPr>
            <w:tcW w:w="23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18"/>
        </w:rPr>
      </w:pPr>
      <w:r>
        <w:rPr>
          <w:rFonts w:ascii="Times New Roman;serif" w:hAnsi="Times New Roman;serif"/>
          <w:b/>
          <w:i/>
          <w:color w:val="000000"/>
          <w:sz w:val="18"/>
        </w:rPr>
        <w:t>Allowance for Credit Losses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activity related to our allowance for credit losses is shown below.</w:t>
      </w:r>
    </w:p>
    <w:tbl>
      <w:tblPr>
        <w:tblW w:w="6221" w:type="dxa"/>
        <w:jc w:val="left"/>
        <w:tblInd w:w="0" w:type="dxa"/>
        <w:tblLayout w:type="fixed"/>
        <w:tblCellMar>
          <w:top w:w="28" w:type="dxa"/>
          <w:left w:w="28" w:type="dxa"/>
          <w:bottom w:w="28" w:type="dxa"/>
          <w:right w:w="28" w:type="dxa"/>
        </w:tblCellMar>
      </w:tblPr>
      <w:tblGrid>
        <w:gridCol w:w="1180"/>
        <w:gridCol w:w="1039"/>
        <w:gridCol w:w="1051"/>
        <w:gridCol w:w="328"/>
        <w:gridCol w:w="780"/>
        <w:gridCol w:w="182"/>
        <w:gridCol w:w="109"/>
        <w:gridCol w:w="109"/>
        <w:gridCol w:w="109"/>
        <w:gridCol w:w="320"/>
        <w:gridCol w:w="762"/>
        <w:gridCol w:w="252"/>
      </w:tblGrid>
      <w:tr>
        <w:trPr/>
        <w:tc>
          <w:tcPr>
            <w:tcW w:w="1180"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29, 2025</w:t>
            </w:r>
          </w:p>
        </w:tc>
      </w:tr>
      <w:tr>
        <w:trPr/>
        <w:tc>
          <w:tcPr>
            <w:tcW w:w="32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written off</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including foreign currency translation</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32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8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25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7"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15</w:t>
                      </w:r>
                    </w:p>
                  </w:txbxContent>
                </v:textbox>
                <w10:wrap type="none"/>
              </v:rect>
            </w:pict>
          </mc:Fallback>
        </mc:AlternateContent>
      </w:r>
    </w:p>
    <w:p>
      <w:pPr>
        <w:pStyle w:val="TextBody"/>
        <w:bidi w:val="0"/>
        <w:spacing w:lineRule="auto" w:line="276" w:before="0" w:after="0"/>
        <w:jc w:val="left"/>
        <w:rPr/>
      </w:pPr>
      <w:hyperlink w:anchor="ib3caf56900394eb1806ff7cd5a3e9df4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ind w:left="0" w:right="0" w:hanging="180"/>
        <w:jc w:val="left"/>
        <w:rPr>
          <w:rFonts w:ascii="Times New Roman;serif" w:hAnsi="Times New Roman;serif"/>
          <w:b/>
          <w:i/>
          <w:color w:val="000000"/>
          <w:sz w:val="18"/>
        </w:rPr>
      </w:pPr>
      <w:r>
        <w:rPr>
          <w:rFonts w:ascii="Times New Roman;serif" w:hAnsi="Times New Roman;serif"/>
          <w:b/>
          <w:i/>
          <w:color w:val="000000"/>
          <w:sz w:val="18"/>
        </w:rPr>
        <w:t>Supplier Finance Programs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have agreements with third-party financial institutions to facilitate payments to suppliers. These third-party financial institutions offer voluntary supply chain finance programs that enable certain of our suppliers, at the supplier’s sole discretion, to sell our payment obligations to a financial institution on terms directly negotiated with the financial institution. Participating suppliers decide which payment obligations are sold to the financial institution and we have no economic interest in a supplier’s decision to sell these payment obligations. We make payments to the financial institution on the invoice due date, regardless of whether an individual invoice is sold by the supplier to the financial institution. Our obligations to our suppliers, including amounts due and scheduled payment dates, are not impacted by suppliers' decisions to sell amounts under these arrangements. Amounts due under our supply chain finance programs were included in accounts payable in our unaudited Condensed Consolidated Balance Sheets and activities related to these programs were presented as operating activities in our unaudited Condensed Consolidated Statements of Cash Flows. As of March 31, 2026 and December 31, 2025, $375.5 million and $383.8 million, respectively, were due to financial institutions for suppliers that participate in these programs.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Note 13. Subsequent Events</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On April 27, 2026, we completed approximately $75 million of minority investment in Wiliot Ltd., a leader in physical artificial intelligence for supply chains. We expect this investment to expand our portfolio of sensor technologies and solutions. We funded this investment using a combination of cash and commercial paper borrowings.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18"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16</w:t>
                      </w:r>
                    </w:p>
                  </w:txbxContent>
                </v:textbox>
                <w10:wrap type="none"/>
              </v:rect>
            </w:pict>
          </mc:Fallback>
        </mc:AlternateContent>
      </w:r>
    </w:p>
    <w:p>
      <w:pPr>
        <w:pStyle w:val="TextBody"/>
        <w:bidi w:val="0"/>
        <w:spacing w:lineRule="auto" w:line="276" w:before="0" w:after="0"/>
        <w:jc w:val="left"/>
        <w:rPr/>
      </w:pPr>
      <w:hyperlink w:anchor="ib3caf56900394eb1806ff7cd5a3e9df4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300" w:after="283"/>
        <w:jc w:val="left"/>
        <w:rPr>
          <w:rFonts w:ascii="Times New Roman;serif" w:hAnsi="Times New Roman;serif"/>
          <w:b/>
          <w:color w:val="000000"/>
          <w:sz w:val="18"/>
        </w:rPr>
      </w:pPr>
      <w:r>
        <w:rPr>
          <w:rFonts w:ascii="Times New Roman;serif" w:hAnsi="Times New Roman;serif"/>
          <w:b/>
          <w:color w:val="000000"/>
          <w:sz w:val="18"/>
        </w:rPr>
        <w:t xml:space="preserve">ITEM 2. MANAGEMENT’S DISCUSSION AND ANALYSIS OF FINANCIAL CONDITION AND RESULTS OF OPERATIONS </w:t>
      </w:r>
    </w:p>
    <w:p>
      <w:pPr>
        <w:pStyle w:val="TextBody"/>
        <w:bidi w:val="0"/>
        <w:spacing w:lineRule="auto" w:line="288" w:before="30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Management’s Discussion and Analysis of Financial Condition and Results of Operations, or MD&amp;A, should be read in conjunction with the accompanying unaudited Condensed Consolidated Financial Statements and related notes thereto.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18"/>
          <w:u w:val="single"/>
        </w:rPr>
      </w:pPr>
      <w:r>
        <w:rPr>
          <w:rFonts w:ascii="Times New Roman;serif" w:hAnsi="Times New Roman;serif"/>
          <w:b/>
          <w:color w:val="000000"/>
          <w:sz w:val="18"/>
          <w:u w:val="single"/>
        </w:rPr>
        <w:t xml:space="preserve">NON-GAAP FINANCIAL MEASURES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We report our financial results in conformity with accounting principles generally accepted in the United States of America, or GAAP, and also communicate with investors using certain non-GAAP financial measures. These non-GAAP financial measures are not in accordance with, nor are they a substitute for or superior to, the comparable GAAP financial measures. These non-GAAP financial measures are intended to supplement the presentation of our financial results prepared in accordance with GAAP. We use these non-GAAP financial measures internally to evaluate trends in our underlying performance, as well as to facilitate comparisons with the results of competitors for quarters and year-to-date periods, as applicable. Based on feedback from investors and financial analysts, we believe that the supplemental non-GAAP financial measures we provide are also useful to their assessments of our performance and operating trends, as well as liquidity. Reconciliations of our non-GAAP financial measures from the most directly comparable GAAP financial measures are provided in accordance with Regulations G and S-K.</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Our non-GAAP financial measures exclude the impact of certain events, activities or strategic decisions. The accounting effects of these events, activities or decisions, which are included in the GAAP financial measures, may make it more difficult to assess our underlying performance in a single period. By excluding the accounting effects, positive or negative, of certain items (e.g., restructuring charges, outcomes of certain legal matters and settlements, certain effects of strategic transactions and related costs, losses from debt extinguishments, gains or losses from curtailment or settlement of pension obligations, gains or losses on sales of certain assets, gains or losses on venture and other investments, currency adjustments due to highly inflationary economies, and other items), we believe that we are providing meaningful supplemental information that facilitates an understanding of our core operating results and liquidity measures. While some of the items we exclude from GAAP financial measures recur, they tend to be disparate in amount, frequency or timing.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We use the non-GAAP financial measures described below in this MD&amp;A.</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18"/>
        </w:rPr>
        <w:t>Sales change ex. currency</w:t>
      </w:r>
      <w:r>
        <w:rPr>
          <w:color w:val="000000"/>
        </w:rPr>
        <w:t xml:space="preserve"> </w:t>
      </w:r>
      <w:r>
        <w:rPr>
          <w:rFonts w:ascii="Times New Roman;serif" w:hAnsi="Times New Roman;serif"/>
          <w:b w:val="false"/>
          <w:color w:val="000000"/>
          <w:sz w:val="18"/>
        </w:rPr>
        <w:t>refers to the increase or decrease in net sales, excluding the estimated impact of foreign currency translation, and, where applicable, currency adjustments for transitional reporting of highly inflationary economies and the reclassification of sales between segments. Additionally, where applicable, sales change ex. currency is also adjusted for the estimated impact of extra days in our fiscal year and the calendar shift resulting from extra days in the prior fiscal year. The estimated impact of foreign currency translation is calculated on a constant currency basis, with prior-period results translated at current-period average exchange rates to exclude the effect of foreign currency fluctuations. Our 2025 fiscal year began on December 29, 2024 and ended on December 31, 2025; fiscal years 2026 and beyond are coincident with the calendar year, beginning on January 1 and ending on December 31.</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18"/>
        </w:rPr>
        <w:t>Organic sales change</w:t>
      </w:r>
      <w:r>
        <w:rPr>
          <w:color w:val="000000"/>
        </w:rPr>
        <w:t xml:space="preserve"> </w:t>
      </w:r>
      <w:r>
        <w:rPr>
          <w:rFonts w:ascii="Times New Roman;serif" w:hAnsi="Times New Roman;serif"/>
          <w:b w:val="false"/>
          <w:color w:val="000000"/>
          <w:sz w:val="18"/>
        </w:rPr>
        <w:t xml:space="preserve">refers to sales change ex. currency, excluding the estimated impact of acquisitions and product line divestitures.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We believe that sales change ex. currency and organic sales change assist investors in evaluating the sales change from the ongoing activities of our businesses and enhance their ability to evaluate our results from period to period.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18"/>
        </w:rPr>
        <w:t>Adjusted free cash flow</w:t>
      </w:r>
      <w:r>
        <w:rPr>
          <w:color w:val="000000"/>
        </w:rPr>
        <w:t xml:space="preserve"> </w:t>
      </w:r>
      <w:r>
        <w:rPr>
          <w:rFonts w:ascii="Times New Roman;serif" w:hAnsi="Times New Roman;serif"/>
          <w:b w:val="false"/>
          <w:color w:val="000000"/>
          <w:sz w:val="18"/>
        </w:rPr>
        <w:t xml:space="preserve">refers to cash flow provided by (used in) operating activities, less payments for property, plant and equipment, less payments for software and other deferred charges, plus proceeds from sales of property, plant and equipment, plus (minus) net proceeds from insurance and sales (purchases) of investments. Where applicable, adjusted free cash flow is also adjusted for certain acquisition-related transaction costs, proceeds from company-owned life insurance policies and net cash used for Argentine Blue Chip Swap securities. We believe that adjusted free cash flow assists investors by showing the amount of cash we have available for debt reductions, dividends, share repurchases and acquisitions.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18"/>
        </w:rPr>
        <w:t xml:space="preserve">Operational working capital as a percentage of annualized current quarter net sales </w:t>
      </w:r>
      <w:r>
        <w:rPr>
          <w:rFonts w:ascii="Times New Roman;serif" w:hAnsi="Times New Roman;serif"/>
          <w:b w:val="false"/>
          <w:color w:val="000000"/>
          <w:sz w:val="18"/>
        </w:rPr>
        <w:t xml:space="preserve">refers to trade accounts receivable and inventories, net of accounts payable, and excludes cash and cash equivalents, short-term borrowings, deferred taxes, other current assets and other current liabilities divided by annualized current quarter net sales. We believe that operational working capital as a percentage of annualized current quarter net sales assists investors in assessing our working capital requirements because it excludes the impact of fluctuations attributable to our financing and other activities (which affect cash and cash equivalents, deferred taxes, other current assets and other current liabilities) that tend to be disparate in amount, frequency or timing, and may increase the volatility of working capital as a percentage of sales from period to period. The items excluded from this measure are not significantly influenced by our day-to-day activities managed at the operating level and do not necessarily reflect the underlying trends in our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19"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17</w:t>
                      </w:r>
                    </w:p>
                  </w:txbxContent>
                </v:textbox>
                <w10:wrap type="none"/>
              </v:rect>
            </w:pict>
          </mc:Fallback>
        </mc:AlternateContent>
      </w:r>
    </w:p>
    <w:p>
      <w:pPr>
        <w:pStyle w:val="TextBody"/>
        <w:bidi w:val="0"/>
        <w:spacing w:lineRule="auto" w:line="276" w:before="0" w:after="0"/>
        <w:jc w:val="left"/>
        <w:rPr/>
      </w:pPr>
      <w:hyperlink w:anchor="ib3caf56900394eb1806ff7cd5a3e9df4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left"/>
        <w:rPr>
          <w:rFonts w:ascii="Times New Roman;serif" w:hAnsi="Times New Roman;serif"/>
          <w:b/>
          <w:color w:val="000000"/>
          <w:sz w:val="18"/>
          <w:u w:val="single"/>
        </w:rPr>
      </w:pPr>
      <w:r>
        <w:rPr>
          <w:rFonts w:ascii="Times New Roman;serif" w:hAnsi="Times New Roman;serif"/>
          <w:b/>
          <w:color w:val="000000"/>
          <w:sz w:val="18"/>
          <w:u w:val="single"/>
        </w:rPr>
        <w:t xml:space="preserve">OVERVIEW AND OUTLOOK </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Fiscal Year</w:t>
      </w:r>
    </w:p>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The three months ended March 31, 2026 and March 29, 2025 consisted of 90 and 91 days, respectively.</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Our 2026 fiscal year is coincident with the calendar year, beginning on January 1 and ending on December 31; our 2025 fiscal year began on December 29, 2024 and ended on December 31, 2025.</w:t>
      </w:r>
    </w:p>
    <w:p>
      <w:pPr>
        <w:pStyle w:val="TextBody"/>
        <w:bidi w:val="0"/>
        <w:spacing w:lineRule="auto" w:line="288" w:before="240" w:after="283"/>
        <w:jc w:val="both"/>
        <w:rPr>
          <w:rFonts w:ascii="Times New Roman;serif" w:hAnsi="Times New Roman;serif"/>
          <w:b/>
          <w:color w:val="000000"/>
          <w:sz w:val="18"/>
        </w:rPr>
      </w:pPr>
      <w:r>
        <w:rPr>
          <w:rFonts w:ascii="Times New Roman;serif" w:hAnsi="Times New Roman;serif"/>
          <w:b/>
          <w:color w:val="000000"/>
          <w:sz w:val="18"/>
        </w:rPr>
        <w:t xml:space="preserve">Net Sales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factors impacting net sales change, as compared to the prior-year period, are shown in the table below. </w:t>
      </w:r>
    </w:p>
    <w:tbl>
      <w:tblPr>
        <w:tblW w:w="4394" w:type="dxa"/>
        <w:jc w:val="center"/>
        <w:tblInd w:w="0" w:type="dxa"/>
        <w:tblLayout w:type="fixed"/>
        <w:tblCellMar>
          <w:top w:w="28" w:type="dxa"/>
          <w:left w:w="28" w:type="dxa"/>
          <w:bottom w:w="28" w:type="dxa"/>
          <w:right w:w="28" w:type="dxa"/>
        </w:tblCellMar>
      </w:tblPr>
      <w:tblGrid>
        <w:gridCol w:w="765"/>
        <w:gridCol w:w="673"/>
        <w:gridCol w:w="676"/>
        <w:gridCol w:w="109"/>
        <w:gridCol w:w="109"/>
        <w:gridCol w:w="109"/>
        <w:gridCol w:w="109"/>
        <w:gridCol w:w="386"/>
        <w:gridCol w:w="386"/>
        <w:gridCol w:w="1072"/>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 xml:space="preserve">Three Months Ended </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March 31, 2026</w:t>
            </w:r>
          </w:p>
        </w:tc>
      </w:tr>
      <w:tr>
        <w:trPr/>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sales change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Sales change ex. currency</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Organic sales change</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7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hanging="180"/>
        <w:jc w:val="left"/>
        <w:rPr/>
      </w:pPr>
      <w:r>
        <w:rPr>
          <w:rFonts w:ascii="Times New Roman;serif" w:hAnsi="Times New Roman;serif"/>
          <w:b w:val="false"/>
          <w:color w:val="000000"/>
          <w:sz w:val="9"/>
        </w:rPr>
        <w:t xml:space="preserve">(1) </w:t>
      </w:r>
      <w:r>
        <w:rPr>
          <w:rFonts w:ascii="Times New Roman;serif" w:hAnsi="Times New Roman;serif"/>
          <w:b w:val="false"/>
          <w:color w:val="000000"/>
          <w:sz w:val="14"/>
        </w:rPr>
        <w:t>Totals may not sum due to rounding.</w:t>
      </w:r>
      <w:r>
        <w:rPr>
          <w:color w:val="000000"/>
        </w:rPr>
        <w:t xml:space="preserve">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In the three months ended March 31, 2026, net sales increased on an organic basis compared to the same period in the prior year primarily due to higher volume partially offset by the impact of raw material deflation-related price reductions and unfavorable mix.</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Net Income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Net income increased from approximately $166 million in the first three months of 2025 to approximately $168 million in the first three months of 2026. The primary factors affecting this increase were: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18"/>
        </w:rPr>
        <w:t>Higher volume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18"/>
        </w:rPr>
        <w:t>Favorable foreign currency translation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18"/>
        </w:rPr>
        <w:t>Benefits from productivity initiatives, including savings from restructuring actions, net of transition costs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18"/>
        </w:rPr>
        <w:t>Prior-year losses on venture and other investments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18"/>
        </w:rPr>
        <w:t>Net benefit of pricing and raw material costs, including material re-engineering</w:t>
      </w:r>
    </w:p>
    <w:p>
      <w:pPr>
        <w:pStyle w:val="TextBody"/>
        <w:bidi w:val="0"/>
        <w:spacing w:lineRule="auto" w:line="288" w:before="60" w:after="283"/>
        <w:jc w:val="both"/>
        <w:rPr>
          <w:rFonts w:ascii="Times New Roman;serif" w:hAnsi="Times New Roman;serif"/>
          <w:b w:val="false"/>
          <w:color w:val="000000"/>
          <w:sz w:val="18"/>
        </w:rPr>
      </w:pPr>
      <w:r>
        <w:rPr>
          <w:rFonts w:ascii="Times New Roman;serif" w:hAnsi="Times New Roman;serif"/>
          <w:b w:val="false"/>
          <w:color w:val="000000"/>
          <w:sz w:val="18"/>
        </w:rPr>
        <w:t>These items were partially offset by the following factors: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18"/>
        </w:rPr>
        <w:t>Unfavorable mix</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18"/>
        </w:rPr>
        <w:t>Higher employee-related costs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18"/>
        </w:rPr>
        <w:t>Higher provision for income taxes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18"/>
        </w:rPr>
        <w:t>Higher restructuring charges, net of reversals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18"/>
        </w:rPr>
        <w:t>Growth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Cost Reduction Actions </w:t>
      </w:r>
    </w:p>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2026 Actions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recorded $15.9 million in restructuring charges during the three months ended March 31, 2026. These charges consisted of severance and related costs for the reduction of approximately 370 positions, as well as asset impairment charges, at various locations across our company as a result of actions taken to optimize our operational footprint and workforce headcount.</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Restructuring charges were included in “Other expense (income), net” in the unaudited Condensed Consolidated Statements of Income. Refer to Note 4, “Cost Reduction Actions,” to the unaudited Condensed Consolidated Financial Statements for more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0"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18</w:t>
                      </w:r>
                    </w:p>
                  </w:txbxContent>
                </v:textbox>
                <w10:wrap type="none"/>
              </v:rect>
            </w:pict>
          </mc:Fallback>
        </mc:AlternateContent>
      </w:r>
    </w:p>
    <w:p>
      <w:pPr>
        <w:pStyle w:val="TextBody"/>
        <w:bidi w:val="0"/>
        <w:spacing w:lineRule="auto" w:line="276" w:before="0" w:after="0"/>
        <w:jc w:val="left"/>
        <w:rPr/>
      </w:pPr>
      <w:hyperlink w:anchor="ib3caf56900394eb1806ff7cd5a3e9df4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Cash Flow </w:t>
      </w:r>
    </w:p>
    <w:tbl>
      <w:tblPr>
        <w:tblW w:w="7764" w:type="dxa"/>
        <w:jc w:val="center"/>
        <w:tblInd w:w="0" w:type="dxa"/>
        <w:tblLayout w:type="fixed"/>
        <w:tblCellMar>
          <w:top w:w="28" w:type="dxa"/>
          <w:left w:w="28" w:type="dxa"/>
          <w:bottom w:w="28" w:type="dxa"/>
          <w:right w:w="28" w:type="dxa"/>
        </w:tblCellMar>
      </w:tblPr>
      <w:tblGrid>
        <w:gridCol w:w="1742"/>
        <w:gridCol w:w="1532"/>
        <w:gridCol w:w="1540"/>
        <w:gridCol w:w="293"/>
        <w:gridCol w:w="833"/>
        <w:gridCol w:w="163"/>
        <w:gridCol w:w="109"/>
        <w:gridCol w:w="109"/>
        <w:gridCol w:w="109"/>
        <w:gridCol w:w="293"/>
        <w:gridCol w:w="811"/>
        <w:gridCol w:w="230"/>
      </w:tblGrid>
      <w:tr>
        <w:trPr/>
        <w:tc>
          <w:tcPr>
            <w:tcW w:w="1742"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48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28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29, 2025</w:t>
            </w:r>
          </w:p>
        </w:tc>
      </w:tr>
      <w:tr>
        <w:trPr/>
        <w:tc>
          <w:tcPr>
            <w:tcW w:w="481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29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136.5 </w:t>
            </w:r>
          </w:p>
        </w:tc>
        <w:tc>
          <w:tcPr>
            <w:tcW w:w="16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23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plant and equipment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(36.0)</w:t>
            </w:r>
          </w:p>
        </w:tc>
        <w:tc>
          <w:tcPr>
            <w:tcW w:w="23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software and other deferred charges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property, plant and equipment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insurance and sales (purchases) of investments, net</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81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free cash flow</w:t>
            </w:r>
          </w:p>
        </w:tc>
        <w:tc>
          <w:tcPr>
            <w:tcW w:w="29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104.4 </w:t>
            </w:r>
          </w:p>
        </w:tc>
        <w:tc>
          <w:tcPr>
            <w:tcW w:w="16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(53.1)</w:t>
            </w:r>
          </w:p>
        </w:tc>
        <w:tc>
          <w:tcPr>
            <w:tcW w:w="23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During the first three months of 2026, net cash provided by (used in) operating activities increased compared to the same period last year primarily due to lower incentive compensation payments and changes in operational working capital, partially offset by higher tax payments, net of refunds. During the first three months of 2026, adjusted free cash flow increased compared to the same period last year primarily due to an increase in net cash provided by operating activities. </w:t>
      </w:r>
    </w:p>
    <w:p>
      <w:pPr>
        <w:pStyle w:val="TextBody"/>
        <w:bidi w:val="0"/>
        <w:spacing w:lineRule="auto" w:line="288" w:before="240" w:after="283"/>
        <w:jc w:val="both"/>
        <w:rPr>
          <w:rFonts w:ascii="Times New Roman;serif" w:hAnsi="Times New Roman;serif"/>
          <w:b/>
          <w:color w:val="000000"/>
          <w:sz w:val="18"/>
        </w:rPr>
      </w:pPr>
      <w:r>
        <w:rPr>
          <w:rFonts w:ascii="Times New Roman;serif" w:hAnsi="Times New Roman;serif"/>
          <w:b/>
          <w:color w:val="000000"/>
          <w:sz w:val="18"/>
        </w:rPr>
        <w:t xml:space="preserve">Outlook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Certain factors that we anticipate will contribute to our 2026 results are described below.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Based on recent rates, favorable impact from foreign currency translation to our full-year net sales and operating income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Unfavorable impact from higher interest expense to our operating income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Our full-year effective tax rate to be in the high-twenty percent range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Incremental savings from restructuring actions, net of transition costs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Unfavorable impact to our operating income from the normalization of the majority of our prior-year temporary cost savings, which was largely related to lower incentive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18"/>
          <w:u w:val="single"/>
        </w:rPr>
      </w:pPr>
      <w:r>
        <w:rPr>
          <w:rFonts w:ascii="Times New Roman;serif" w:hAnsi="Times New Roman;serif"/>
          <w:b/>
          <w:color w:val="000000"/>
          <w:sz w:val="18"/>
          <w:u w:val="single"/>
        </w:rPr>
        <w:t xml:space="preserve">ANALYSIS OF RESULTS OF OPERATIONS FOR THE FIRST QUARTER </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Income Before Taxes </w:t>
      </w:r>
    </w:p>
    <w:tbl>
      <w:tblPr>
        <w:tblW w:w="6356" w:type="dxa"/>
        <w:jc w:val="center"/>
        <w:tblInd w:w="0" w:type="dxa"/>
        <w:tblLayout w:type="fixed"/>
        <w:tblCellMar>
          <w:top w:w="28" w:type="dxa"/>
          <w:left w:w="28" w:type="dxa"/>
          <w:bottom w:w="28" w:type="dxa"/>
          <w:right w:w="28" w:type="dxa"/>
        </w:tblCellMar>
      </w:tblPr>
      <w:tblGrid>
        <w:gridCol w:w="1233"/>
        <w:gridCol w:w="1084"/>
        <w:gridCol w:w="1088"/>
        <w:gridCol w:w="254"/>
        <w:gridCol w:w="895"/>
        <w:gridCol w:w="141"/>
        <w:gridCol w:w="109"/>
        <w:gridCol w:w="109"/>
        <w:gridCol w:w="109"/>
        <w:gridCol w:w="251"/>
        <w:gridCol w:w="886"/>
        <w:gridCol w:w="197"/>
      </w:tblGrid>
      <w:tr>
        <w:trPr/>
        <w:tc>
          <w:tcPr>
            <w:tcW w:w="123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8"/>
              </w:rPr>
              <w:t>Three Months Ended</w:t>
            </w:r>
            <w:r>
              <w:rPr>
                <w:color w:val="000000"/>
              </w:rPr>
              <w:t xml:space="preserve"> </w:t>
            </w:r>
          </w:p>
        </w:tc>
      </w:tr>
      <w:tr>
        <w:trPr/>
        <w:tc>
          <w:tcPr>
            <w:tcW w:w="340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29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ind w:left="0" w:right="0" w:hanging="180"/>
              <w:jc w:val="right"/>
              <w:rPr>
                <w:rFonts w:ascii="Times New Roman;serif" w:hAnsi="Times New Roman;serif"/>
                <w:b/>
                <w:color w:val="000000"/>
                <w:sz w:val="18"/>
              </w:rPr>
            </w:pPr>
            <w:r>
              <w:rPr>
                <w:rFonts w:ascii="Times New Roman;serif" w:hAnsi="Times New Roman;serif"/>
                <w:b/>
                <w:color w:val="000000"/>
                <w:sz w:val="18"/>
              </w:rPr>
              <w:t>March 29, 2025</w:t>
            </w:r>
          </w:p>
        </w:tc>
      </w:tr>
      <w:tr>
        <w:trPr/>
        <w:tc>
          <w:tcPr>
            <w:tcW w:w="340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25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2,298.5 </w:t>
            </w:r>
          </w:p>
        </w:tc>
        <w:tc>
          <w:tcPr>
            <w:tcW w:w="14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2,148.3 </w:t>
            </w:r>
          </w:p>
        </w:tc>
        <w:tc>
          <w:tcPr>
            <w:tcW w:w="19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products sold</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1,633.7 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1,526.8 </w:t>
            </w:r>
          </w:p>
        </w:tc>
        <w:tc>
          <w:tcPr>
            <w:tcW w:w="19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149"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664.8 </w:t>
            </w:r>
          </w:p>
        </w:tc>
        <w:tc>
          <w:tcPr>
            <w:tcW w:w="14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621.5 </w:t>
            </w:r>
          </w:p>
        </w:tc>
        <w:tc>
          <w:tcPr>
            <w:tcW w:w="19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general and administrative expense</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375.1 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347.0 </w:t>
            </w:r>
          </w:p>
        </w:tc>
        <w:tc>
          <w:tcPr>
            <w:tcW w:w="19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9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9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non-operating expense (income), net</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9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5" w:type="dxa"/>
            <w:gridSpan w:val="3"/>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taxes</w:t>
            </w:r>
          </w:p>
        </w:tc>
        <w:tc>
          <w:tcPr>
            <w:tcW w:w="254"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240.4 </w:t>
            </w:r>
          </w:p>
        </w:tc>
        <w:tc>
          <w:tcPr>
            <w:tcW w:w="14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227.0 </w:t>
            </w:r>
          </w:p>
        </w:tc>
        <w:tc>
          <w:tcPr>
            <w:tcW w:w="197"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Gross Profit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Gross profit for the first quarter of 2026 increased from the same period last year due to higher volume, favorable foreign currency translation and the net benefit of pricing and raw material costs, including material re-engineering and benefits from productivity initiatives, including savings from restructuring actions, net of transition costs, partially offset by unfavorable mix and higher employee-related costs.</w:t>
      </w:r>
    </w:p>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Marketing, General and Administrative Expense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Marketing, general and administrative expense increased in the first quarter of 2026 compared to the same period last year primarily due to unfavorable foreign currency translation, higher employee-related costs and growth investments, partially offset by benefits from productivity initiatives and savings from restructuring actions, net of transition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1"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19</w:t>
                      </w:r>
                    </w:p>
                  </w:txbxContent>
                </v:textbox>
                <w10:wrap type="none"/>
              </v:rect>
            </w:pict>
          </mc:Fallback>
        </mc:AlternateContent>
      </w:r>
    </w:p>
    <w:p>
      <w:pPr>
        <w:pStyle w:val="TextBody"/>
        <w:bidi w:val="0"/>
        <w:spacing w:lineRule="auto" w:line="276" w:before="0" w:after="0"/>
        <w:jc w:val="left"/>
        <w:rPr/>
      </w:pPr>
      <w:hyperlink w:anchor="ib3caf56900394eb1806ff7cd5a3e9df4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Other Expense (Income), Net </w:t>
      </w:r>
    </w:p>
    <w:tbl>
      <w:tblPr>
        <w:tblW w:w="6460" w:type="dxa"/>
        <w:jc w:val="center"/>
        <w:tblInd w:w="0" w:type="dxa"/>
        <w:tblLayout w:type="fixed"/>
        <w:tblCellMar>
          <w:top w:w="28" w:type="dxa"/>
          <w:left w:w="28" w:type="dxa"/>
          <w:bottom w:w="28" w:type="dxa"/>
          <w:right w:w="28" w:type="dxa"/>
        </w:tblCellMar>
      </w:tblPr>
      <w:tblGrid>
        <w:gridCol w:w="1270"/>
        <w:gridCol w:w="1118"/>
        <w:gridCol w:w="1121"/>
        <w:gridCol w:w="328"/>
        <w:gridCol w:w="780"/>
        <w:gridCol w:w="182"/>
        <w:gridCol w:w="109"/>
        <w:gridCol w:w="109"/>
        <w:gridCol w:w="109"/>
        <w:gridCol w:w="320"/>
        <w:gridCol w:w="762"/>
        <w:gridCol w:w="252"/>
      </w:tblGrid>
      <w:tr>
        <w:trPr/>
        <w:tc>
          <w:tcPr>
            <w:tcW w:w="127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5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29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ind w:left="0" w:right="0" w:hanging="180"/>
              <w:jc w:val="right"/>
              <w:rPr>
                <w:rFonts w:ascii="Times New Roman;serif" w:hAnsi="Times New Roman;serif"/>
                <w:b/>
                <w:color w:val="000000"/>
                <w:sz w:val="18"/>
              </w:rPr>
            </w:pPr>
            <w:r>
              <w:rPr>
                <w:rFonts w:ascii="Times New Roman;serif" w:hAnsi="Times New Roman;serif"/>
                <w:b/>
                <w:color w:val="000000"/>
                <w:sz w:val="18"/>
              </w:rPr>
              <w:t>March 29, 2025</w:t>
            </w:r>
          </w:p>
        </w:tc>
      </w:tr>
      <w:tr>
        <w:trPr/>
        <w:tc>
          <w:tcPr>
            <w:tcW w:w="350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Other expense (income), net, by type</w:t>
            </w:r>
          </w:p>
        </w:tc>
        <w:tc>
          <w:tcPr>
            <w:tcW w:w="129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Restructuring charges, net of reversals:</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Severance and related costs, net of reversals</w:t>
            </w:r>
          </w:p>
        </w:tc>
        <w:tc>
          <w:tcPr>
            <w:tcW w:w="32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Asset impairment and lease cancellation charges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venture and other investments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Loss from Argentine peso remeasurement</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items, net</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509" w:type="dxa"/>
            <w:gridSpan w:val="3"/>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328"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82"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252"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Refer to Note 4, “Cost Reduction Actions,” to the unaudited Condensed Consolidated Financial Statements for more information regarding restructuring charges.</w:t>
      </w:r>
    </w:p>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Interest Expense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Interest expense increased in the first quarter of 2026 compared to the same period last year primarily due to the €500 million of senior notes we issued in September 2025.</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Net Income and Earnings per Share </w:t>
      </w:r>
    </w:p>
    <w:tbl>
      <w:tblPr>
        <w:tblW w:w="6581" w:type="dxa"/>
        <w:jc w:val="left"/>
        <w:tblInd w:w="0" w:type="dxa"/>
        <w:tblLayout w:type="fixed"/>
        <w:tblCellMar>
          <w:top w:w="28" w:type="dxa"/>
          <w:left w:w="28" w:type="dxa"/>
          <w:bottom w:w="28" w:type="dxa"/>
          <w:right w:w="28" w:type="dxa"/>
        </w:tblCellMar>
      </w:tblPr>
      <w:tblGrid>
        <w:gridCol w:w="1313"/>
        <w:gridCol w:w="1154"/>
        <w:gridCol w:w="1163"/>
        <w:gridCol w:w="251"/>
        <w:gridCol w:w="712"/>
        <w:gridCol w:w="327"/>
        <w:gridCol w:w="109"/>
        <w:gridCol w:w="109"/>
        <w:gridCol w:w="109"/>
        <w:gridCol w:w="248"/>
        <w:gridCol w:w="705"/>
        <w:gridCol w:w="381"/>
      </w:tblGrid>
      <w:tr>
        <w:trPr/>
        <w:tc>
          <w:tcPr>
            <w:tcW w:w="1313"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8"/>
              </w:rPr>
              <w:t>Three Months Ended</w:t>
            </w:r>
            <w:r>
              <w:rPr>
                <w:color w:val="000000"/>
              </w:rPr>
              <w:t xml:space="preserve"> </w:t>
            </w:r>
          </w:p>
        </w:tc>
      </w:tr>
      <w:tr>
        <w:trPr/>
        <w:tc>
          <w:tcPr>
            <w:tcW w:w="36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 except per share amounts and percentages)</w:t>
            </w:r>
          </w:p>
        </w:tc>
        <w:tc>
          <w:tcPr>
            <w:tcW w:w="129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ind w:left="0" w:right="0" w:hanging="180"/>
              <w:jc w:val="right"/>
              <w:rPr>
                <w:rFonts w:ascii="Times New Roman;serif" w:hAnsi="Times New Roman;serif"/>
                <w:b/>
                <w:color w:val="000000"/>
                <w:sz w:val="18"/>
              </w:rPr>
            </w:pPr>
            <w:r>
              <w:rPr>
                <w:rFonts w:ascii="Times New Roman;serif" w:hAnsi="Times New Roman;serif"/>
                <w:b/>
                <w:color w:val="000000"/>
                <w:sz w:val="18"/>
              </w:rPr>
              <w:t>March 29, 2025</w:t>
            </w:r>
          </w:p>
        </w:tc>
      </w:tr>
      <w:tr>
        <w:trPr/>
        <w:tc>
          <w:tcPr>
            <w:tcW w:w="363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taxes</w:t>
            </w:r>
          </w:p>
        </w:tc>
        <w:tc>
          <w:tcPr>
            <w:tcW w:w="25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240.4 </w:t>
            </w:r>
          </w:p>
        </w:tc>
        <w:tc>
          <w:tcPr>
            <w:tcW w:w="32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227.0 </w:t>
            </w:r>
          </w:p>
        </w:tc>
        <w:tc>
          <w:tcPr>
            <w:tcW w:w="38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72.3 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5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168.1 </w:t>
            </w:r>
          </w:p>
        </w:tc>
        <w:tc>
          <w:tcPr>
            <w:tcW w:w="32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166.3 </w:t>
            </w:r>
          </w:p>
        </w:tc>
        <w:tc>
          <w:tcPr>
            <w:tcW w:w="38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30"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Per share amounts:</w:t>
            </w:r>
          </w:p>
        </w:tc>
        <w:tc>
          <w:tcPr>
            <w:tcW w:w="12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common share</w:t>
            </w:r>
          </w:p>
        </w:tc>
        <w:tc>
          <w:tcPr>
            <w:tcW w:w="25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38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common share, assuming dilution</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38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30" w:type="dxa"/>
            <w:gridSpan w:val="3"/>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tax rate</w:t>
            </w:r>
          </w:p>
        </w:tc>
        <w:tc>
          <w:tcPr>
            <w:tcW w:w="963" w:type="dxa"/>
            <w:gridSpan w:val="2"/>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327"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16"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381"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Provision for Income Taxes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effective tax rate for the three months ended March 31, 2026 increased compared to the same period last year primarily due to a higher net discrete charge from increases in tax reserves related to a court ruling impacting tax group requirements in a foreign jurisdiction. Refer to Note 6, “Taxes Based on Income,” to the unaudited Condensed Consolidated Financial Statements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2"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20</w:t>
                      </w:r>
                    </w:p>
                  </w:txbxContent>
                </v:textbox>
                <w10:wrap type="none"/>
              </v:rect>
            </w:pict>
          </mc:Fallback>
        </mc:AlternateContent>
      </w:r>
    </w:p>
    <w:p>
      <w:pPr>
        <w:pStyle w:val="TextBody"/>
        <w:bidi w:val="0"/>
        <w:spacing w:lineRule="auto" w:line="276" w:before="0" w:after="0"/>
        <w:jc w:val="left"/>
        <w:rPr/>
      </w:pPr>
      <w:hyperlink w:anchor="ib3caf56900394eb1806ff7cd5a3e9df4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left"/>
        <w:rPr>
          <w:rFonts w:ascii="Times New Roman;serif" w:hAnsi="Times New Roman;serif"/>
          <w:b/>
          <w:color w:val="000000"/>
          <w:sz w:val="18"/>
          <w:u w:val="single"/>
        </w:rPr>
      </w:pPr>
      <w:r>
        <w:rPr>
          <w:rFonts w:ascii="Times New Roman;serif" w:hAnsi="Times New Roman;serif"/>
          <w:b/>
          <w:color w:val="000000"/>
          <w:sz w:val="18"/>
          <w:u w:val="single"/>
        </w:rPr>
        <w:t xml:space="preserve">RESULTS OF OPERATIONS BY REPORTABLE SEGMENT FOR THE FIRST QUARTER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Our chief operating decision maker uses segment adjusted operating income to evaluate segment performance and allocate resources. Segment adjusted operating income is defined as income before taxes adjusted for other expense (income), net; interest expense; and other non-operating expense (income), net.</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Refer to Note 11, “Segment and Disaggregated Revenue Information,” to the unaudited Condensed Consolidated Financial Statements for more information.</w:t>
      </w:r>
    </w:p>
    <w:p>
      <w:pPr>
        <w:pStyle w:val="TextBody"/>
        <w:bidi w:val="0"/>
        <w:spacing w:lineRule="auto" w:line="288" w:before="180" w:after="283"/>
        <w:jc w:val="left"/>
        <w:rPr>
          <w:rFonts w:ascii="Times New Roman;serif" w:hAnsi="Times New Roman;serif"/>
          <w:b/>
          <w:i/>
          <w:color w:val="000000"/>
          <w:sz w:val="18"/>
        </w:rPr>
      </w:pPr>
      <w:r>
        <w:rPr>
          <w:rFonts w:ascii="Times New Roman;serif" w:hAnsi="Times New Roman;serif"/>
          <w:b/>
          <w:i/>
          <w:color w:val="000000"/>
          <w:sz w:val="18"/>
        </w:rPr>
        <w:t xml:space="preserve">Materials Group </w:t>
      </w:r>
    </w:p>
    <w:tbl>
      <w:tblPr>
        <w:tblW w:w="5756" w:type="dxa"/>
        <w:jc w:val="center"/>
        <w:tblInd w:w="0" w:type="dxa"/>
        <w:tblLayout w:type="fixed"/>
        <w:tblCellMar>
          <w:top w:w="28" w:type="dxa"/>
          <w:left w:w="28" w:type="dxa"/>
          <w:bottom w:w="28" w:type="dxa"/>
          <w:right w:w="28" w:type="dxa"/>
        </w:tblCellMar>
      </w:tblPr>
      <w:tblGrid>
        <w:gridCol w:w="1014"/>
        <w:gridCol w:w="890"/>
        <w:gridCol w:w="901"/>
        <w:gridCol w:w="254"/>
        <w:gridCol w:w="895"/>
        <w:gridCol w:w="141"/>
        <w:gridCol w:w="109"/>
        <w:gridCol w:w="109"/>
        <w:gridCol w:w="109"/>
        <w:gridCol w:w="251"/>
        <w:gridCol w:w="886"/>
        <w:gridCol w:w="197"/>
      </w:tblGrid>
      <w:tr>
        <w:trPr/>
        <w:tc>
          <w:tcPr>
            <w:tcW w:w="101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8"/>
              </w:rPr>
              <w:t>Three Months Ended</w:t>
            </w:r>
            <w:r>
              <w:rPr>
                <w:color w:val="000000"/>
              </w:rPr>
              <w:t xml:space="preserve"> </w:t>
            </w:r>
          </w:p>
        </w:tc>
      </w:tr>
      <w:tr>
        <w:trPr/>
        <w:tc>
          <w:tcPr>
            <w:tcW w:w="28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29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ind w:left="0" w:right="0" w:hanging="180"/>
              <w:jc w:val="right"/>
              <w:rPr>
                <w:rFonts w:ascii="Times New Roman;serif" w:hAnsi="Times New Roman;serif"/>
                <w:b/>
                <w:color w:val="000000"/>
                <w:sz w:val="18"/>
              </w:rPr>
            </w:pPr>
            <w:r>
              <w:rPr>
                <w:rFonts w:ascii="Times New Roman;serif" w:hAnsi="Times New Roman;serif"/>
                <w:b/>
                <w:color w:val="000000"/>
                <w:sz w:val="18"/>
              </w:rPr>
              <w:t>March 29, 2025</w:t>
            </w:r>
          </w:p>
        </w:tc>
      </w:tr>
      <w:tr>
        <w:trPr/>
        <w:tc>
          <w:tcPr>
            <w:tcW w:w="280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 including intersegment sales</w:t>
            </w:r>
          </w:p>
        </w:tc>
        <w:tc>
          <w:tcPr>
            <w:tcW w:w="25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1,683.0 </w:t>
            </w:r>
          </w:p>
        </w:tc>
        <w:tc>
          <w:tcPr>
            <w:tcW w:w="14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1,524.0 </w:t>
            </w:r>
          </w:p>
        </w:tc>
        <w:tc>
          <w:tcPr>
            <w:tcW w:w="19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Less intersegment sales</w:t>
            </w:r>
          </w:p>
        </w:tc>
        <w:tc>
          <w:tcPr>
            <w:tcW w:w="114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(33.7)</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(43.9)</w:t>
            </w:r>
          </w:p>
        </w:tc>
        <w:tc>
          <w:tcPr>
            <w:tcW w:w="19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0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25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1,649.3 </w:t>
            </w:r>
          </w:p>
        </w:tc>
        <w:tc>
          <w:tcPr>
            <w:tcW w:w="14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1,480.1 </w:t>
            </w:r>
          </w:p>
        </w:tc>
        <w:tc>
          <w:tcPr>
            <w:tcW w:w="19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76" w:before="0" w:after="0"/>
              <w:ind w:left="0" w:right="0" w:hanging="180"/>
              <w:jc w:val="left"/>
              <w:rPr/>
            </w:pPr>
            <w:r>
              <w:rPr>
                <w:rFonts w:ascii="Times New Roman;serif" w:hAnsi="Times New Roman;serif"/>
                <w:b w:val="false"/>
                <w:color w:val="000000"/>
                <w:sz w:val="18"/>
              </w:rPr>
              <w:t>Segment adjusted operating income</w:t>
            </w:r>
            <w:r>
              <w:rPr>
                <w:rFonts w:ascii="Times New Roman;serif" w:hAnsi="Times New Roman;serif"/>
                <w:b w:val="false"/>
                <w:color w:val="000000"/>
                <w:sz w:val="12"/>
              </w:rPr>
              <w:t>(1)</w:t>
            </w:r>
          </w:p>
        </w:tc>
        <w:tc>
          <w:tcPr>
            <w:tcW w:w="1149"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254.2 </w:t>
            </w:r>
          </w:p>
        </w:tc>
        <w:tc>
          <w:tcPr>
            <w:tcW w:w="141"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230.3 </w:t>
            </w:r>
          </w:p>
        </w:tc>
        <w:tc>
          <w:tcPr>
            <w:tcW w:w="197"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9"/>
        </w:rPr>
        <w:t xml:space="preserve">(1) </w:t>
      </w:r>
      <w:r>
        <w:rPr>
          <w:rFonts w:ascii="Times New Roman;serif" w:hAnsi="Times New Roman;serif"/>
          <w:b w:val="false"/>
          <w:color w:val="000000"/>
          <w:sz w:val="14"/>
        </w:rPr>
        <w:t>Segment adjusted operating income excluded other expense (income), net, of $7.7 million and $4.4 million in the first quarters of 2026 and 2025, respectively. Exclusions related to charges associated with restructuring actions, loss from Argentine peso remeasurement, (gain) loss on venture and other investments, outcomes of legal matters and settlements, transaction and related costs and (gain) loss on sales of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Net Sales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factors impacting net sales change, as compared to the prior-year period, are shown in the table below. </w:t>
      </w:r>
    </w:p>
    <w:tbl>
      <w:tblPr>
        <w:tblW w:w="4948" w:type="dxa"/>
        <w:jc w:val="center"/>
        <w:tblInd w:w="0" w:type="dxa"/>
        <w:tblLayout w:type="fixed"/>
        <w:tblCellMar>
          <w:top w:w="28" w:type="dxa"/>
          <w:left w:w="28" w:type="dxa"/>
          <w:bottom w:w="28" w:type="dxa"/>
          <w:right w:w="28" w:type="dxa"/>
        </w:tblCellMar>
      </w:tblPr>
      <w:tblGrid>
        <w:gridCol w:w="1140"/>
        <w:gridCol w:w="1002"/>
        <w:gridCol w:w="1007"/>
        <w:gridCol w:w="376"/>
        <w:gridCol w:w="376"/>
        <w:gridCol w:w="1047"/>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31, 2026</w:t>
            </w:r>
          </w:p>
        </w:tc>
      </w:tr>
      <w:tr>
        <w:trPr/>
        <w:tc>
          <w:tcPr>
            <w:tcW w:w="314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sales change</w:t>
            </w:r>
          </w:p>
        </w:tc>
        <w:tc>
          <w:tcPr>
            <w:tcW w:w="75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4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Reclassification of sales between segments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4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Sales change ex. currency</w:t>
            </w:r>
            <w:r>
              <w:rPr>
                <w:rFonts w:ascii="Times New Roman;serif" w:hAnsi="Times New Roman;serif"/>
                <w:b w:val="false"/>
                <w:color w:val="000000"/>
                <w:sz w:val="12"/>
              </w:rPr>
              <w:t>(1)</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Acquisitions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Organic sales change</w:t>
            </w:r>
            <w:r>
              <w:rPr>
                <w:rFonts w:ascii="Times New Roman;serif" w:hAnsi="Times New Roman;serif"/>
                <w:b w:val="false"/>
                <w:color w:val="000000"/>
                <w:sz w:val="12"/>
              </w:rPr>
              <w:t>(1)</w:t>
            </w:r>
          </w:p>
        </w:tc>
        <w:tc>
          <w:tcPr>
            <w:tcW w:w="752"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4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hanging="180"/>
        <w:jc w:val="left"/>
        <w:rPr/>
      </w:pPr>
      <w:r>
        <w:rPr>
          <w:rFonts w:ascii="Times New Roman;serif" w:hAnsi="Times New Roman;serif"/>
          <w:b w:val="false"/>
          <w:color w:val="000000"/>
          <w:sz w:val="9"/>
        </w:rPr>
        <w:t xml:space="preserve">(1) </w:t>
      </w:r>
      <w:r>
        <w:rPr>
          <w:rFonts w:ascii="Times New Roman;serif" w:hAnsi="Times New Roman;serif"/>
          <w:b w:val="false"/>
          <w:color w:val="000000"/>
          <w:sz w:val="14"/>
        </w:rPr>
        <w:t>Totals may not sum due to rounding.</w:t>
      </w:r>
      <w:r>
        <w:rPr>
          <w:color w:val="000000"/>
        </w:rPr>
        <w:t xml:space="preserve">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In the first quarter of 2026, net sales increased on an organic basis compared to the same period in the prior year primarily due to higher volume, partially offset by the impact of raw material deflation-related price reductions and unfavorable mix. On an organic basis, net sales increased by a low single digit rate in North America and by a high single digit rate in Asia Pacific, decreased by a mid-single digit rate in Latin America and were comparable in Europe, the Middle East and North Africa.</w:t>
      </w:r>
    </w:p>
    <w:p>
      <w:pPr>
        <w:pStyle w:val="TextBody"/>
        <w:bidi w:val="0"/>
        <w:spacing w:lineRule="auto" w:line="288" w:before="240" w:after="283"/>
        <w:jc w:val="left"/>
        <w:rPr/>
      </w:pPr>
      <w:r>
        <w:rPr>
          <w:rFonts w:ascii="Times New Roman;serif" w:hAnsi="Times New Roman;serif"/>
          <w:b w:val="false"/>
          <w:i/>
          <w:color w:val="000000"/>
          <w:sz w:val="18"/>
        </w:rPr>
        <w:t>Segment Adjusted Operating Income</w:t>
      </w:r>
      <w:r>
        <w:rPr>
          <w:color w:val="000000"/>
        </w:rPr>
        <w:t xml:space="preserve">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Segment adjusted operating income increased in the first quarter of 2026 compared to the same period last year primarily due to higher volume, favorable foreign currency translation and benefits from productivity initiatives, including savings from restructuring actions, net of transition costs, partially offset by unfavorable mix and higher employee-related costs.</w:t>
      </w:r>
    </w:p>
    <w:p>
      <w:pPr>
        <w:pStyle w:val="TextBody"/>
        <w:bidi w:val="0"/>
        <w:spacing w:lineRule="auto" w:line="288" w:before="240" w:after="283"/>
        <w:jc w:val="both"/>
        <w:rPr/>
      </w:pPr>
      <w:r>
        <w:rPr>
          <w:rFonts w:ascii="Times New Roman;serif" w:hAnsi="Times New Roman;serif"/>
          <w:b/>
          <w:i/>
          <w:color w:val="000000"/>
          <w:sz w:val="18"/>
        </w:rPr>
        <w:t>Solutions Group</w:t>
      </w:r>
      <w:r>
        <w:rPr>
          <w:color w:val="000000"/>
        </w:rPr>
        <w:t xml:space="preserve"> </w:t>
      </w:r>
    </w:p>
    <w:tbl>
      <w:tblPr>
        <w:tblW w:w="5756" w:type="dxa"/>
        <w:jc w:val="center"/>
        <w:tblInd w:w="0" w:type="dxa"/>
        <w:tblLayout w:type="fixed"/>
        <w:tblCellMar>
          <w:top w:w="28" w:type="dxa"/>
          <w:left w:w="28" w:type="dxa"/>
          <w:bottom w:w="28" w:type="dxa"/>
          <w:right w:w="28" w:type="dxa"/>
        </w:tblCellMar>
      </w:tblPr>
      <w:tblGrid>
        <w:gridCol w:w="1014"/>
        <w:gridCol w:w="890"/>
        <w:gridCol w:w="901"/>
        <w:gridCol w:w="293"/>
        <w:gridCol w:w="833"/>
        <w:gridCol w:w="163"/>
        <w:gridCol w:w="109"/>
        <w:gridCol w:w="109"/>
        <w:gridCol w:w="109"/>
        <w:gridCol w:w="289"/>
        <w:gridCol w:w="819"/>
        <w:gridCol w:w="227"/>
      </w:tblGrid>
      <w:tr>
        <w:trPr/>
        <w:tc>
          <w:tcPr>
            <w:tcW w:w="101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8"/>
              </w:rPr>
              <w:t>Three Months Ended</w:t>
            </w:r>
            <w:r>
              <w:rPr>
                <w:color w:val="000000"/>
              </w:rPr>
              <w:t xml:space="preserve"> </w:t>
            </w:r>
          </w:p>
        </w:tc>
      </w:tr>
      <w:tr>
        <w:trPr/>
        <w:tc>
          <w:tcPr>
            <w:tcW w:w="28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28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ind w:left="0" w:right="0" w:hanging="180"/>
              <w:jc w:val="right"/>
              <w:rPr>
                <w:rFonts w:ascii="Times New Roman;serif" w:hAnsi="Times New Roman;serif"/>
                <w:b/>
                <w:color w:val="000000"/>
                <w:sz w:val="18"/>
              </w:rPr>
            </w:pPr>
            <w:r>
              <w:rPr>
                <w:rFonts w:ascii="Times New Roman;serif" w:hAnsi="Times New Roman;serif"/>
                <w:b/>
                <w:color w:val="000000"/>
                <w:sz w:val="18"/>
              </w:rPr>
              <w:t>March 29, 2025</w:t>
            </w:r>
          </w:p>
        </w:tc>
      </w:tr>
      <w:tr>
        <w:trPr/>
        <w:tc>
          <w:tcPr>
            <w:tcW w:w="280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 including intersegment sales</w:t>
            </w:r>
          </w:p>
        </w:tc>
        <w:tc>
          <w:tcPr>
            <w:tcW w:w="29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663.7 </w:t>
            </w:r>
          </w:p>
        </w:tc>
        <w:tc>
          <w:tcPr>
            <w:tcW w:w="16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681.4 </w:t>
            </w:r>
          </w:p>
        </w:tc>
        <w:tc>
          <w:tcPr>
            <w:tcW w:w="22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Less intersegment sales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22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0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29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649.2 </w:t>
            </w:r>
          </w:p>
        </w:tc>
        <w:tc>
          <w:tcPr>
            <w:tcW w:w="16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668.2 </w:t>
            </w:r>
          </w:p>
        </w:tc>
        <w:tc>
          <w:tcPr>
            <w:tcW w:w="22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76" w:before="0" w:after="0"/>
              <w:ind w:left="0" w:right="0" w:hanging="180"/>
              <w:jc w:val="left"/>
              <w:rPr/>
            </w:pPr>
            <w:r>
              <w:rPr>
                <w:rFonts w:ascii="Times New Roman;serif" w:hAnsi="Times New Roman;serif"/>
                <w:b w:val="false"/>
                <w:color w:val="000000"/>
                <w:sz w:val="18"/>
              </w:rPr>
              <w:t>Segment adjusted operating income</w:t>
            </w:r>
            <w:r>
              <w:rPr>
                <w:rFonts w:ascii="Times New Roman;serif" w:hAnsi="Times New Roman;serif"/>
                <w:b w:val="false"/>
                <w:color w:val="000000"/>
                <w:sz w:val="12"/>
              </w:rPr>
              <w:t>(1)</w:t>
            </w:r>
          </w:p>
        </w:tc>
        <w:tc>
          <w:tcPr>
            <w:tcW w:w="1126"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63"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68.2 </w:t>
            </w:r>
          </w:p>
        </w:tc>
        <w:tc>
          <w:tcPr>
            <w:tcW w:w="227"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9"/>
        </w:rPr>
        <w:t xml:space="preserve">(1) </w:t>
      </w:r>
      <w:r>
        <w:rPr>
          <w:rFonts w:ascii="Times New Roman;serif" w:hAnsi="Times New Roman;serif"/>
          <w:b w:val="false"/>
          <w:color w:val="000000"/>
          <w:sz w:val="14"/>
        </w:rPr>
        <w:t>Segment adjusted operating income excluded other expense (income), net, of $9.9 million and $10.1 million in the first quarters of 2026 and 2025, respectively. Exclusions related to charges associated with restructuring actions and (gain) loss on venture and other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3"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21</w:t>
                      </w:r>
                    </w:p>
                  </w:txbxContent>
                </v:textbox>
                <w10:wrap type="none"/>
              </v:rect>
            </w:pict>
          </mc:Fallback>
        </mc:AlternateContent>
      </w:r>
    </w:p>
    <w:p>
      <w:pPr>
        <w:pStyle w:val="TextBody"/>
        <w:bidi w:val="0"/>
        <w:spacing w:lineRule="auto" w:line="276" w:before="0" w:after="0"/>
        <w:jc w:val="left"/>
        <w:rPr/>
      </w:pPr>
      <w:hyperlink w:anchor="ib3caf56900394eb1806ff7cd5a3e9df4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Net Sales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factors impacting net sales change, as compared to the prior-year period, are shown in the table below.</w:t>
      </w:r>
    </w:p>
    <w:tbl>
      <w:tblPr>
        <w:tblW w:w="4949" w:type="dxa"/>
        <w:jc w:val="left"/>
        <w:tblInd w:w="0" w:type="dxa"/>
        <w:tblLayout w:type="fixed"/>
        <w:tblCellMar>
          <w:top w:w="28" w:type="dxa"/>
          <w:left w:w="28" w:type="dxa"/>
          <w:bottom w:w="28" w:type="dxa"/>
          <w:right w:w="28" w:type="dxa"/>
        </w:tblCellMar>
      </w:tblPr>
      <w:tblGrid>
        <w:gridCol w:w="1142"/>
        <w:gridCol w:w="997"/>
        <w:gridCol w:w="1011"/>
        <w:gridCol w:w="376"/>
        <w:gridCol w:w="376"/>
        <w:gridCol w:w="1047"/>
      </w:tblGrid>
      <w:tr>
        <w:trPr/>
        <w:tc>
          <w:tcPr>
            <w:tcW w:w="114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31, 2026</w:t>
            </w:r>
          </w:p>
        </w:tc>
      </w:tr>
      <w:tr>
        <w:trPr/>
        <w:tc>
          <w:tcPr>
            <w:tcW w:w="315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sales change</w:t>
            </w:r>
          </w:p>
        </w:tc>
        <w:tc>
          <w:tcPr>
            <w:tcW w:w="75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4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sales between segments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4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ind w:left="0" w:right="0" w:hanging="180"/>
              <w:jc w:val="left"/>
              <w:rPr/>
            </w:pPr>
            <w:r>
              <w:rPr>
                <w:rFonts w:ascii="Times New Roman;serif" w:hAnsi="Times New Roman;serif"/>
                <w:b w:val="false"/>
                <w:color w:val="000000"/>
                <w:sz w:val="18"/>
              </w:rPr>
              <w:t>Sales change ex. currency</w:t>
            </w:r>
            <w:r>
              <w:rPr>
                <w:rFonts w:ascii="Times New Roman;serif" w:hAnsi="Times New Roman;serif"/>
                <w:b w:val="false"/>
                <w:color w:val="000000"/>
                <w:sz w:val="12"/>
              </w:rPr>
              <w:t>(1)</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76" w:before="0" w:after="0"/>
              <w:ind w:left="0" w:right="0" w:hanging="180"/>
              <w:jc w:val="left"/>
              <w:rPr/>
            </w:pPr>
            <w:r>
              <w:rPr>
                <w:rFonts w:ascii="Times New Roman;serif" w:hAnsi="Times New Roman;serif"/>
                <w:b w:val="false"/>
                <w:color w:val="000000"/>
                <w:sz w:val="18"/>
              </w:rPr>
              <w:t>Organic sales change</w:t>
            </w:r>
            <w:r>
              <w:rPr>
                <w:rFonts w:ascii="Times New Roman;serif" w:hAnsi="Times New Roman;serif"/>
                <w:b w:val="false"/>
                <w:color w:val="000000"/>
                <w:sz w:val="12"/>
              </w:rPr>
              <w:t>(1)</w:t>
            </w:r>
          </w:p>
        </w:tc>
        <w:tc>
          <w:tcPr>
            <w:tcW w:w="752" w:type="dxa"/>
            <w:gridSpan w:val="2"/>
            <w:tcBorders>
              <w:top w:val="single" w:sz="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47" w:type="dxa"/>
            <w:tcBorders>
              <w:top w:val="single" w:sz="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hanging="180"/>
        <w:jc w:val="left"/>
        <w:rPr/>
      </w:pPr>
      <w:r>
        <w:rPr>
          <w:rFonts w:ascii="Times New Roman;serif" w:hAnsi="Times New Roman;serif"/>
          <w:b w:val="false"/>
          <w:color w:val="000000"/>
          <w:sz w:val="9"/>
        </w:rPr>
        <w:t xml:space="preserve">(1) </w:t>
      </w:r>
      <w:r>
        <w:rPr>
          <w:rFonts w:ascii="Times New Roman;serif" w:hAnsi="Times New Roman;serif"/>
          <w:b w:val="false"/>
          <w:color w:val="000000"/>
          <w:sz w:val="14"/>
        </w:rPr>
        <w:t>Totals may not sum due to rounding.</w:t>
      </w:r>
      <w:r>
        <w:rPr>
          <w:color w:val="000000"/>
        </w:rPr>
        <w:t xml:space="preserve">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In the first quarter of 2026, net sales decreased on an organic basis compared to the same period in the prior year due to a mid-single digit rate decrease in the base business, partially offset by a low single digit rate increase in high-value categories. Company-wide, on an organic basis, net sales of intelligent labels decreased by a low single digit rate compared to the same period in the prior year.</w:t>
      </w:r>
    </w:p>
    <w:p>
      <w:pPr>
        <w:pStyle w:val="TextBody"/>
        <w:bidi w:val="0"/>
        <w:spacing w:lineRule="auto" w:line="288" w:before="240" w:after="283"/>
        <w:jc w:val="both"/>
        <w:rPr>
          <w:rFonts w:ascii="Times New Roman;serif" w:hAnsi="Times New Roman;serif"/>
          <w:b w:val="false"/>
          <w:i/>
          <w:color w:val="000000"/>
          <w:sz w:val="18"/>
        </w:rPr>
      </w:pPr>
      <w:r>
        <w:rPr>
          <w:rFonts w:ascii="Times New Roman;serif" w:hAnsi="Times New Roman;serif"/>
          <w:b w:val="false"/>
          <w:i/>
          <w:color w:val="000000"/>
          <w:sz w:val="18"/>
        </w:rPr>
        <w:t xml:space="preserve">Segment Adjusted Operating Income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Segment adjusted operating income decreased in the first quarter of 2026 compared to the same period last year primarily due to higher employee-related costs, unfavorable volume and growth investments, partially offset by the net benefit of pricing and raw material costs and benefits from productivity initiatives, including savings from restructuring actions, net of transition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18"/>
          <w:u w:val="single"/>
        </w:rPr>
      </w:pPr>
      <w:r>
        <w:rPr>
          <w:rFonts w:ascii="Times New Roman;serif" w:hAnsi="Times New Roman;serif"/>
          <w:b/>
          <w:color w:val="000000"/>
          <w:sz w:val="18"/>
          <w:u w:val="single"/>
        </w:rPr>
        <w:t xml:space="preserve">FINANCIAL CONDITION </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Liquidity </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Operating Activities </w:t>
      </w:r>
    </w:p>
    <w:tbl>
      <w:tblPr>
        <w:tblW w:w="7031" w:type="dxa"/>
        <w:jc w:val="center"/>
        <w:tblInd w:w="0" w:type="dxa"/>
        <w:tblLayout w:type="fixed"/>
        <w:tblCellMar>
          <w:top w:w="28" w:type="dxa"/>
          <w:left w:w="28" w:type="dxa"/>
          <w:bottom w:w="28" w:type="dxa"/>
          <w:right w:w="28" w:type="dxa"/>
        </w:tblCellMar>
      </w:tblPr>
      <w:tblGrid>
        <w:gridCol w:w="1537"/>
        <w:gridCol w:w="1265"/>
        <w:gridCol w:w="1278"/>
        <w:gridCol w:w="293"/>
        <w:gridCol w:w="833"/>
        <w:gridCol w:w="163"/>
        <w:gridCol w:w="109"/>
        <w:gridCol w:w="109"/>
        <w:gridCol w:w="109"/>
        <w:gridCol w:w="289"/>
        <w:gridCol w:w="819"/>
        <w:gridCol w:w="227"/>
      </w:tblGrid>
      <w:tr>
        <w:trPr/>
        <w:tc>
          <w:tcPr>
            <w:tcW w:w="1537"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29, 2025</w:t>
            </w:r>
          </w:p>
        </w:tc>
      </w:tr>
      <w:tr>
        <w:trPr/>
        <w:tc>
          <w:tcPr>
            <w:tcW w:w="4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 and sales returns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taxes and other non-cash taxes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expense and loss (income and gain), net</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 and other adjustments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(286.0)</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29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136.5 </w:t>
            </w:r>
          </w:p>
        </w:tc>
        <w:tc>
          <w:tcPr>
            <w:tcW w:w="16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22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During the first three months of 2026, net cash provided by (used in) operating activities increased compared to the same period last year primarily due to lower incentive compensation payments and changes in operational working capital, partially offset by higher tax payments, net of refunds.</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Investing Activities </w:t>
      </w:r>
    </w:p>
    <w:tbl>
      <w:tblPr>
        <w:tblW w:w="8200" w:type="dxa"/>
        <w:jc w:val="center"/>
        <w:tblInd w:w="0" w:type="dxa"/>
        <w:tblLayout w:type="fixed"/>
        <w:tblCellMar>
          <w:top w:w="28" w:type="dxa"/>
          <w:left w:w="28" w:type="dxa"/>
          <w:bottom w:w="28" w:type="dxa"/>
          <w:right w:w="28" w:type="dxa"/>
        </w:tblCellMar>
      </w:tblPr>
      <w:tblGrid>
        <w:gridCol w:w="1896"/>
        <w:gridCol w:w="1668"/>
        <w:gridCol w:w="1685"/>
        <w:gridCol w:w="299"/>
        <w:gridCol w:w="825"/>
        <w:gridCol w:w="166"/>
        <w:gridCol w:w="109"/>
        <w:gridCol w:w="109"/>
        <w:gridCol w:w="109"/>
        <w:gridCol w:w="293"/>
        <w:gridCol w:w="811"/>
        <w:gridCol w:w="230"/>
      </w:tblGrid>
      <w:tr>
        <w:trPr/>
        <w:tc>
          <w:tcPr>
            <w:tcW w:w="1896"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29, 2025</w:t>
            </w:r>
          </w:p>
        </w:tc>
      </w:tr>
      <w:tr>
        <w:trPr/>
        <w:tc>
          <w:tcPr>
            <w:tcW w:w="5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plant and equipment</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software and other deferred charges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property, plant and equipment</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insurance and sales (purchases) of investments, net</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settlement of net investment hedges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Payments for acquisitions, net of cash acquired, and venture investments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299"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5"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w:t>
            </w:r>
          </w:p>
        </w:tc>
        <w:tc>
          <w:tcPr>
            <w:tcW w:w="16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w:t>
            </w:r>
          </w:p>
        </w:tc>
        <w:tc>
          <w:tcPr>
            <w:tcW w:w="230"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4"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22</w:t>
                      </w:r>
                    </w:p>
                  </w:txbxContent>
                </v:textbox>
                <w10:wrap type="none"/>
              </v:rect>
            </w:pict>
          </mc:Fallback>
        </mc:AlternateContent>
      </w:r>
    </w:p>
    <w:p>
      <w:pPr>
        <w:pStyle w:val="TextBody"/>
        <w:bidi w:val="0"/>
        <w:spacing w:lineRule="auto" w:line="276" w:before="0" w:after="0"/>
        <w:jc w:val="left"/>
        <w:rPr/>
      </w:pPr>
      <w:hyperlink w:anchor="ib3caf56900394eb1806ff7cd5a3e9df4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Purchases of Property, Plant and Equipment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During the first three months of 2026, in our Materials Group reportable segment, we primarily invested in equipment to support growth in the U.S., certain countries in Europe, including Belgium and Luxembourg, and certain countries in Asia Pacific, including China and Malaysia; in our Solutions Group reportable segment, we primarily invested in equipment to support growth in certain countries in Asia Pacific, including Vietnam and China, the U.S. and certain countries in Latin America, primarily Mexico.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During the first three months of 2025, in our Materials Group reportable segment, we primarily invested in equipment to support growth in the U.S. and certain countries in Europe, primarily Belgium; in our Solutions Group reportable segment, we primarily invested in buildings and equipment to support growth in certain countries in Asia Pacific, including Vietnam and China, and the U.S.</w:t>
      </w:r>
    </w:p>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Purchases of Software and Other Deferred Charges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During the first three months of 2026 and 2025, we primarily invested in information technology upgrades in the U.S.</w:t>
      </w:r>
    </w:p>
    <w:p>
      <w:pPr>
        <w:pStyle w:val="TextBody"/>
        <w:bidi w:val="0"/>
        <w:spacing w:lineRule="auto" w:line="288" w:before="240" w:after="283"/>
        <w:jc w:val="both"/>
        <w:rPr>
          <w:rFonts w:ascii="Times New Roman;serif" w:hAnsi="Times New Roman;serif"/>
          <w:b w:val="false"/>
          <w:i/>
          <w:color w:val="000000"/>
          <w:sz w:val="18"/>
        </w:rPr>
      </w:pPr>
      <w:r>
        <w:rPr>
          <w:rFonts w:ascii="Times New Roman;serif" w:hAnsi="Times New Roman;serif"/>
          <w:b w:val="false"/>
          <w:i/>
          <w:color w:val="000000"/>
          <w:sz w:val="18"/>
        </w:rPr>
        <w:t>Proceeds from Insurance and Sales (Purchases) of Investments, Net</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During the first three months of 2026, we received lower proceeds from sales of investments.</w:t>
      </w:r>
    </w:p>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Proceeds from Settlement of Net Investment Hedges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During the first three months of 2025, we settled €420 million notional amount of net investment hedges.</w:t>
      </w:r>
    </w:p>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Payments for Acquisitions, Net of Cash Acquired, and Venture Investments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During the first three months of 2026, we paid $0.5 million for purchase price adjustments related to our acquisition of W.F. Taylor Holdings, Inc. and for a venture investment. During the first three months of 2025, we paid $2.6 million for venture investments.</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Financing Activities </w:t>
      </w:r>
    </w:p>
    <w:tbl>
      <w:tblPr>
        <w:tblW w:w="8517" w:type="dxa"/>
        <w:jc w:val="center"/>
        <w:tblInd w:w="0" w:type="dxa"/>
        <w:tblLayout w:type="fixed"/>
        <w:tblCellMar>
          <w:top w:w="28" w:type="dxa"/>
          <w:left w:w="28" w:type="dxa"/>
          <w:bottom w:w="28" w:type="dxa"/>
          <w:right w:w="28" w:type="dxa"/>
        </w:tblCellMar>
      </w:tblPr>
      <w:tblGrid>
        <w:gridCol w:w="2012"/>
        <w:gridCol w:w="1771"/>
        <w:gridCol w:w="1782"/>
        <w:gridCol w:w="299"/>
        <w:gridCol w:w="825"/>
        <w:gridCol w:w="166"/>
        <w:gridCol w:w="109"/>
        <w:gridCol w:w="109"/>
        <w:gridCol w:w="109"/>
        <w:gridCol w:w="289"/>
        <w:gridCol w:w="819"/>
        <w:gridCol w:w="227"/>
      </w:tblGrid>
      <w:tr>
        <w:trPr/>
        <w:tc>
          <w:tcPr>
            <w:tcW w:w="2012"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29, 2025</w:t>
            </w:r>
          </w:p>
        </w:tc>
      </w:tr>
      <w:tr>
        <w:trPr/>
        <w:tc>
          <w:tcPr>
            <w:tcW w:w="55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borrowings with maturities of three months or less</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796.5 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long-term debt and finance leases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(525.0)</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repurchases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(261.6)</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(tax withholding) proceeds related to stock-based compensation</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Payments for settlement of fair value hedges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29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w:t>
            </w:r>
          </w:p>
        </w:tc>
        <w:tc>
          <w:tcPr>
            <w:tcW w:w="1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w:t>
            </w:r>
          </w:p>
        </w:tc>
        <w:tc>
          <w:tcPr>
            <w:tcW w:w="22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Borrowings and Repayment of Debt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During the first three months of 2026 and 2025, our commercial paper borrowings were used to fund dividend payments, share repurchases, capital expenditures and other general corporate purposes. During the first three months of 2025, commercial paper borrowings were also used to fund the repayment of long-term debt.</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In the first quarter of 2025, we repaid our €500 million of senior notes at maturity using the net proceeds from the €500 million of senior notes we issued in the fourth quarter of 2024, cash flows from operations and commercial paper borrowings.</w:t>
      </w:r>
    </w:p>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Dividends Paid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paid dividends of $0.94 per share in the first three months of 2026 compared to $0.88 per share in the same period last year. In April 2026, subsequent to the end of the first quarter of 2026, we increased our quarterly dividend rate to $1.00 per share, representing an increase of approximately 6% from our previous quarterly dividend rate of $0.94 per share.</w:t>
      </w:r>
    </w:p>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Share Repurchases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During the first three months of 2026 and 2025, we repurchased approximately 0.3 million and 1.4 million shares of our common stock,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Payments for Settlement of Fair Value Hedges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During the first three months of 2025, we settled €420 million notional amount of fair value hedges.</w:t>
      </w:r>
    </w:p>
    <w:p>
      <w:pPr>
        <w:pStyle w:val="TextBody"/>
        <w:bidi w:val="0"/>
        <w:spacing w:lineRule="auto" w:line="288" w:before="180" w:after="283"/>
        <w:jc w:val="left"/>
        <w:rPr>
          <w:rFonts w:ascii="Times New Roman;serif" w:hAnsi="Times New Roman;serif"/>
          <w:b/>
          <w:color w:val="000000"/>
          <w:sz w:val="18"/>
        </w:rPr>
      </w:pPr>
      <w:r>
        <w:rPr>
          <w:rFonts w:ascii="Times New Roman;serif" w:hAnsi="Times New Roman;serif"/>
          <w:b/>
          <w:color w:val="000000"/>
          <w:sz w:val="18"/>
        </w:rPr>
        <w:t xml:space="preserve">Analysis of Selected Balance Sheet Accounts </w:t>
      </w:r>
    </w:p>
    <w:p>
      <w:pPr>
        <w:pStyle w:val="TextBody"/>
        <w:bidi w:val="0"/>
        <w:spacing w:lineRule="auto" w:line="288" w:before="18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Long-lived Assets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 the three months ended March 31, 2026, goodwill decreased by approximately $10 million to $2.26 billion, primarily reflecting the impact of foreign currency translation.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 the three months ended March 31, 2026, other intangibles resulting from business acquisitions, net, decreased by approximately $26 million to $801.2 million, primarily reflecting current year amortization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5"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23</w:t>
                      </w:r>
                    </w:p>
                  </w:txbxContent>
                </v:textbox>
                <w10:wrap type="none"/>
              </v:rect>
            </w:pict>
          </mc:Fallback>
        </mc:AlternateContent>
      </w:r>
    </w:p>
    <w:p>
      <w:pPr>
        <w:pStyle w:val="TextBody"/>
        <w:bidi w:val="0"/>
        <w:spacing w:lineRule="auto" w:line="276" w:before="0" w:after="0"/>
        <w:jc w:val="left"/>
        <w:rPr/>
      </w:pPr>
      <w:hyperlink w:anchor="ib3caf56900394eb1806ff7cd5a3e9df4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Refer to Note 2, “Goodwill and Other Intangibles Resulting from Business Acquisitions,” to the unaudited Condensed Consolidated Financial Statements for more information. </w:t>
      </w:r>
    </w:p>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Shareholders’ Equity Accounts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of March 31, 2026, the balance of our shareholders’ equity was $2.30 billion. Refer to Note 8, “Supplemental Equity and Comprehensive Income Information,” to the unaudited Condensed Consolidated Financial Statements for more information. </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Impact of Foreign Currency Translation </w:t>
      </w:r>
    </w:p>
    <w:tbl>
      <w:tblPr>
        <w:tblW w:w="3284" w:type="dxa"/>
        <w:jc w:val="left"/>
        <w:tblInd w:w="0" w:type="dxa"/>
        <w:tblLayout w:type="fixed"/>
        <w:tblCellMar>
          <w:top w:w="28" w:type="dxa"/>
          <w:left w:w="28" w:type="dxa"/>
          <w:bottom w:w="28" w:type="dxa"/>
          <w:right w:w="28" w:type="dxa"/>
        </w:tblCellMar>
      </w:tblPr>
      <w:tblGrid>
        <w:gridCol w:w="537"/>
        <w:gridCol w:w="473"/>
        <w:gridCol w:w="475"/>
        <w:gridCol w:w="517"/>
        <w:gridCol w:w="875"/>
        <w:gridCol w:w="407"/>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14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color w:val="000000"/>
                <w:sz w:val="18"/>
              </w:rPr>
            </w:pPr>
            <w:r>
              <w:rPr>
                <w:rFonts w:ascii="Times New Roman;serif" w:hAnsi="Times New Roman;serif"/>
                <w:b/>
                <w:color w:val="000000"/>
                <w:sz w:val="18"/>
              </w:rPr>
              <w:t>March 31, 2026</w:t>
            </w:r>
          </w:p>
        </w:tc>
      </w:tr>
      <w:tr>
        <w:trPr/>
        <w:tc>
          <w:tcPr>
            <w:tcW w:w="148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net sales</w:t>
            </w:r>
          </w:p>
        </w:tc>
        <w:tc>
          <w:tcPr>
            <w:tcW w:w="51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40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International operations generated approximately 69% of our net sales during the three months ended March 31, 2026. Our future results are subject to changes in worldwide economic conditions, tariffs, social, geopolitical, and market conditions in the regions in which we operate and the impact of fluctuations in foreign currency exchange and interest rates.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The favorable impact of foreign currency translation on net sales in the first three months of 2026 compared to the same period last year was primarily related to euro-denominated sales and sales in China.</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Effect of Foreign Currency Transactions</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impact on net income from transactions denominated in foreign currencies is largely mitigated because the costs of our products are generally denominated in the same currencies in which they are sold. In addition, to reduce our income and cash flow exposure to transactions in foreign currencies, we enter into foreign exchange forward, option and swap contracts where available and appropriate. Refer to Note 5, “Financial Instruments,” to the unaudited Condensed Consolidated Financial Statements for more information. </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Analysis of Selected Financial Ratios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We utilize the financial ratios discussed below to assess our financial condition and operating performance. We believe this information assists our investors in understanding the factors impacting our cash flow other than net income and capital expenditures. </w:t>
      </w:r>
    </w:p>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Operational Working Capital Ratio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Operational working capital, as a percentage of annualized current-quarter net sales, is reconciled to working capital below. Our objective is to minimize our investment in operational working capital, as a percentage of annualized current-quarter net sales, to maximize our cash flow and return on investment. As shown below, operational working capital, as a percentage of annualized current-quarter net sales, in the first quarter of 2026 decreased compared to the first quarter of 2025. </w:t>
      </w:r>
    </w:p>
    <w:tbl>
      <w:tblPr>
        <w:tblW w:w="9686" w:type="dxa"/>
        <w:jc w:val="center"/>
        <w:tblInd w:w="0" w:type="dxa"/>
        <w:tblLayout w:type="fixed"/>
        <w:tblCellMar>
          <w:top w:w="28" w:type="dxa"/>
          <w:left w:w="28" w:type="dxa"/>
          <w:bottom w:w="28" w:type="dxa"/>
          <w:right w:w="28" w:type="dxa"/>
        </w:tblCellMar>
      </w:tblPr>
      <w:tblGrid>
        <w:gridCol w:w="2437"/>
        <w:gridCol w:w="2140"/>
        <w:gridCol w:w="2157"/>
        <w:gridCol w:w="221"/>
        <w:gridCol w:w="780"/>
        <w:gridCol w:w="289"/>
        <w:gridCol w:w="109"/>
        <w:gridCol w:w="109"/>
        <w:gridCol w:w="109"/>
        <w:gridCol w:w="220"/>
        <w:gridCol w:w="777"/>
        <w:gridCol w:w="338"/>
      </w:tblGrid>
      <w:tr>
        <w:trPr/>
        <w:tc>
          <w:tcPr>
            <w:tcW w:w="2437"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 except percentages)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29, 2025</w:t>
            </w:r>
          </w:p>
        </w:tc>
      </w:tr>
      <w:tr>
        <w:trPr/>
        <w:tc>
          <w:tcPr>
            <w:tcW w:w="6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 Working capital</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419.8 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Reconciling items:</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(255.1)</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(195.9)</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(327.9)</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(299.0)</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borrowings and current portion of long-term debt and finance leases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605.0 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877.5 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employee benefits and other current liabilities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865.2 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802.7 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 Operational working capital</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1,307.0 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1,262.9 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 First-quarter net sales, annualized</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9,321.7 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8,593.2 </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Operational working capital, as a percentage of annualized current-quarter net sales: (B) ÷ (C)</w:t>
            </w:r>
          </w:p>
        </w:tc>
        <w:tc>
          <w:tcPr>
            <w:tcW w:w="1001" w:type="dxa"/>
            <w:gridSpan w:val="2"/>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289"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16"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338"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Accounts Receivable Ratio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average number of days sales outstanding was 65 days in the first quarter of 2026 compared to 64 days in the first quarter of 2025, calculated using the accounts receivable balance at quarter-end divided by the average daily sales in the respective quarter. The increase in average number of days sales outstanding primarily reflected the timing of collections, partially offset by the impact of foreign currency translation.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6"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24</w:t>
                      </w:r>
                    </w:p>
                  </w:txbxContent>
                </v:textbox>
                <w10:wrap type="none"/>
              </v:rect>
            </w:pict>
          </mc:Fallback>
        </mc:AlternateContent>
      </w:r>
    </w:p>
    <w:p>
      <w:pPr>
        <w:pStyle w:val="TextBody"/>
        <w:bidi w:val="0"/>
        <w:spacing w:lineRule="auto" w:line="276" w:before="0" w:after="0"/>
        <w:jc w:val="left"/>
        <w:rPr/>
      </w:pPr>
      <w:hyperlink w:anchor="ib3caf56900394eb1806ff7cd5a3e9df4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both"/>
        <w:rPr>
          <w:rFonts w:ascii="Times New Roman;serif" w:hAnsi="Times New Roman;serif"/>
          <w:b w:val="false"/>
          <w:i/>
          <w:color w:val="000000"/>
          <w:sz w:val="18"/>
        </w:rPr>
      </w:pPr>
      <w:r>
        <w:rPr>
          <w:rFonts w:ascii="Times New Roman;serif" w:hAnsi="Times New Roman;serif"/>
          <w:b w:val="false"/>
          <w:i/>
          <w:color w:val="000000"/>
          <w:sz w:val="18"/>
        </w:rPr>
        <w:t xml:space="preserve">Inventory Ratio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Average inventory turnover was 6.7 in the first quarter of 2026 compared to 6.0 in the first quarter of 2025, calculated using the annualized first-quarter cost of products sold in 2026 and 2025, respectively, and divided by the inventory balance at quarter-end. The increase in average inventory turnover primarily reflected lower inventory balances.</w:t>
      </w:r>
    </w:p>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Accounts Payable Ratio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average number of days payable outstanding was 73 days in the first quarter of 2026 compared to 76 days in the first quarter of 2025, calculated using the accounts payable balance at quarter-end divided by the respective annualized first-quarter cost of products sold. The decrease in average number of days payable outstanding primarily reflected the impact of foreign currency translation, the timing of vendor payments and the impact of acquisitions.</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Capital Resources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Capital resources used to fund our operational needs include cash flows from operations, cash and cash equivalents and debt financing, including access to commercial paper borrowings supported by our $1.20 billion revolving credit facility (the “Revolver”).</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Revolver is used as a back-up facility for our commercial paper borrowings and can be used for other corporate purposes. No balance was outstanding under the Revolver as of March 31, 2026 or December 31, 2025.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As of March 31, 2026, we had cash and cash equivalents of $255.1 million held in accounts at third-party financial institutions. Our cash balances are held in numerous locations around the world. As of March 31, 2026, the majority of our cash and cash equivalents was held by our foreign subsidiaries, primarily in Asia Pacific.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To meet our U.S. cash requirements, we have several cost-effective liquidity options available. These options include borrowing funds at reasonable rates, including borrowings from foreign subsidiaries, and repatriating foreign earnings and profits. However, if we were to repatriate foreign earnings and profits, a portion would be subject to cash payments of withholding taxes imposed by foreign tax authorities. Additional U.S. taxes may also result from the impact of foreign currency fluctuations related to these earnings and profits. </w:t>
      </w:r>
    </w:p>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Capital from Debt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carrying value of our total debt increased by approximately $57 million in the first three months of 2026 to $3.79 billion, primarily reflecting higher commercial paper borrowings, partially offset by the revaluation of our euro-denominated debt.</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Credit ratings are a significant factor in our ability to raise short- and long-term financing. The credit ratings assigned to us also impact the interest rates we pay and our access to commercial paper, credit facilities and other borrowings. A downgrade of our short-term credit ratings could impact our ability to access commercial paper markets. If our access to commercial paper markets were to become limited, we believe that the Revolver and our other credit facilities would be available to meet our short-term funding requirements. When determining a credit rating, we believe that rating agencies primarily consider our competitive position, business outlook, consistency of cash flows, debt level and liquidity, geographic dispersion and management team. We remain committed to maintaining an investment grade rating. </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Off-Balance Sheet Arrangements, Contractual Obligations, and Other Matters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Refer to Note 10, “Commitments and Contingencies,” to the unaudited Condensed Consolidated Financial Statements for this information. Except as indicated therein, we have no material off-balance sheet arrangements as described in Item 303(b)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ITEM 3. QUANTITATIVE AND QUALITATIVE DISCLOSURES ABOUT MARKET RISK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There have been no material changes to the information provided in Part II, Item 7A of our Annual Report on Form 10-K for the fiscal year ended December 31, 2025 that have not been disclosed in our periodic filings with the SEC.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7"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25</w:t>
                      </w:r>
                    </w:p>
                  </w:txbxContent>
                </v:textbox>
                <w10:wrap type="none"/>
              </v:rect>
            </w:pict>
          </mc:Fallback>
        </mc:AlternateContent>
      </w:r>
    </w:p>
    <w:p>
      <w:pPr>
        <w:pStyle w:val="TextBody"/>
        <w:bidi w:val="0"/>
        <w:spacing w:lineRule="auto" w:line="276" w:before="0" w:after="0"/>
        <w:jc w:val="left"/>
        <w:rPr/>
      </w:pPr>
      <w:hyperlink w:anchor="ib3caf56900394eb1806ff7cd5a3e9df4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ITEM 4. CONTROLS AND PROCEDURES </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Evaluation of Disclosure Controls and Procedures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We maintain disclosure controls and procedures (as defined in Exchange Act Rules 13a-15(f)) that are designed to ensure that information required to be disclosed in our Exchange Act reports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the required disclosure.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 designing and evaluating the disclosure controls and procedures, we recognize that any controls and procedures, no matter how well designed and operated, can provide only reasonable assurance of achieving the desired control objectives, and management necessarily is required to apply its judgment in evaluating the cost-benefit relationship of possible controls and procedures.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Our disclosure controls system is based upon a global chain of financial and general business reporting lines that converge in our headquarters in Mentor, Ohio. As required by SEC Rule 13a-15(b), we carried out an evaluation, under the supervision and with the participation of our management, including our Chief Executive Officer and Chief Financial Officer, of the effectiveness of the design and operation of our disclosure controls and procedures as of the end of the quarter covered by this report. Based on the foregoing, our Chief Executive Officer and Chief Financial Officer have concluded that our disclosure controls and procedures were effective as of such time to provide reasonable assurance that information was recorded, processed, summarized and reported within the time periods specified in the SEC’s rules and forms, and that such information was accumulated and communicated to our management, including our Chief Executive Officer and Chief Financial Officer, as appropriate, to allow timely decisions regarding the required disclosure. </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Changes in Internal Control Over Financial Reporting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There were no changes in our internal control over financial reporting during the most recent fiscal quarter that have materially affected, or are reasonably likely to materially affect, our internal control over financial reporting. </w:t>
      </w:r>
    </w:p>
    <w:p>
      <w:pPr>
        <w:pStyle w:val="TextBody"/>
        <w:bidi w:val="0"/>
        <w:spacing w:before="240" w:after="283"/>
        <w:jc w:val="both"/>
        <w:rPr/>
      </w:pPr>
      <w:r>
        <w:rPr/>
      </w:r>
    </w:p>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28"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26</w:t>
                      </w:r>
                    </w:p>
                  </w:txbxContent>
                </v:textbox>
                <w10:wrap type="none"/>
              </v:rect>
            </w:pict>
          </mc:Fallback>
        </mc:AlternateContent>
      </w:r>
    </w:p>
    <w:p>
      <w:pPr>
        <w:pStyle w:val="TextBody"/>
        <w:bidi w:val="0"/>
        <w:spacing w:lineRule="auto" w:line="276" w:before="0" w:after="0"/>
        <w:jc w:val="left"/>
        <w:rPr/>
      </w:pPr>
      <w:hyperlink w:anchor="ib3caf56900394eb1806ff7cd5a3e9df4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 xml:space="preserve">PART II. 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ITEM 1. LEGAL PROCEEDINGS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Refer to “Legal Proceedings” in Note 10, “Commitments and Contingencies,” to the unaudited Condensed Consolidated Financial Statements in Part 1, Item 1 for this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ITEM 1A. RISK FACTORS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There have been no material changes to the risk factors included in Part I, Item 1A, of our Annual Report on Form 10-K for the fiscal year ended December 31, 2025 that have not been disclosed in our periodic filings with the SEC, except as set forth below. </w:t>
      </w:r>
    </w:p>
    <w:p>
      <w:pPr>
        <w:pStyle w:val="TextBody"/>
        <w:bidi w:val="0"/>
        <w:spacing w:lineRule="auto" w:line="288" w:before="240" w:after="283"/>
        <w:jc w:val="both"/>
        <w:rPr>
          <w:rFonts w:ascii="Times New Roman;serif" w:hAnsi="Times New Roman;serif"/>
          <w:b/>
          <w:color w:val="000000"/>
          <w:sz w:val="18"/>
        </w:rPr>
      </w:pPr>
      <w:r>
        <w:rPr>
          <w:rFonts w:ascii="Times New Roman;serif" w:hAnsi="Times New Roman;serif"/>
          <w:b/>
          <w:color w:val="000000"/>
          <w:sz w:val="18"/>
        </w:rPr>
        <w:t>The demand for our products is impacted by the effects of, and changes in, worldwide economic, geopolitical, social and labor conditions, which have had in the past and could in the future have a material adverse effect on our business.</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We have operations in more than 50 countries and our domestic and international operations are strongly influenced by matters beyond our control, including changes in economic, geopolitical, social and labor conditions, tax laws, and U.S. and international trade regulations (including tariffs), as well as the impact these changes have on demand for our products. In 2025, approximately 69% of our net sales originated outside the U.S.</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Macroeconomic developments such as impacts from slower growth in the geographic regions in which we operate; inflation resulting from, among other things, increased raw material, energy and freight costs; labor shortages; geopolitical, social, supply chain and other disruptions; epidemics, pandemics or other outbreaks of illness, disease or virus; and uncertainty in global credit or financial markets could result in a material adverse effect on our business as a result of, among other things, lower consumer spending, fluctuations in foreign currency exchange rates, reduced asset valuations, diminished liquidity and credit availability, volatility in securities prices, and credit rating downgrades.</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Trade-related uncertainty remains elevated between the U.S. and other regions and countries, including Canada, Mexico, China, India and the European Union. In 2025, the U.S. implemented a 10% global baseline tariff rate on nearly all imports, with higher rates on certain goods. Additionally, it applied significant tariffs on goods from Canada, Mexico, China and the European Union, each of which announced reciprocal tariffs. The amount of these tariffs or the classes of goods on which they are applied continues to evolve and could significantly change. The U.S. government continues to negotiate with countries regarding the tariffs. In July 2025, the U.S. and the European Union agreed to a framework for a trade deal that included a baseline tariff rate of 15% on most goods imported from the European Union into the U.S. While the direct impacts on our operations after our mitigating actions have not been significant, our business could be materially adversely impacted by changes in U.S. and non-U.S. trade policies, including potential modifications to existing trade agreements and additional tariffs or other restrictions on free trade, impacting our raw materials or finished products. The indirect impact on demand for our products and solutions as a result of these events, which have resulted in softer consumer volumes, continues to be uncertain and elevated. We estimate that the indirect impact of tariffs resulted in an aggregate low single digit rate decrease in sales in our overall apparel categories over the second, third and fourth quarters of 2025. On February 20, 2026, the U.S. Supreme Court issued a decision holding that the International Emergency Economic Powers Act does not authorize the President to impose tariffs. While this may provide immediate relief from these specific duties, there will likely be a period of trade policy instability. Further developments in international trade relations, including increased deglobalization, could have a material adverse effect on our business.</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In addition, business and operational disruptions or delays caused by geopolitical, social or economic instability and unrest – such as recent civil, political and economic disturbances in Syria, Yemen, Iran, Turkey, North Korea, and Bangladesh and the related impact on global stability, recent conflicts involving the U.S., Israel and Iran and related hostilities in the Middle East, the Russia-Ukraine war, the Israel-Hamas war, the U.S.'s engagement in Venezuela, terrorist attacks and the potential for other hostilities or natural disasters in various parts of the world – could have a material adverse effect on our business. Since the Russia-Ukraine war began in 2022, we have maintained our position of not shipping products to the Russian market. The impact of the continuing war, as well as any further retaliatory actions taken by Russia, the U.S., the European Union and other jurisdictions, is unknown and could have a material adverse effect on our business. In addition, our sales in Israel have not recovered since the beginning of the Israel-Hamas war in late 2023, with sales representing less than 1% of our total net sales in 2025. The recent conflicts involving the U.S., Israel and Iran have affected our operations in the Middle East, a region that represented approximately 2% of our net sales in 2025. The continued impact of these conflicts and any related hostilities in the Middle East region or elsewhere is unknown and could have a material adverse effect on our business.</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We are not able to predict the duration and severity of adverse economic, geopolitical, social, or labor conditions in the U.S. or other countries.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29"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27</w:t>
                      </w:r>
                    </w:p>
                  </w:txbxContent>
                </v:textbox>
                <w10:wrap type="none"/>
              </v:rect>
            </w:pict>
          </mc:Fallback>
        </mc:AlternateContent>
      </w:r>
    </w:p>
    <w:p>
      <w:pPr>
        <w:pStyle w:val="TextBody"/>
        <w:bidi w:val="0"/>
        <w:spacing w:lineRule="auto" w:line="276" w:before="0" w:after="0"/>
        <w:jc w:val="left"/>
        <w:rPr/>
      </w:pPr>
      <w:hyperlink w:anchor="ib3caf56900394eb1806ff7cd5a3e9df4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ITEM 2. UNREGISTERED SALES OF EQUITY SECURITIES AND USE OF PROCEEDS</w:t>
      </w:r>
    </w:p>
    <w:p>
      <w:pPr>
        <w:pStyle w:val="TextBody"/>
        <w:bidi w:val="0"/>
        <w:spacing w:lineRule="auto" w:line="288" w:before="240" w:after="283"/>
        <w:jc w:val="left"/>
        <w:rPr/>
      </w:pPr>
      <w:r>
        <w:rPr>
          <w:rFonts w:ascii="Times New Roman;serif" w:hAnsi="Times New Roman;serif"/>
          <w:b w:val="false"/>
          <w:color w:val="000000"/>
          <w:sz w:val="18"/>
        </w:rPr>
        <w:t>(a)</w:t>
      </w:r>
      <w:r>
        <w:rPr>
          <w:rFonts w:ascii="Times New Roman;serif" w:hAnsi="Times New Roman;serif"/>
          <w:b w:val="false"/>
          <w:color w:val="000000"/>
          <w:sz w:val="18"/>
        </w:rPr>
        <w:t xml:space="preserve">Not Applicable </w:t>
      </w:r>
    </w:p>
    <w:p>
      <w:pPr>
        <w:pStyle w:val="TextBody"/>
        <w:bidi w:val="0"/>
        <w:spacing w:lineRule="auto" w:line="288" w:before="240" w:after="283"/>
        <w:jc w:val="left"/>
        <w:rPr/>
      </w:pPr>
      <w:r>
        <w:rPr>
          <w:rFonts w:ascii="Times New Roman;serif" w:hAnsi="Times New Roman;serif"/>
          <w:b w:val="false"/>
          <w:color w:val="000000"/>
          <w:sz w:val="18"/>
        </w:rPr>
        <w:t>(b)</w:t>
      </w:r>
      <w:r>
        <w:rPr>
          <w:rFonts w:ascii="Times New Roman;serif" w:hAnsi="Times New Roman;serif"/>
          <w:b w:val="false"/>
          <w:color w:val="000000"/>
          <w:sz w:val="18"/>
        </w:rPr>
        <w:t xml:space="preserve">Not Applicable </w:t>
      </w:r>
    </w:p>
    <w:p>
      <w:pPr>
        <w:pStyle w:val="TextBody"/>
        <w:bidi w:val="0"/>
        <w:spacing w:lineRule="auto" w:line="288" w:before="240" w:after="283"/>
        <w:jc w:val="left"/>
        <w:rPr/>
      </w:pPr>
      <w:r>
        <w:rPr>
          <w:rFonts w:ascii="Times New Roman;serif" w:hAnsi="Times New Roman;serif"/>
          <w:b w:val="false"/>
          <w:color w:val="000000"/>
          <w:sz w:val="18"/>
        </w:rPr>
        <w:t>(c)</w:t>
      </w:r>
      <w:r>
        <w:rPr>
          <w:rFonts w:ascii="Times New Roman;serif" w:hAnsi="Times New Roman;serif"/>
          <w:b w:val="false"/>
          <w:color w:val="000000"/>
          <w:sz w:val="18"/>
        </w:rPr>
        <w:t xml:space="preserve">Repurchases of Equity Securities by Issuer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Repurchases by us or our “affiliated purchasers” (as defined in Rule 10b-18(a)(3) of the Securities Exchange Act of 1934, as amended) of registered equity securities in the first quarter of 2026 are shown in the table below. Repurchased shares may be reissued under our long-term incentive plan or used for other corporate purposes. </w:t>
      </w:r>
    </w:p>
    <w:tbl>
      <w:tblPr>
        <w:tblW w:w="9366" w:type="dxa"/>
        <w:jc w:val="center"/>
        <w:tblInd w:w="0" w:type="dxa"/>
        <w:tblLayout w:type="fixed"/>
        <w:tblCellMar>
          <w:top w:w="28" w:type="dxa"/>
          <w:left w:w="28" w:type="dxa"/>
          <w:bottom w:w="28" w:type="dxa"/>
          <w:right w:w="28" w:type="dxa"/>
        </w:tblCellMar>
      </w:tblPr>
      <w:tblGrid>
        <w:gridCol w:w="276"/>
        <w:gridCol w:w="243"/>
        <w:gridCol w:w="247"/>
        <w:gridCol w:w="534"/>
        <w:gridCol w:w="534"/>
        <w:gridCol w:w="536"/>
        <w:gridCol w:w="109"/>
        <w:gridCol w:w="109"/>
        <w:gridCol w:w="109"/>
        <w:gridCol w:w="318"/>
        <w:gridCol w:w="1050"/>
        <w:gridCol w:w="177"/>
        <w:gridCol w:w="109"/>
        <w:gridCol w:w="109"/>
        <w:gridCol w:w="109"/>
        <w:gridCol w:w="814"/>
        <w:gridCol w:w="814"/>
        <w:gridCol w:w="817"/>
        <w:gridCol w:w="109"/>
        <w:gridCol w:w="109"/>
        <w:gridCol w:w="109"/>
        <w:gridCol w:w="437"/>
        <w:gridCol w:w="1242"/>
        <w:gridCol w:w="346"/>
      </w:tblGrid>
      <w:tr>
        <w:trPr/>
        <w:tc>
          <w:tcPr>
            <w:tcW w:w="2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Period</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 xml:space="preserve">Total number of </w:t>
            </w:r>
          </w:p>
          <w:p>
            <w:pPr>
              <w:pStyle w:val="TableContents"/>
              <w:bidi w:val="0"/>
              <w:spacing w:lineRule="auto" w:line="240" w:before="0" w:after="0"/>
              <w:jc w:val="right"/>
              <w:rPr/>
            </w:pPr>
            <w:r>
              <w:rPr>
                <w:rFonts w:ascii="Times New Roman;serif" w:hAnsi="Times New Roman;serif"/>
                <w:b/>
                <w:color w:val="000000"/>
                <w:sz w:val="18"/>
              </w:rPr>
              <w:t>shares purchased</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Average price paid</w:t>
            </w:r>
          </w:p>
          <w:p>
            <w:pPr>
              <w:pStyle w:val="TableContents"/>
              <w:bidi w:val="0"/>
              <w:spacing w:lineRule="auto" w:line="240" w:before="0" w:after="0"/>
              <w:jc w:val="right"/>
              <w:rPr/>
            </w:pPr>
            <w:r>
              <w:rPr>
                <w:rFonts w:ascii="Times New Roman;serif" w:hAnsi="Times New Roman;serif"/>
                <w:b/>
                <w:color w:val="000000"/>
                <w:sz w:val="18"/>
              </w:rPr>
              <w:t>per share</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Total number of shares</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purchased as part of</w:t>
            </w:r>
          </w:p>
          <w:p>
            <w:pPr>
              <w:pStyle w:val="TableContents"/>
              <w:bidi w:val="0"/>
              <w:spacing w:lineRule="auto" w:line="240" w:before="0" w:after="0"/>
              <w:jc w:val="right"/>
              <w:rPr/>
            </w:pPr>
            <w:r>
              <w:rPr>
                <w:rFonts w:ascii="Times New Roman;serif" w:hAnsi="Times New Roman;serif"/>
                <w:b/>
                <w:color w:val="000000"/>
                <w:sz w:val="18"/>
              </w:rPr>
              <w:t>publicly announced plans</w:t>
            </w:r>
            <w:r>
              <w:rPr>
                <w:rFonts w:ascii="Times New Roman;serif" w:hAnsi="Times New Roman;serif"/>
                <w:b/>
                <w:color w:val="000000"/>
                <w:sz w:val="12"/>
              </w:rPr>
              <w:t>(1)(3)</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Approximate dollar</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value of shares that may</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yet be purchased under</w:t>
            </w:r>
          </w:p>
          <w:p>
            <w:pPr>
              <w:pStyle w:val="TableContents"/>
              <w:bidi w:val="0"/>
              <w:spacing w:lineRule="auto" w:line="240" w:before="0" w:after="0"/>
              <w:jc w:val="right"/>
              <w:rPr/>
            </w:pPr>
            <w:r>
              <w:rPr>
                <w:rFonts w:ascii="Times New Roman;serif" w:hAnsi="Times New Roman;serif"/>
                <w:b/>
                <w:color w:val="000000"/>
                <w:sz w:val="18"/>
              </w:rPr>
              <w:t>the plans</w:t>
            </w:r>
            <w:r>
              <w:rPr>
                <w:rFonts w:ascii="Times New Roman;serif" w:hAnsi="Times New Roman;serif"/>
                <w:b/>
                <w:color w:val="000000"/>
                <w:sz w:val="12"/>
              </w:rPr>
              <w:t>(3)(4)</w:t>
            </w:r>
          </w:p>
        </w:tc>
      </w:tr>
      <w:tr>
        <w:trPr/>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January</w:t>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182.34 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523.6 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February</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515.0 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286.2 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172.30 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286.2 </w:t>
            </w:r>
          </w:p>
        </w:tc>
        <w:tc>
          <w:tcPr>
            <w:tcW w:w="8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465.7 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68"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345.6 </w:t>
            </w:r>
          </w:p>
        </w:tc>
        <w:tc>
          <w:tcPr>
            <w:tcW w:w="5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175.42 </w:t>
            </w:r>
          </w:p>
        </w:tc>
        <w:tc>
          <w:tcPr>
            <w:tcW w:w="17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345.6 </w:t>
            </w:r>
          </w:p>
        </w:tc>
        <w:tc>
          <w:tcPr>
            <w:tcW w:w="81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465.7 </w:t>
            </w:r>
          </w:p>
        </w:tc>
        <w:tc>
          <w:tcPr>
            <w:tcW w:w="3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erif" w:hAnsi="Times New Roman;serif"/>
          <w:b w:val="false"/>
          <w:color w:val="000000"/>
          <w:sz w:val="9"/>
        </w:rPr>
        <w:t xml:space="preserve">(1) </w:t>
      </w:r>
      <w:r>
        <w:rPr>
          <w:rFonts w:ascii="Times New Roman;serif" w:hAnsi="Times New Roman;serif"/>
          <w:b w:val="false"/>
          <w:color w:val="000000"/>
          <w:sz w:val="14"/>
        </w:rPr>
        <w:t xml:space="preserve">Shares in thousands. </w:t>
      </w:r>
    </w:p>
    <w:p>
      <w:pPr>
        <w:pStyle w:val="TextBody"/>
        <w:bidi w:val="0"/>
        <w:spacing w:lineRule="auto" w:line="288" w:before="0" w:after="0"/>
        <w:ind w:left="0" w:right="0" w:hanging="90"/>
        <w:jc w:val="both"/>
        <w:rPr/>
      </w:pPr>
      <w:r>
        <w:rPr>
          <w:rFonts w:ascii="Times New Roman;serif" w:hAnsi="Times New Roman;serif"/>
          <w:b w:val="false"/>
          <w:color w:val="000000"/>
          <w:sz w:val="9"/>
        </w:rPr>
        <w:t xml:space="preserve">(2) </w:t>
      </w:r>
      <w:r>
        <w:rPr>
          <w:rFonts w:ascii="Times New Roman;serif" w:hAnsi="Times New Roman;serif"/>
          <w:b w:val="false"/>
          <w:color w:val="000000"/>
          <w:sz w:val="14"/>
        </w:rPr>
        <w:t xml:space="preserve">Average price paid per share includes transaction costs to acquire the shares and excludes the non-deductible 1% excise tax on the net value of repurchases imposed under the Inflation Reduction Act of 2022. </w:t>
      </w:r>
    </w:p>
    <w:p>
      <w:pPr>
        <w:pStyle w:val="TextBody"/>
        <w:bidi w:val="0"/>
        <w:spacing w:lineRule="auto" w:line="276" w:before="0" w:after="0"/>
        <w:ind w:left="0" w:right="0" w:hanging="90"/>
        <w:jc w:val="both"/>
        <w:rPr/>
      </w:pPr>
      <w:r>
        <w:rPr>
          <w:rFonts w:ascii="Times New Roman;serif" w:hAnsi="Times New Roman;serif"/>
          <w:b w:val="false"/>
          <w:color w:val="000000"/>
          <w:sz w:val="9"/>
        </w:rPr>
        <w:t xml:space="preserve">(3) </w:t>
      </w:r>
      <w:r>
        <w:rPr>
          <w:rFonts w:ascii="Times New Roman;serif" w:hAnsi="Times New Roman;serif"/>
          <w:b w:val="false"/>
          <w:color w:val="000000"/>
          <w:sz w:val="14"/>
        </w:rPr>
        <w:t>In April 2025, our Board authorized the repurchase of shares of our common stock with a fair market value of up to $750.0 million, excluding any fees, commissions or other expenses related to such purchases and in addition to the amount outstanding under our previous Board authorization. Board authorizations remain in effect until shares in the amount authorized thereunder have been repurchased.</w:t>
      </w:r>
    </w:p>
    <w:p>
      <w:pPr>
        <w:pStyle w:val="TextBody"/>
        <w:bidi w:val="0"/>
        <w:spacing w:lineRule="auto" w:line="288" w:before="0" w:after="0"/>
        <w:ind w:left="0" w:right="0" w:hanging="180"/>
        <w:jc w:val="left"/>
        <w:rPr/>
      </w:pPr>
      <w:r>
        <w:rPr>
          <w:rFonts w:ascii="Times New Roman;serif" w:hAnsi="Times New Roman;serif"/>
          <w:b w:val="false"/>
          <w:color w:val="000000"/>
          <w:sz w:val="9"/>
        </w:rPr>
        <w:t xml:space="preserve">(4) </w:t>
      </w:r>
      <w:r>
        <w:rPr>
          <w:rFonts w:ascii="Times New Roman;serif" w:hAnsi="Times New Roman;serif"/>
          <w:b w:val="false"/>
          <w:color w:val="000000"/>
          <w:sz w:val="14"/>
        </w:rPr>
        <w:t>Dollars in millions.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ITEM 3. DEFAULTS UPON SENIOR SECURITIES </w:t>
      </w:r>
    </w:p>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ITEM 4. MINE SAFETY DISCLOSURES </w:t>
      </w:r>
    </w:p>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ITEM 5. OTHER INFORMATION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There were no Rule 10b5-1 trading arrangements or non-Rule 10b5-1 trading arrangements (as defined in Item 408(c) of Regulation S-K) adopted or terminated by any of our directors or executive officers during the first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0"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28</w:t>
                      </w:r>
                    </w:p>
                  </w:txbxContent>
                </v:textbox>
                <w10:wrap type="none"/>
              </v:rect>
            </w:pict>
          </mc:Fallback>
        </mc:AlternateContent>
      </w:r>
    </w:p>
    <w:p>
      <w:pPr>
        <w:pStyle w:val="TextBody"/>
        <w:bidi w:val="0"/>
        <w:spacing w:lineRule="auto" w:line="276" w:before="0" w:after="0"/>
        <w:jc w:val="left"/>
        <w:rPr/>
      </w:pPr>
      <w:hyperlink w:anchor="ib3caf56900394eb1806ff7cd5a3e9df4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ITEM 6. EXHIBITS </w:t>
      </w:r>
    </w:p>
    <w:tbl>
      <w:tblPr>
        <w:tblW w:w="10205" w:type="dxa"/>
        <w:jc w:val="left"/>
        <w:tblInd w:w="0" w:type="dxa"/>
        <w:tblLayout w:type="fixed"/>
        <w:tblCellMar>
          <w:top w:w="28" w:type="dxa"/>
          <w:left w:w="28" w:type="dxa"/>
          <w:bottom w:w="28" w:type="dxa"/>
          <w:right w:w="28" w:type="dxa"/>
        </w:tblCellMar>
      </w:tblPr>
      <w:tblGrid>
        <w:gridCol w:w="391"/>
        <w:gridCol w:w="345"/>
        <w:gridCol w:w="346"/>
        <w:gridCol w:w="2718"/>
        <w:gridCol w:w="2645"/>
        <w:gridCol w:w="3760"/>
      </w:tblGrid>
      <w:tr>
        <w:trPr/>
        <w:tc>
          <w:tcPr>
            <w:tcW w:w="39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3760" w:type="dxa"/>
            <w:tcBorders/>
            <w:vAlign w:val="center"/>
          </w:tcPr>
          <w:p>
            <w:pPr>
              <w:pStyle w:val="TableContents"/>
              <w:bidi w:val="0"/>
              <w:spacing w:before="0" w:after="283"/>
              <w:jc w:val="left"/>
              <w:rPr>
                <w:sz w:val="4"/>
                <w:szCs w:val="4"/>
              </w:rPr>
            </w:pPr>
            <w:r>
              <w:rPr>
                <w:sz w:val="4"/>
                <w:szCs w:val="4"/>
              </w:rPr>
            </w:r>
          </w:p>
        </w:tc>
      </w:tr>
      <w:tr>
        <w:trPr/>
        <w:tc>
          <w:tcPr>
            <w:tcW w:w="1082"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Exhibit 3.1</w:t>
            </w:r>
          </w:p>
        </w:tc>
        <w:tc>
          <w:tcPr>
            <w:tcW w:w="9123"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2">
              <w:r>
                <w:rPr>
                  <w:rStyle w:val="InternetLink"/>
                  <w:rFonts w:ascii="Times New Roman;serif" w:hAnsi="Times New Roman;serif"/>
                  <w:b w:val="false"/>
                  <w:color w:val="0000FF"/>
                  <w:sz w:val="18"/>
                  <w:u w:val="single"/>
                </w:rPr>
                <w:t>Amended and Restated Certificate of Incorporation, as filed on April 28, 2011 with the Office of Delaware Secretary of State (incorporated by reference to Exhibit 3.1 of the Company’s Current Report on Form 8-K filed on April 29, 2011)</w:t>
              </w:r>
            </w:hyperlink>
          </w:p>
        </w:tc>
      </w:tr>
      <w:tr>
        <w:trPr/>
        <w:tc>
          <w:tcPr>
            <w:tcW w:w="1082"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Exhibit 3.2</w:t>
            </w:r>
          </w:p>
        </w:tc>
        <w:tc>
          <w:tcPr>
            <w:tcW w:w="9123"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3">
              <w:r>
                <w:rPr>
                  <w:rStyle w:val="InternetLink"/>
                  <w:rFonts w:ascii="Times New Roman;serif" w:hAnsi="Times New Roman;serif"/>
                  <w:b w:val="false"/>
                  <w:color w:val="0000FF"/>
                  <w:sz w:val="18"/>
                  <w:u w:val="single"/>
                </w:rPr>
                <w:t>Certificate of Amendment to Amended and Restated Certificate of Incorporation of Avery Dennison Corporation, effective as of April 25, 2024 (incorporated by reference to Exhibit 3.1 to the Company’s Current Report on Form 8-K filed on April 26, 2024)</w:t>
              </w:r>
            </w:hyperlink>
          </w:p>
        </w:tc>
      </w:tr>
      <w:tr>
        <w:trPr/>
        <w:tc>
          <w:tcPr>
            <w:tcW w:w="1082"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Exhibit 3.3</w:t>
            </w:r>
          </w:p>
        </w:tc>
        <w:tc>
          <w:tcPr>
            <w:tcW w:w="9123"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4">
              <w:r>
                <w:rPr>
                  <w:rStyle w:val="InternetLink"/>
                  <w:rFonts w:ascii="Times New Roman;serif" w:hAnsi="Times New Roman;serif"/>
                  <w:b w:val="false"/>
                  <w:color w:val="000080"/>
                  <w:sz w:val="18"/>
                  <w:u w:val="single"/>
                </w:rPr>
                <w:t xml:space="preserve">Amended and Restated Bylaws of Avery Dennison Corporation, effective as of </w:t>
              </w:r>
            </w:hyperlink>
            <w:hyperlink r:id="rId5">
              <w:r>
                <w:rPr>
                  <w:rStyle w:val="InternetLink"/>
                  <w:rFonts w:ascii="Times New Roman;serif" w:hAnsi="Times New Roman;serif"/>
                  <w:b w:val="false"/>
                  <w:color w:val="000080"/>
                  <w:sz w:val="18"/>
                  <w:u w:val="single"/>
                </w:rPr>
                <w:t>February</w:t>
              </w:r>
            </w:hyperlink>
            <w:hyperlink r:id="rId6">
              <w:r>
                <w:rPr>
                  <w:rStyle w:val="InternetLink"/>
                  <w:rFonts w:ascii="Times New Roman;serif" w:hAnsi="Times New Roman;serif"/>
                  <w:b w:val="false"/>
                  <w:color w:val="000080"/>
                  <w:sz w:val="18"/>
                  <w:u w:val="single"/>
                </w:rPr>
                <w:t xml:space="preserve"> </w:t>
              </w:r>
            </w:hyperlink>
            <w:hyperlink r:id="rId7">
              <w:r>
                <w:rPr>
                  <w:rStyle w:val="InternetLink"/>
                  <w:rFonts w:ascii="Times New Roman;serif" w:hAnsi="Times New Roman;serif"/>
                  <w:b w:val="false"/>
                  <w:color w:val="000080"/>
                  <w:sz w:val="18"/>
                  <w:u w:val="single"/>
                </w:rPr>
                <w:t>26</w:t>
              </w:r>
            </w:hyperlink>
            <w:hyperlink r:id="rId8">
              <w:r>
                <w:rPr>
                  <w:rStyle w:val="InternetLink"/>
                  <w:rFonts w:ascii="Times New Roman;serif" w:hAnsi="Times New Roman;serif"/>
                  <w:b w:val="false"/>
                  <w:color w:val="000080"/>
                  <w:sz w:val="18"/>
                  <w:u w:val="single"/>
                </w:rPr>
                <w:t>, 20</w:t>
              </w:r>
            </w:hyperlink>
            <w:hyperlink r:id="rId9">
              <w:r>
                <w:rPr>
                  <w:rStyle w:val="InternetLink"/>
                  <w:rFonts w:ascii="Times New Roman;serif" w:hAnsi="Times New Roman;serif"/>
                  <w:b w:val="false"/>
                  <w:color w:val="000080"/>
                  <w:sz w:val="18"/>
                  <w:u w:val="single"/>
                </w:rPr>
                <w:t>26</w:t>
              </w:r>
            </w:hyperlink>
            <w:hyperlink r:id="rId10">
              <w:r>
                <w:rPr>
                  <w:rStyle w:val="InternetLink"/>
                  <w:rFonts w:ascii="Times New Roman;serif" w:hAnsi="Times New Roman;serif"/>
                  <w:b w:val="false"/>
                  <w:color w:val="000080"/>
                  <w:sz w:val="18"/>
                  <w:u w:val="single"/>
                </w:rPr>
                <w:t xml:space="preserve"> (incorporated by reference to Exhibit 3.</w:t>
              </w:r>
            </w:hyperlink>
            <w:hyperlink r:id="rId11">
              <w:r>
                <w:rPr>
                  <w:rStyle w:val="InternetLink"/>
                  <w:rFonts w:ascii="Times New Roman;serif" w:hAnsi="Times New Roman;serif"/>
                  <w:b w:val="false"/>
                  <w:color w:val="000080"/>
                  <w:sz w:val="18"/>
                  <w:u w:val="single"/>
                </w:rPr>
                <w:t>1</w:t>
              </w:r>
            </w:hyperlink>
            <w:hyperlink r:id="rId12">
              <w:r>
                <w:rPr>
                  <w:rStyle w:val="InternetLink"/>
                  <w:rFonts w:ascii="Times New Roman;serif" w:hAnsi="Times New Roman;serif"/>
                  <w:b w:val="false"/>
                  <w:color w:val="000080"/>
                  <w:sz w:val="18"/>
                  <w:u w:val="single"/>
                </w:rPr>
                <w:t xml:space="preserve"> to the Company’s Current Report on Form 8-K filed on </w:t>
              </w:r>
            </w:hyperlink>
            <w:hyperlink r:id="rId13">
              <w:r>
                <w:rPr>
                  <w:rStyle w:val="InternetLink"/>
                  <w:rFonts w:ascii="Times New Roman;serif" w:hAnsi="Times New Roman;serif"/>
                  <w:b w:val="false"/>
                  <w:color w:val="000080"/>
                  <w:sz w:val="18"/>
                  <w:u w:val="single"/>
                </w:rPr>
                <w:t>February</w:t>
              </w:r>
            </w:hyperlink>
            <w:hyperlink r:id="rId14">
              <w:r>
                <w:rPr>
                  <w:rStyle w:val="InternetLink"/>
                  <w:rFonts w:ascii="Times New Roman;serif" w:hAnsi="Times New Roman;serif"/>
                  <w:b w:val="false"/>
                  <w:color w:val="000080"/>
                  <w:sz w:val="18"/>
                  <w:u w:val="single"/>
                </w:rPr>
                <w:t xml:space="preserve"> 26, 20</w:t>
              </w:r>
            </w:hyperlink>
            <w:hyperlink r:id="rId15">
              <w:r>
                <w:rPr>
                  <w:rStyle w:val="InternetLink"/>
                  <w:rFonts w:ascii="Times New Roman;serif" w:hAnsi="Times New Roman;serif"/>
                  <w:b w:val="false"/>
                  <w:color w:val="000080"/>
                  <w:sz w:val="18"/>
                  <w:u w:val="single"/>
                </w:rPr>
                <w:t>26</w:t>
              </w:r>
            </w:hyperlink>
            <w:hyperlink r:id="rId16">
              <w:r>
                <w:rPr>
                  <w:rStyle w:val="InternetLink"/>
                  <w:rFonts w:ascii="Times New Roman;serif" w:hAnsi="Times New Roman;serif"/>
                  <w:b w:val="false"/>
                  <w:color w:val="000080"/>
                  <w:sz w:val="18"/>
                  <w:u w:val="single"/>
                </w:rPr>
                <w:t>)</w:t>
              </w:r>
            </w:hyperlink>
          </w:p>
        </w:tc>
      </w:tr>
      <w:tr>
        <w:trPr/>
        <w:tc>
          <w:tcPr>
            <w:tcW w:w="1082"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Exhibit 10.1†*</w:t>
            </w:r>
          </w:p>
        </w:tc>
        <w:tc>
          <w:tcPr>
            <w:tcW w:w="9123"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avy-202654x10qex101.htm">
              <w:r>
                <w:rPr>
                  <w:rStyle w:val="InternetLink"/>
                  <w:rFonts w:ascii="Times New Roman;serif" w:hAnsi="Times New Roman;serif"/>
                  <w:b w:val="false"/>
                  <w:color w:val="000080"/>
                  <w:sz w:val="18"/>
                  <w:u w:val="single"/>
                </w:rPr>
                <w:t xml:space="preserve">Second Amendment to the </w:t>
              </w:r>
            </w:hyperlink>
            <w:hyperlink w:anchor="avy-202654x10qex101.htm">
              <w:r>
                <w:rPr>
                  <w:rStyle w:val="InternetLink"/>
                  <w:rFonts w:ascii="Times New Roman;serif" w:hAnsi="Times New Roman;serif"/>
                  <w:b w:val="false"/>
                  <w:color w:val="000080"/>
                  <w:sz w:val="18"/>
                  <w:u w:val="single"/>
                </w:rPr>
                <w:t>201</w:t>
              </w:r>
            </w:hyperlink>
            <w:hyperlink w:anchor="avy-202654x10qex101.htm">
              <w:r>
                <w:rPr>
                  <w:rStyle w:val="InternetLink"/>
                  <w:rFonts w:ascii="Times New Roman;serif" w:hAnsi="Times New Roman;serif"/>
                  <w:b w:val="false"/>
                  <w:color w:val="000080"/>
                  <w:sz w:val="18"/>
                  <w:u w:val="single"/>
                </w:rPr>
                <w:t>7 In</w:t>
              </w:r>
            </w:hyperlink>
            <w:hyperlink w:anchor="avy-202654x10qex101.htm">
              <w:r>
                <w:rPr>
                  <w:rStyle w:val="InternetLink"/>
                  <w:rFonts w:ascii="Times New Roman;serif" w:hAnsi="Times New Roman;serif"/>
                  <w:b w:val="false"/>
                  <w:color w:val="000080"/>
                  <w:sz w:val="18"/>
                  <w:u w:val="single"/>
                </w:rPr>
                <w:t>centive Award Plan</w:t>
              </w:r>
            </w:hyperlink>
          </w:p>
        </w:tc>
      </w:tr>
      <w:tr>
        <w:trPr/>
        <w:tc>
          <w:tcPr>
            <w:tcW w:w="1082"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Exhibit 10.2†*</w:t>
            </w:r>
          </w:p>
        </w:tc>
        <w:tc>
          <w:tcPr>
            <w:tcW w:w="9123"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avy-202654x10qex102.htm">
              <w:r>
                <w:rPr>
                  <w:rStyle w:val="InternetLink"/>
                  <w:rFonts w:ascii="Times New Roman;serif" w:hAnsi="Times New Roman;serif"/>
                  <w:b w:val="false"/>
                  <w:color w:val="000080"/>
                  <w:sz w:val="18"/>
                  <w:u w:val="single"/>
                </w:rPr>
                <w:t xml:space="preserve">Promotion </w:t>
              </w:r>
            </w:hyperlink>
            <w:hyperlink w:anchor="avy-202654x10qex102.htm">
              <w:r>
                <w:rPr>
                  <w:rStyle w:val="InternetLink"/>
                  <w:rFonts w:ascii="Times New Roman;serif" w:hAnsi="Times New Roman;serif"/>
                  <w:b w:val="false"/>
                  <w:color w:val="000080"/>
                  <w:sz w:val="18"/>
                  <w:u w:val="single"/>
                </w:rPr>
                <w:t>l</w:t>
              </w:r>
            </w:hyperlink>
            <w:hyperlink w:anchor="avy-202654x10qex102.htm">
              <w:r>
                <w:rPr>
                  <w:rStyle w:val="InternetLink"/>
                  <w:rFonts w:ascii="Times New Roman;serif" w:hAnsi="Times New Roman;serif"/>
                  <w:b w:val="false"/>
                  <w:color w:val="000080"/>
                  <w:sz w:val="18"/>
                  <w:u w:val="single"/>
                </w:rPr>
                <w:t>etter to Divina Santiago, dated March 9, 2026</w:t>
              </w:r>
            </w:hyperlink>
          </w:p>
        </w:tc>
      </w:tr>
      <w:tr>
        <w:trPr/>
        <w:tc>
          <w:tcPr>
            <w:tcW w:w="108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Exhibit 31.1*</w:t>
            </w:r>
          </w:p>
        </w:tc>
        <w:tc>
          <w:tcPr>
            <w:tcW w:w="9123"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avy-202654x10qex311.htm">
              <w:r>
                <w:rPr>
                  <w:rStyle w:val="InternetLink"/>
                  <w:rFonts w:ascii="Times New Roman;serif" w:hAnsi="Times New Roman;serif"/>
                  <w:b w:val="false"/>
                  <w:color w:val="0000FF"/>
                  <w:sz w:val="18"/>
                  <w:u w:val="single"/>
                </w:rPr>
                <w:t>Certification of Chief Executive Officer pursuant to Section 302 of the Sarbanes-Oxley Act of 2002</w:t>
              </w:r>
            </w:hyperlink>
          </w:p>
        </w:tc>
      </w:tr>
      <w:tr>
        <w:trPr/>
        <w:tc>
          <w:tcPr>
            <w:tcW w:w="108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Exhibit 31.2*</w:t>
            </w:r>
          </w:p>
        </w:tc>
        <w:tc>
          <w:tcPr>
            <w:tcW w:w="9123"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avy-202654x10qex312.htm">
              <w:r>
                <w:rPr>
                  <w:rStyle w:val="InternetLink"/>
                  <w:rFonts w:ascii="Times New Roman;serif" w:hAnsi="Times New Roman;serif"/>
                  <w:b w:val="false"/>
                  <w:color w:val="0000FF"/>
                  <w:sz w:val="18"/>
                  <w:u w:val="single"/>
                </w:rPr>
                <w:t>Certification of Chief Financial Officer pursuant to Section 302 of the Sarbanes-Oxley Act of 2002</w:t>
              </w:r>
            </w:hyperlink>
          </w:p>
        </w:tc>
      </w:tr>
      <w:tr>
        <w:trPr/>
        <w:tc>
          <w:tcPr>
            <w:tcW w:w="108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Exhibit 32.1**</w:t>
            </w:r>
          </w:p>
        </w:tc>
        <w:tc>
          <w:tcPr>
            <w:tcW w:w="9123"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avy-202654x10qex321.htm">
              <w:r>
                <w:rPr>
                  <w:rStyle w:val="InternetLink"/>
                  <w:rFonts w:ascii="Times New Roman;serif" w:hAnsi="Times New Roman;serif"/>
                  <w:b w:val="false"/>
                  <w:color w:val="0000FF"/>
                  <w:sz w:val="18"/>
                  <w:u w:val="single"/>
                </w:rPr>
                <w:t>Certification of Chief Executive Officer pursuant to Section 906 of the Sarbanes-Oxley Act of 2002</w:t>
              </w:r>
            </w:hyperlink>
          </w:p>
        </w:tc>
      </w:tr>
      <w:tr>
        <w:trPr/>
        <w:tc>
          <w:tcPr>
            <w:tcW w:w="108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Exhibit 32.2**</w:t>
            </w:r>
          </w:p>
        </w:tc>
        <w:tc>
          <w:tcPr>
            <w:tcW w:w="9123"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avy-202654x10qex322.htm">
              <w:r>
                <w:rPr>
                  <w:rStyle w:val="InternetLink"/>
                  <w:rFonts w:ascii="Times New Roman;serif" w:hAnsi="Times New Roman;serif"/>
                  <w:b w:val="false"/>
                  <w:color w:val="0000FF"/>
                  <w:sz w:val="18"/>
                  <w:u w:val="single"/>
                </w:rPr>
                <w:t>Certification of Chief Financial Officer pursuant to Section 906 of the Sarbanes-Oxley Act of 2002</w:t>
              </w:r>
            </w:hyperlink>
          </w:p>
        </w:tc>
      </w:tr>
      <w:tr>
        <w:trPr/>
        <w:tc>
          <w:tcPr>
            <w:tcW w:w="108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101.INS***</w:t>
            </w:r>
          </w:p>
        </w:tc>
        <w:tc>
          <w:tcPr>
            <w:tcW w:w="9123"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18"/>
              </w:rPr>
            </w:pPr>
            <w:r>
              <w:rPr>
                <w:rFonts w:ascii="Times New Roman;serif" w:hAnsi="Times New Roman;serif"/>
                <w:b w:val="false"/>
                <w:color w:val="000000"/>
                <w:sz w:val="18"/>
              </w:rPr>
              <w:t>Inline XBRL Instance Document – the instance document does not appear in the Interactive Data File because its XBRL tags are embedded within the Inline XBRL document.</w:t>
            </w:r>
          </w:p>
        </w:tc>
      </w:tr>
      <w:tr>
        <w:trPr/>
        <w:tc>
          <w:tcPr>
            <w:tcW w:w="108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101.SCH***</w:t>
            </w:r>
          </w:p>
        </w:tc>
        <w:tc>
          <w:tcPr>
            <w:tcW w:w="912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Extension Schema Document</w:t>
            </w:r>
          </w:p>
        </w:tc>
      </w:tr>
      <w:tr>
        <w:trPr/>
        <w:tc>
          <w:tcPr>
            <w:tcW w:w="108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101.CAL***</w:t>
            </w:r>
          </w:p>
        </w:tc>
        <w:tc>
          <w:tcPr>
            <w:tcW w:w="912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Extension Calculation Linkbase Document</w:t>
            </w:r>
          </w:p>
        </w:tc>
      </w:tr>
      <w:tr>
        <w:trPr/>
        <w:tc>
          <w:tcPr>
            <w:tcW w:w="108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101.LAB***</w:t>
            </w:r>
          </w:p>
        </w:tc>
        <w:tc>
          <w:tcPr>
            <w:tcW w:w="912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Extension Label Linkbase Document</w:t>
            </w:r>
          </w:p>
        </w:tc>
      </w:tr>
      <w:tr>
        <w:trPr/>
        <w:tc>
          <w:tcPr>
            <w:tcW w:w="108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101.PRE***</w:t>
            </w:r>
          </w:p>
        </w:tc>
        <w:tc>
          <w:tcPr>
            <w:tcW w:w="912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Extension Presentation Linkbase Document</w:t>
            </w:r>
          </w:p>
        </w:tc>
      </w:tr>
      <w:tr>
        <w:trPr/>
        <w:tc>
          <w:tcPr>
            <w:tcW w:w="108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101.DEF***</w:t>
            </w:r>
          </w:p>
        </w:tc>
        <w:tc>
          <w:tcPr>
            <w:tcW w:w="912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Extension Definition Linkbase Document</w:t>
            </w:r>
          </w:p>
        </w:tc>
      </w:tr>
      <w:tr>
        <w:trPr/>
        <w:tc>
          <w:tcPr>
            <w:tcW w:w="108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104***</w:t>
            </w:r>
          </w:p>
        </w:tc>
        <w:tc>
          <w:tcPr>
            <w:tcW w:w="912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for the cover page of this Quarterly Report on Form 10-Q, included as part of this Exhibit 101 Inline XBRL document set</w:t>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____________________</w:t>
      </w:r>
    </w:p>
    <w:tbl>
      <w:tblPr>
        <w:tblW w:w="10205" w:type="dxa"/>
        <w:jc w:val="left"/>
        <w:tblInd w:w="0" w:type="dxa"/>
        <w:tblLayout w:type="fixed"/>
        <w:tblCellMar>
          <w:top w:w="28" w:type="dxa"/>
          <w:left w:w="28" w:type="dxa"/>
          <w:bottom w:w="28" w:type="dxa"/>
          <w:right w:w="28" w:type="dxa"/>
        </w:tblCellMar>
      </w:tblPr>
      <w:tblGrid>
        <w:gridCol w:w="129"/>
        <w:gridCol w:w="114"/>
        <w:gridCol w:w="114"/>
        <w:gridCol w:w="2882"/>
        <w:gridCol w:w="2882"/>
        <w:gridCol w:w="4084"/>
      </w:tblGrid>
      <w:tr>
        <w:trPr/>
        <w:tc>
          <w:tcPr>
            <w:tcW w:w="12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84" w:type="dxa"/>
            <w:tcBorders/>
            <w:vAlign w:val="center"/>
          </w:tcPr>
          <w:p>
            <w:pPr>
              <w:pStyle w:val="TableContents"/>
              <w:bidi w:val="0"/>
              <w:spacing w:before="0" w:after="283"/>
              <w:jc w:val="left"/>
              <w:rPr>
                <w:sz w:val="4"/>
                <w:szCs w:val="4"/>
              </w:rPr>
            </w:pPr>
            <w:r>
              <w:rPr>
                <w:sz w:val="4"/>
                <w:szCs w:val="4"/>
              </w:rPr>
            </w:r>
          </w:p>
        </w:tc>
      </w:tr>
      <w:tr>
        <w:trPr/>
        <w:tc>
          <w:tcPr>
            <w:tcW w:w="357" w:type="dxa"/>
            <w:gridSpan w:val="3"/>
            <w:tcBorders/>
            <w:vAlign w:val="center"/>
          </w:tcPr>
          <w:p>
            <w:pPr>
              <w:pStyle w:val="TableContents"/>
              <w:bidi w:val="0"/>
              <w:spacing w:before="0" w:after="283"/>
              <w:jc w:val="left"/>
              <w:rPr>
                <w:sz w:val="4"/>
                <w:szCs w:val="4"/>
              </w:rPr>
            </w:pPr>
            <w:r>
              <w:rPr>
                <w:sz w:val="4"/>
                <w:szCs w:val="4"/>
              </w:rPr>
            </w:r>
          </w:p>
        </w:tc>
        <w:tc>
          <w:tcPr>
            <w:tcW w:w="9848" w:type="dxa"/>
            <w:gridSpan w:val="3"/>
            <w:tcBorders/>
            <w:vAlign w:val="center"/>
          </w:tcPr>
          <w:p>
            <w:pPr>
              <w:pStyle w:val="TableContents"/>
              <w:bidi w:val="0"/>
              <w:spacing w:before="0" w:after="283"/>
              <w:jc w:val="left"/>
              <w:rPr>
                <w:sz w:val="4"/>
                <w:szCs w:val="4"/>
              </w:rPr>
            </w:pPr>
            <w:r>
              <w:rPr>
                <w:sz w:val="4"/>
                <w:szCs w:val="4"/>
              </w:rPr>
            </w:r>
          </w:p>
        </w:tc>
      </w:tr>
      <w:tr>
        <w:trPr/>
        <w:tc>
          <w:tcPr>
            <w:tcW w:w="357" w:type="dxa"/>
            <w:gridSpan w:val="3"/>
            <w:tcBorders/>
            <w:tcMar>
              <w:top w:w="0" w:type="dxa"/>
              <w:left w:w="0" w:type="dxa"/>
              <w:bottom w:w="0" w:type="dxa"/>
              <w:right w:w="0" w:type="dxa"/>
            </w:tcMar>
            <w:vAlign w:val="center"/>
          </w:tcPr>
          <w:p>
            <w:pPr>
              <w:pStyle w:val="TableContents"/>
              <w:bidi w:val="0"/>
              <w:spacing w:lineRule="auto" w:line="273" w:before="0" w:after="0"/>
              <w:jc w:val="left"/>
              <w:rPr>
                <w:color w:val="000000"/>
              </w:rPr>
            </w:pPr>
            <w:r>
              <w:rPr>
                <w:color w:val="000000"/>
              </w:rPr>
              <w:t>†</w:t>
            </w:r>
          </w:p>
        </w:tc>
        <w:tc>
          <w:tcPr>
            <w:tcW w:w="9848"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18"/>
              </w:rPr>
            </w:pPr>
            <w:r>
              <w:rPr>
                <w:rFonts w:ascii="Times New Roman;serif" w:hAnsi="Times New Roman;serif"/>
                <w:b w:val="false"/>
                <w:color w:val="000000"/>
                <w:sz w:val="18"/>
              </w:rPr>
              <w:t>Management contract or compensatory plan or arrangement required to be filed as an exhibit to this Form 10-Q.</w:t>
            </w:r>
          </w:p>
        </w:tc>
      </w:tr>
      <w:tr>
        <w:trPr/>
        <w:tc>
          <w:tcPr>
            <w:tcW w:w="35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48"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35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48"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rPr>
            </w:pPr>
            <w:r>
              <w:rPr>
                <w:rFonts w:ascii="Times New Roman;serif" w:hAnsi="Times New Roman;serif"/>
                <w:b w:val="false"/>
                <w:color w:val="000000"/>
                <w:sz w:val="18"/>
              </w:rPr>
              <w:t>Furnished herewith.</w:t>
            </w:r>
          </w:p>
        </w:tc>
      </w:tr>
      <w:tr>
        <w:trPr/>
        <w:tc>
          <w:tcPr>
            <w:tcW w:w="35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48"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rPr>
            </w:pPr>
            <w:r>
              <w:rPr>
                <w:rFonts w:ascii="Times New Roman;serif" w:hAnsi="Times New Roman;serif"/>
                <w:b w:val="false"/>
                <w:color w:val="000000"/>
                <w:sz w:val="18"/>
              </w:rPr>
              <w:t>Furnished herewith. Pursuant to Rule 406T of Regulation S-T, the Interactive Data Files on Exhibit 101 hereto are deemed not filed or part of a registration statement or prospectus for purposes of Sections 11 or 12 of the Securities Act, are deemed not filed for purposes of Section 18 of the Exchange Act and otherwise are not subject to liability under those sections.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1"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29</w:t>
                      </w:r>
                    </w:p>
                  </w:txbxContent>
                </v:textbox>
                <w10:wrap type="none"/>
              </v:rect>
            </w:pict>
          </mc:Fallback>
        </mc:AlternateContent>
      </w:r>
    </w:p>
    <w:p>
      <w:pPr>
        <w:pStyle w:val="TextBody"/>
        <w:bidi w:val="0"/>
        <w:spacing w:lineRule="auto" w:line="276" w:before="0" w:after="0"/>
        <w:jc w:val="left"/>
        <w:rPr/>
      </w:pPr>
      <w:hyperlink w:anchor="ib3caf56900394eb1806ff7cd5a3e9df4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 xml:space="preserve">SIGNATURES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Pursuant to the requirements of the Securities Exchange Act of 1934, the registrant has duly caused this report to be signed on its behalf by the undersigned, thereunto duly authorized. </w:t>
      </w:r>
    </w:p>
    <w:tbl>
      <w:tblPr>
        <w:tblW w:w="4497" w:type="dxa"/>
        <w:jc w:val="left"/>
        <w:tblInd w:w="0" w:type="dxa"/>
        <w:tblLayout w:type="fixed"/>
        <w:tblCellMar>
          <w:top w:w="28" w:type="dxa"/>
          <w:left w:w="28" w:type="dxa"/>
          <w:bottom w:w="28" w:type="dxa"/>
          <w:right w:w="28" w:type="dxa"/>
        </w:tblCellMar>
      </w:tblPr>
      <w:tblGrid>
        <w:gridCol w:w="124"/>
        <w:gridCol w:w="109"/>
        <w:gridCol w:w="109"/>
        <w:gridCol w:w="1216"/>
        <w:gridCol w:w="1216"/>
        <w:gridCol w:w="17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AVERY DENNISON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 Gregory S. Lovins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Gregory S. Lovins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Senior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 Divina F. Santiago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Divina F. Santiago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Vice President, Controller and Chief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May 4,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2"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30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Second Amendment to the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Avery Dennison Corporation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2017 Incentive Award Plan </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This Second Amendment (this “</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4"/>
        </w:rPr>
        <w:t>) to the Avery Dennison Corporation 2017 Incentive Award Plan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has been approved by the Talent and Compensation Committee (the “</w:t>
      </w:r>
      <w:r>
        <w:rPr>
          <w:rFonts w:ascii="Times New Roman;serif" w:hAnsi="Times New Roman;serif"/>
          <w:b w:val="false"/>
          <w:color w:val="000000"/>
          <w:sz w:val="24"/>
          <w:u w:val="single"/>
        </w:rPr>
        <w:t>Committee</w:t>
      </w:r>
      <w:r>
        <w:rPr>
          <w:color w:val="000000"/>
        </w:rPr>
        <w:t>”</w:t>
      </w:r>
      <w:r>
        <w:rPr>
          <w:rFonts w:ascii="Times New Roman;serif" w:hAnsi="Times New Roman;serif"/>
          <w:b w:val="false"/>
          <w:color w:val="000000"/>
          <w:sz w:val="24"/>
        </w:rPr>
        <w:t>) of the Board of Directors (the “</w:t>
      </w:r>
      <w:r>
        <w:rPr>
          <w:rFonts w:ascii="Times New Roman;serif" w:hAnsi="Times New Roman;serif"/>
          <w:b w:val="false"/>
          <w:color w:val="000000"/>
          <w:sz w:val="24"/>
          <w:u w:val="single"/>
        </w:rPr>
        <w:t>Board</w:t>
      </w:r>
      <w:r>
        <w:rPr>
          <w:color w:val="000000"/>
        </w:rPr>
        <w:t>”</w:t>
      </w:r>
      <w:r>
        <w:rPr>
          <w:rFonts w:ascii="Times New Roman;serif" w:hAnsi="Times New Roman;serif"/>
          <w:b w:val="false"/>
          <w:color w:val="000000"/>
          <w:sz w:val="24"/>
        </w:rPr>
        <w:t>) of Avery Dennison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on February 25, 2026 and ratified by the Board on February 26, 2026 (the “</w:t>
      </w:r>
      <w:r>
        <w:rPr>
          <w:rFonts w:ascii="Times New Roman;serif" w:hAnsi="Times New Roman;serif"/>
          <w:b w:val="false"/>
          <w:color w:val="000000"/>
          <w:sz w:val="24"/>
          <w:u w:val="single"/>
        </w:rPr>
        <w:t>Amendment Date</w:t>
      </w:r>
      <w:r>
        <w:rPr>
          <w:color w:val="000000"/>
        </w:rPr>
        <w:t>”</w:t>
      </w:r>
      <w:r>
        <w:rPr>
          <w:rFonts w:ascii="Times New Roman;serif" w:hAnsi="Times New Roman;serif"/>
          <w:b w:val="false"/>
          <w:color w:val="000000"/>
          <w:sz w:val="24"/>
        </w:rPr>
        <w:t>). Capitalized terms used but not otherwise defined herein shall have the meanings ascribed to them in the Plan.</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 xml:space="preserve">WHEREAS, the Company maintains the Plan as approved by the Committee and ratified by the Board on February 23, 2017 and further approved by the Company’s stockholders on April 27, 2017; </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WHEREAS, the Plan was amended by the First Amendment to the Plan, which was approved by the Committee on October 24, 2018 and ratified by the Board on October 25, 2018;</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WHEREAS, the Company desires to amend the Plan pursuant to Section 13.1 of the Plan; and</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WHEREAS, this Amendment, together with the Plan (as in effect immediately prior to the Amendment Date), constitutes the entire Plan as amended through the Amendment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effective as of the Amendment Date, the Plan is hereby amended as follows:</w:t>
      </w:r>
    </w:p>
    <w:p>
      <w:pPr>
        <w:pStyle w:val="TextBody"/>
        <w:bidi w:val="0"/>
        <w:spacing w:lineRule="auto" w:line="288" w:before="0" w:after="240"/>
        <w:ind w:left="0" w:right="0" w:firstLine="360"/>
        <w:jc w:val="left"/>
        <w:rPr/>
      </w:pPr>
      <w:r>
        <w:rPr>
          <w:rFonts w:ascii="Times New Roman;serif" w:hAnsi="Times New Roman;serif"/>
          <w:b w:val="false"/>
          <w:color w:val="000000"/>
          <w:sz w:val="24"/>
        </w:rPr>
        <w:t>1.</w:t>
      </w:r>
      <w:r>
        <w:rPr>
          <w:rFonts w:ascii="Times New Roman;serif" w:hAnsi="Times New Roman;serif"/>
          <w:b w:val="false"/>
          <w:color w:val="000000"/>
          <w:sz w:val="24"/>
        </w:rPr>
        <w:t>Section 2.48 of the Plan shall be revised in its entirety to read as follows: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2.48 ‘‘Retirement’’ means (a) with respect to an Employee, unless otherwise determined by the Administrator, a Termination of Service with the Company or a Subsidiary by reason of voluntary retirement on or after age 55 with 10 or more years of service; provided that, in no event shall a Termination of Service with the Company or a Subsidiary be deemed a Retirement if the Termination of Service results from (or is in connection with) the Disaffiliation of a Subsidiary by which the Employee is employed or provides services (including, without limitation, as a result of a public offering, spin-off or sale), and (b) with respect to a Non-Employee Director, Termination of Service by reason of voluntary retirement at or after age 75.</w:t>
      </w:r>
    </w:p>
    <w:p>
      <w:pPr>
        <w:pStyle w:val="TextBody"/>
        <w:bidi w:val="0"/>
        <w:spacing w:lineRule="auto" w:line="288" w:before="0" w:after="24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2.The change described in Section l above shall only apply to Awards granted after the Amendment Date.</w:t>
      </w:r>
    </w:p>
    <w:p>
      <w:pPr>
        <w:pStyle w:val="TextBody"/>
        <w:bidi w:val="0"/>
        <w:spacing w:lineRule="auto" w:line="288" w:before="0" w:after="24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3.Except as set forth in this Amendment, the Plan (as in effect prior to the Amendment Date) shall remain in full force and effect on and following the Amendment Date.</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85445"/>
                <wp:effectExtent l="0" t="0" r="0" b="0"/>
                <wp:wrapNone/>
                <wp:docPr id="33" name="Frame3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20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Amendment has been executed on the Amendment Date.</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AVERY DENNISON CORPORATION</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/s/ Deon M. Stander </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By:     Deon M. Stander</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Its:     President and 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10.2</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85445"/>
                <wp:effectExtent l="0" t="0" r="0" b="0"/>
                <wp:wrapNone/>
                <wp:docPr id="34" name="Frame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tbl>
      <w:tblPr>
        <w:tblW w:w="6595" w:type="dxa"/>
        <w:jc w:val="left"/>
        <w:tblInd w:w="0" w:type="dxa"/>
        <w:tblLayout w:type="fixed"/>
        <w:tblCellMar>
          <w:top w:w="28" w:type="dxa"/>
          <w:left w:w="28" w:type="dxa"/>
          <w:bottom w:w="28" w:type="dxa"/>
          <w:right w:w="28" w:type="dxa"/>
        </w:tblCellMar>
      </w:tblPr>
      <w:tblGrid>
        <w:gridCol w:w="901"/>
        <w:gridCol w:w="792"/>
        <w:gridCol w:w="793"/>
        <w:gridCol w:w="719"/>
        <w:gridCol w:w="719"/>
        <w:gridCol w:w="721"/>
        <w:gridCol w:w="571"/>
        <w:gridCol w:w="571"/>
        <w:gridCol w:w="808"/>
      </w:tblGrid>
      <w:tr>
        <w:trPr/>
        <w:tc>
          <w:tcPr>
            <w:tcW w:w="90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rPr/>
        <w:tc>
          <w:tcPr>
            <w:tcW w:w="2486" w:type="dxa"/>
            <w:gridSpan w:val="3"/>
            <w:tcBorders>
              <w:top w:val="single" w:sz="8" w:space="0" w:color="FFFFFF"/>
              <w:left w:val="single" w:sz="8" w:space="0" w:color="FFFFFF"/>
              <w:bottom w:val="single" w:sz="8" w:space="0" w:color="FFFFFF"/>
            </w:tcBorders>
            <w:tcMar>
              <w:right w:w="0" w:type="dxa"/>
            </w:tcMar>
            <w:vAlign w:val="center"/>
          </w:tcPr>
          <w:p>
            <w:pPr>
              <w:pStyle w:val="TableContents"/>
              <w:bidi w:val="0"/>
              <w:spacing w:before="0" w:after="0"/>
              <w:jc w:val="left"/>
              <w:rPr/>
            </w:pPr>
            <w:r>
              <w:rPr/>
              <w:drawing>
                <wp:inline distT="0" distB="0" distL="0" distR="0">
                  <wp:extent cx="1514475" cy="495300"/>
                  <wp:effectExtent l="0" t="0" r="0" b="0"/>
                  <wp:docPr id="3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 descr=""/>
                          <pic:cNvPicPr>
                            <a:picLocks noChangeAspect="1" noChangeArrowheads="1"/>
                          </pic:cNvPicPr>
                        </pic:nvPicPr>
                        <pic:blipFill>
                          <a:blip r:embed="rId17"/>
                          <a:stretch>
                            <a:fillRect/>
                          </a:stretch>
                        </pic:blipFill>
                        <pic:spPr bwMode="auto">
                          <a:xfrm>
                            <a:off x="0" y="0"/>
                            <a:ext cx="1514475" cy="495300"/>
                          </a:xfrm>
                          <a:prstGeom prst="rect">
                            <a:avLst/>
                          </a:prstGeom>
                        </pic:spPr>
                      </pic:pic>
                    </a:graphicData>
                  </a:graphic>
                </wp:inline>
              </w:drawing>
            </w:r>
          </w:p>
        </w:tc>
        <w:tc>
          <w:tcPr>
            <w:tcW w:w="2159" w:type="dxa"/>
            <w:gridSpan w:val="3"/>
            <w:tcBorders>
              <w:top w:val="single" w:sz="8" w:space="0" w:color="FFFFFF"/>
              <w:left w:val="single" w:sz="8" w:space="0" w:color="000000"/>
              <w:bottom w:val="single" w:sz="8" w:space="0" w:color="FFFFFF"/>
            </w:tcBorders>
            <w:tcMar>
              <w:top w:w="30" w:type="dxa"/>
              <w:bottom w:w="30" w:type="dxa"/>
              <w:right w:w="0" w:type="dxa"/>
            </w:tcMar>
            <w:vAlign w:val="center"/>
          </w:tcPr>
          <w:p>
            <w:pPr>
              <w:pStyle w:val="TableContents"/>
              <w:bidi w:val="0"/>
              <w:spacing w:lineRule="auto" w:line="319" w:before="0" w:after="0"/>
              <w:jc w:val="left"/>
              <w:rPr>
                <w:rFonts w:ascii="Nunito Sans;sans-serif" w:hAnsi="Nunito Sans;sans-serif"/>
                <w:b/>
                <w:color w:val="000000"/>
                <w:sz w:val="16"/>
              </w:rPr>
            </w:pPr>
            <w:r>
              <w:rPr>
                <w:rFonts w:ascii="Nunito Sans;sans-serif" w:hAnsi="Nunito Sans;sans-serif"/>
                <w:b/>
                <w:color w:val="000000"/>
                <w:sz w:val="16"/>
              </w:rPr>
              <w:t>Avery Dennison</w:t>
            </w:r>
          </w:p>
          <w:p>
            <w:pPr>
              <w:pStyle w:val="TableContents"/>
              <w:bidi w:val="0"/>
              <w:spacing w:lineRule="auto" w:line="319" w:before="0" w:after="0"/>
              <w:jc w:val="left"/>
              <w:rPr>
                <w:rFonts w:ascii="Nunito Sans;sans-serif" w:hAnsi="Nunito Sans;sans-serif"/>
                <w:b w:val="false"/>
                <w:color w:val="000000"/>
                <w:sz w:val="16"/>
              </w:rPr>
            </w:pPr>
            <w:r>
              <w:rPr>
                <w:rFonts w:ascii="Nunito Sans;sans-serif" w:hAnsi="Nunito Sans;sans-serif"/>
                <w:b w:val="false"/>
                <w:color w:val="000000"/>
                <w:sz w:val="16"/>
              </w:rPr>
              <w:t>Corporate Headquarters</w:t>
            </w:r>
          </w:p>
        </w:tc>
        <w:tc>
          <w:tcPr>
            <w:tcW w:w="1950" w:type="dxa"/>
            <w:gridSpan w:val="3"/>
            <w:tcBorders>
              <w:top w:val="single" w:sz="8" w:space="0" w:color="FFFFFF"/>
              <w:left w:val="single" w:sz="8" w:space="0" w:color="000000"/>
              <w:bottom w:val="single" w:sz="8" w:space="0" w:color="FFFFFF"/>
              <w:right w:val="single" w:sz="8" w:space="0" w:color="000000"/>
            </w:tcBorders>
            <w:tcMar>
              <w:top w:w="30" w:type="dxa"/>
              <w:bottom w:w="30" w:type="dxa"/>
            </w:tcMar>
            <w:vAlign w:val="center"/>
          </w:tcPr>
          <w:p>
            <w:pPr>
              <w:pStyle w:val="TableContents"/>
              <w:bidi w:val="0"/>
              <w:spacing w:lineRule="auto" w:line="319" w:before="0" w:after="0"/>
              <w:jc w:val="left"/>
              <w:rPr>
                <w:rFonts w:ascii="Nunito Sans;sans-serif" w:hAnsi="Nunito Sans;sans-serif"/>
                <w:b w:val="false"/>
                <w:color w:val="000000"/>
                <w:sz w:val="16"/>
              </w:rPr>
            </w:pPr>
            <w:r>
              <w:rPr>
                <w:rFonts w:ascii="Nunito Sans;sans-serif" w:hAnsi="Nunito Sans;sans-serif"/>
                <w:b w:val="false"/>
                <w:color w:val="000000"/>
                <w:sz w:val="16"/>
              </w:rPr>
              <w:t>8080 Norton Parkway</w:t>
            </w:r>
          </w:p>
          <w:p>
            <w:pPr>
              <w:pStyle w:val="TableContents"/>
              <w:bidi w:val="0"/>
              <w:spacing w:lineRule="auto" w:line="319" w:before="0" w:after="0"/>
              <w:jc w:val="left"/>
              <w:rPr>
                <w:rFonts w:ascii="Nunito Sans;sans-serif" w:hAnsi="Nunito Sans;sans-serif"/>
                <w:b w:val="false"/>
                <w:color w:val="000000"/>
                <w:sz w:val="16"/>
              </w:rPr>
            </w:pPr>
            <w:r>
              <w:rPr>
                <w:rFonts w:ascii="Nunito Sans;sans-serif" w:hAnsi="Nunito Sans;sans-serif"/>
                <w:b w:val="false"/>
                <w:color w:val="000000"/>
                <w:sz w:val="16"/>
              </w:rPr>
              <w:t xml:space="preserve">Mentor, Ohio 44060 </w:t>
            </w:r>
          </w:p>
          <w:p>
            <w:pPr>
              <w:pStyle w:val="TableContents"/>
              <w:bidi w:val="0"/>
              <w:spacing w:lineRule="auto" w:line="319" w:before="60" w:after="283"/>
              <w:jc w:val="left"/>
              <w:rPr>
                <w:rFonts w:ascii="Nunito Sans;sans-serif" w:hAnsi="Nunito Sans;sans-serif"/>
                <w:b w:val="false"/>
                <w:color w:val="000000"/>
                <w:sz w:val="16"/>
              </w:rPr>
            </w:pPr>
            <w:r>
              <w:rPr>
                <w:rFonts w:ascii="Nunito Sans;sans-serif" w:hAnsi="Nunito Sans;sans-serif"/>
                <w:b w:val="false"/>
                <w:color w:val="000000"/>
                <w:sz w:val="16"/>
              </w:rPr>
              <w:t>P +1 440-534-6000</w:t>
            </w:r>
          </w:p>
        </w:tc>
      </w:tr>
    </w:tbl>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March 9, 2026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Divina Santiago</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[Address]</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[Address]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Dear Divina:</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In recognition of your continued growth and leadership, I am very pleased to confirm your title change to Vice President, Controller and Chief Accounting Officer, continuing to report to me. This remains as an Executive - Level 4 position and is effective April 1, 2026.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Specific compensation details are as follows: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Base Salary:</w:t>
      </w:r>
      <w:r>
        <w:rPr>
          <w:color w:val="000000"/>
        </w:rPr>
        <w:t xml:space="preserve"> </w:t>
      </w:r>
      <w:r>
        <w:rPr>
          <w:rFonts w:ascii="Arial;sans-serif" w:hAnsi="Arial;sans-serif"/>
          <w:b w:val="false"/>
          <w:color w:val="000000"/>
          <w:sz w:val="22"/>
        </w:rPr>
        <w:t>Your annualized rate of pay will be</w:t>
      </w:r>
      <w:r>
        <w:rPr>
          <w:color w:val="000000"/>
        </w:rPr>
        <w:t xml:space="preserve"> </w:t>
      </w:r>
      <w:r>
        <w:rPr>
          <w:rFonts w:ascii="Arial;sans-serif" w:hAnsi="Arial;sans-serif"/>
          <w:b/>
          <w:color w:val="000000"/>
          <w:sz w:val="22"/>
        </w:rPr>
        <w:t xml:space="preserve">$385,237, </w:t>
      </w:r>
      <w:r>
        <w:rPr>
          <w:rFonts w:ascii="Arial;sans-serif" w:hAnsi="Arial;sans-serif"/>
          <w:b w:val="false"/>
          <w:color w:val="000000"/>
          <w:sz w:val="22"/>
        </w:rPr>
        <w:t>paid pursuant to customary payroll practices, subject to applicable withholdings. Your next salary review will be effective April 2027. Subsequent salary reviews will be made effective in April of each year, or on another date designated by the Company for a given year.</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AIP Award:</w:t>
      </w:r>
      <w:r>
        <w:rPr>
          <w:color w:val="000000"/>
        </w:rPr>
        <w:t xml:space="preserve"> </w:t>
      </w:r>
      <w:r>
        <w:rPr>
          <w:rFonts w:ascii="Arial;sans-serif" w:hAnsi="Arial;sans-serif"/>
          <w:b w:val="false"/>
          <w:color w:val="000000"/>
          <w:sz w:val="22"/>
        </w:rPr>
        <w:t xml:space="preserve">You will continue to be eligible to participate in the Company’s Annual Incentive Plan (“AIP”) at your current target AIP opportunity of </w:t>
      </w:r>
      <w:r>
        <w:rPr>
          <w:rFonts w:ascii="Arial;sans-serif" w:hAnsi="Arial;sans-serif"/>
          <w:b/>
          <w:color w:val="000000"/>
          <w:sz w:val="22"/>
        </w:rPr>
        <w:t>40%</w:t>
      </w:r>
      <w:r>
        <w:rPr>
          <w:color w:val="000000"/>
        </w:rPr>
        <w:t xml:space="preserve"> </w:t>
      </w:r>
      <w:r>
        <w:rPr>
          <w:rFonts w:ascii="Arial;sans-serif" w:hAnsi="Arial;sans-serif"/>
          <w:b w:val="false"/>
          <w:color w:val="000000"/>
          <w:sz w:val="22"/>
        </w:rPr>
        <w:t xml:space="preserve">of base salary, subject to applicable withholdings. The AIP, including eligibility criteria, may change at any time, with or without notice, in accordance with applicable laws and at the discretion of the Company.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Long-Term Incentive (LTI):</w:t>
      </w:r>
      <w:r>
        <w:rPr>
          <w:color w:val="000000"/>
        </w:rPr>
        <w:t xml:space="preserve"> </w:t>
      </w:r>
      <w:r>
        <w:rPr>
          <w:rFonts w:ascii="Arial;sans-serif" w:hAnsi="Arial;sans-serif"/>
          <w:b w:val="false"/>
          <w:color w:val="000000"/>
          <w:sz w:val="22"/>
        </w:rPr>
        <w:t xml:space="preserve">You will continue to be eligible for an annual LTI award, now with a target opportunity of </w:t>
      </w:r>
      <w:r>
        <w:rPr>
          <w:rFonts w:ascii="Arial;sans-serif" w:hAnsi="Arial;sans-serif"/>
          <w:b/>
          <w:color w:val="000000"/>
          <w:sz w:val="22"/>
        </w:rPr>
        <w:t>70%</w:t>
      </w:r>
      <w:r>
        <w:rPr>
          <w:color w:val="000000"/>
        </w:rPr>
        <w:t xml:space="preserve"> </w:t>
      </w:r>
      <w:r>
        <w:rPr>
          <w:rFonts w:ascii="Arial;sans-serif" w:hAnsi="Arial;sans-serif"/>
          <w:b w:val="false"/>
          <w:color w:val="000000"/>
          <w:sz w:val="22"/>
        </w:rPr>
        <w:t>of</w:t>
      </w:r>
      <w:r>
        <w:rPr>
          <w:color w:val="000000"/>
          <w:shd w:fill="FFFFFF" w:val="clear"/>
        </w:rPr>
        <w:t xml:space="preserve"> </w:t>
      </w:r>
      <w:r>
        <w:rPr>
          <w:rFonts w:ascii="Arial;sans-serif" w:hAnsi="Arial;sans-serif"/>
          <w:b w:val="false"/>
          <w:color w:val="000000"/>
          <w:sz w:val="22"/>
          <w:shd w:fill="FFFFFF" w:val="clear"/>
        </w:rPr>
        <w:t xml:space="preserve">base salary, effective with the 2026 annual grant. </w:t>
      </w:r>
      <w:r>
        <w:rPr>
          <w:rFonts w:ascii="Arial;sans-serif" w:hAnsi="Arial;sans-serif"/>
          <w:b w:val="false"/>
          <w:color w:val="000000"/>
          <w:sz w:val="22"/>
        </w:rPr>
        <w:t xml:space="preserve">Executive LTI awards are currently delivered via a mix of Performance Units and Restricted Stock Units. The LTI program, including eligibility criteria, may change at any time, with or without notice, in accordance with applicable laws and at the discretion of the Company.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shd w:fill="FFFFFF" w:val="clear"/>
        </w:rPr>
        <w:t xml:space="preserve">Other Benefits: </w:t>
      </w:r>
      <w:r>
        <w:rPr>
          <w:rFonts w:ascii="Arial;sans-serif" w:hAnsi="Arial;sans-serif"/>
          <w:b w:val="false"/>
          <w:color w:val="000000"/>
          <w:sz w:val="22"/>
        </w:rPr>
        <w:t>You will continue to receive an annual executive benefit allowance in the amount of $40,000, which will be paid in installments with your normal payroll cycle.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shd w:fill="FFFFFF" w:val="clear"/>
        </w:rPr>
        <w:t>Stock Ownership Requirement</w:t>
      </w:r>
      <w:r>
        <w:rPr>
          <w:rFonts w:ascii="Arial;sans-serif" w:hAnsi="Arial;sans-serif"/>
          <w:b w:val="false"/>
          <w:color w:val="000000"/>
          <w:sz w:val="22"/>
          <w:shd w:fill="FFFFFF" w:val="clear"/>
        </w:rPr>
        <w:t>: You will continue to be required to comply with the Company’s Stock Ownership Policy with a minimum ownership requirement of 1X your base salary. You must maintain this ownership requirement in accordance with the policy. You must achieve and maintain this ownership requirement in accordance with the policy</w:t>
      </w:r>
    </w:p>
    <w:p>
      <w:pPr>
        <w:pStyle w:val="TextBody"/>
        <w:bidi w:val="0"/>
        <w:spacing w:lineRule="auto" w:line="288" w:before="240" w:after="240"/>
        <w:jc w:val="both"/>
        <w:rPr/>
      </w:pPr>
      <w:r>
        <w:rPr>
          <w:rFonts w:ascii="Arial;sans-serif" w:hAnsi="Arial;sans-serif"/>
          <w:b/>
          <w:color w:val="000000"/>
          <w:sz w:val="22"/>
        </w:rPr>
        <w:t>Section 16 Designation</w:t>
      </w:r>
      <w:r>
        <w:rPr>
          <w:rFonts w:ascii="Arial;sans-serif" w:hAnsi="Arial;sans-serif"/>
          <w:b w:val="false"/>
          <w:color w:val="000000"/>
          <w:sz w:val="22"/>
        </w:rPr>
        <w:t>: You will continue to be designated as a Section 16 officer under U.S. securities laws. As a result, you will have obligations to report any transactions you make with respect to Company stock within two business days of the transaction. In addition to these reporting requirements, you can be subject to civil liability for certain “short-swing” transactions. You should discuss these matters with the Company’s Corporate Secretary.</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595" w:type="dxa"/>
        <w:jc w:val="left"/>
        <w:tblInd w:w="0" w:type="dxa"/>
        <w:tblLayout w:type="fixed"/>
        <w:tblCellMar>
          <w:top w:w="28" w:type="dxa"/>
          <w:left w:w="28" w:type="dxa"/>
          <w:bottom w:w="28" w:type="dxa"/>
          <w:right w:w="28" w:type="dxa"/>
        </w:tblCellMar>
      </w:tblPr>
      <w:tblGrid>
        <w:gridCol w:w="901"/>
        <w:gridCol w:w="792"/>
        <w:gridCol w:w="793"/>
        <w:gridCol w:w="719"/>
        <w:gridCol w:w="719"/>
        <w:gridCol w:w="721"/>
        <w:gridCol w:w="571"/>
        <w:gridCol w:w="571"/>
        <w:gridCol w:w="808"/>
      </w:tblGrid>
      <w:tr>
        <w:trPr/>
        <w:tc>
          <w:tcPr>
            <w:tcW w:w="90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rPr/>
        <w:tc>
          <w:tcPr>
            <w:tcW w:w="2486" w:type="dxa"/>
            <w:gridSpan w:val="3"/>
            <w:tcBorders>
              <w:top w:val="single" w:sz="8" w:space="0" w:color="FFFFFF"/>
              <w:left w:val="single" w:sz="8" w:space="0" w:color="FFFFFF"/>
              <w:bottom w:val="single" w:sz="8" w:space="0" w:color="FFFFFF"/>
            </w:tcBorders>
            <w:tcMar>
              <w:right w:w="0" w:type="dxa"/>
            </w:tcMar>
            <w:vAlign w:val="center"/>
          </w:tcPr>
          <w:p>
            <w:pPr>
              <w:pStyle w:val="TableContents"/>
              <w:bidi w:val="0"/>
              <w:spacing w:before="0" w:after="0"/>
              <w:jc w:val="left"/>
              <w:rPr/>
            </w:pPr>
            <w:r>
              <w:rPr/>
              <w:drawing>
                <wp:inline distT="0" distB="0" distL="0" distR="0">
                  <wp:extent cx="1514475" cy="495300"/>
                  <wp:effectExtent l="0" t="0" r="0" b="0"/>
                  <wp:docPr id="3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 descr=""/>
                          <pic:cNvPicPr>
                            <a:picLocks noChangeAspect="1" noChangeArrowheads="1"/>
                          </pic:cNvPicPr>
                        </pic:nvPicPr>
                        <pic:blipFill>
                          <a:blip r:embed="rId18"/>
                          <a:stretch>
                            <a:fillRect/>
                          </a:stretch>
                        </pic:blipFill>
                        <pic:spPr bwMode="auto">
                          <a:xfrm>
                            <a:off x="0" y="0"/>
                            <a:ext cx="1514475" cy="495300"/>
                          </a:xfrm>
                          <a:prstGeom prst="rect">
                            <a:avLst/>
                          </a:prstGeom>
                        </pic:spPr>
                      </pic:pic>
                    </a:graphicData>
                  </a:graphic>
                </wp:inline>
              </w:drawing>
            </w:r>
          </w:p>
        </w:tc>
        <w:tc>
          <w:tcPr>
            <w:tcW w:w="2159" w:type="dxa"/>
            <w:gridSpan w:val="3"/>
            <w:tcBorders>
              <w:top w:val="single" w:sz="8" w:space="0" w:color="FFFFFF"/>
              <w:left w:val="single" w:sz="8" w:space="0" w:color="000000"/>
              <w:bottom w:val="single" w:sz="8" w:space="0" w:color="FFFFFF"/>
            </w:tcBorders>
            <w:tcMar>
              <w:top w:w="30" w:type="dxa"/>
              <w:bottom w:w="30" w:type="dxa"/>
              <w:right w:w="0" w:type="dxa"/>
            </w:tcMar>
            <w:vAlign w:val="center"/>
          </w:tcPr>
          <w:p>
            <w:pPr>
              <w:pStyle w:val="TableContents"/>
              <w:bidi w:val="0"/>
              <w:spacing w:lineRule="auto" w:line="319" w:before="0" w:after="0"/>
              <w:jc w:val="left"/>
              <w:rPr>
                <w:rFonts w:ascii="Nunito Sans;sans-serif" w:hAnsi="Nunito Sans;sans-serif"/>
                <w:b/>
                <w:color w:val="000000"/>
                <w:sz w:val="16"/>
              </w:rPr>
            </w:pPr>
            <w:r>
              <w:rPr>
                <w:rFonts w:ascii="Nunito Sans;sans-serif" w:hAnsi="Nunito Sans;sans-serif"/>
                <w:b/>
                <w:color w:val="000000"/>
                <w:sz w:val="16"/>
              </w:rPr>
              <w:t>Avery Dennison</w:t>
            </w:r>
          </w:p>
          <w:p>
            <w:pPr>
              <w:pStyle w:val="TableContents"/>
              <w:bidi w:val="0"/>
              <w:spacing w:lineRule="auto" w:line="319" w:before="0" w:after="0"/>
              <w:jc w:val="left"/>
              <w:rPr>
                <w:rFonts w:ascii="Nunito Sans;sans-serif" w:hAnsi="Nunito Sans;sans-serif"/>
                <w:b w:val="false"/>
                <w:color w:val="000000"/>
                <w:sz w:val="16"/>
              </w:rPr>
            </w:pPr>
            <w:r>
              <w:rPr>
                <w:rFonts w:ascii="Nunito Sans;sans-serif" w:hAnsi="Nunito Sans;sans-serif"/>
                <w:b w:val="false"/>
                <w:color w:val="000000"/>
                <w:sz w:val="16"/>
              </w:rPr>
              <w:t>Corporate Headquarters</w:t>
            </w:r>
          </w:p>
        </w:tc>
        <w:tc>
          <w:tcPr>
            <w:tcW w:w="1950" w:type="dxa"/>
            <w:gridSpan w:val="3"/>
            <w:tcBorders>
              <w:top w:val="single" w:sz="8" w:space="0" w:color="FFFFFF"/>
              <w:left w:val="single" w:sz="8" w:space="0" w:color="000000"/>
              <w:bottom w:val="single" w:sz="8" w:space="0" w:color="FFFFFF"/>
              <w:right w:val="single" w:sz="8" w:space="0" w:color="000000"/>
            </w:tcBorders>
            <w:tcMar>
              <w:top w:w="30" w:type="dxa"/>
              <w:bottom w:w="30" w:type="dxa"/>
            </w:tcMar>
            <w:vAlign w:val="center"/>
          </w:tcPr>
          <w:p>
            <w:pPr>
              <w:pStyle w:val="TableContents"/>
              <w:bidi w:val="0"/>
              <w:spacing w:lineRule="auto" w:line="319" w:before="0" w:after="0"/>
              <w:jc w:val="left"/>
              <w:rPr>
                <w:rFonts w:ascii="Nunito Sans;sans-serif" w:hAnsi="Nunito Sans;sans-serif"/>
                <w:b w:val="false"/>
                <w:color w:val="000000"/>
                <w:sz w:val="16"/>
              </w:rPr>
            </w:pPr>
            <w:r>
              <w:rPr>
                <w:rFonts w:ascii="Nunito Sans;sans-serif" w:hAnsi="Nunito Sans;sans-serif"/>
                <w:b w:val="false"/>
                <w:color w:val="000000"/>
                <w:sz w:val="16"/>
              </w:rPr>
              <w:t>8080 Norton Parkway</w:t>
            </w:r>
          </w:p>
          <w:p>
            <w:pPr>
              <w:pStyle w:val="TableContents"/>
              <w:bidi w:val="0"/>
              <w:spacing w:lineRule="auto" w:line="319" w:before="0" w:after="0"/>
              <w:jc w:val="left"/>
              <w:rPr>
                <w:rFonts w:ascii="Nunito Sans;sans-serif" w:hAnsi="Nunito Sans;sans-serif"/>
                <w:b w:val="false"/>
                <w:color w:val="000000"/>
                <w:sz w:val="16"/>
              </w:rPr>
            </w:pPr>
            <w:r>
              <w:rPr>
                <w:rFonts w:ascii="Nunito Sans;sans-serif" w:hAnsi="Nunito Sans;sans-serif"/>
                <w:b w:val="false"/>
                <w:color w:val="000000"/>
                <w:sz w:val="16"/>
              </w:rPr>
              <w:t xml:space="preserve">Mentor, Ohio 44060 </w:t>
            </w:r>
          </w:p>
          <w:p>
            <w:pPr>
              <w:pStyle w:val="TableContents"/>
              <w:bidi w:val="0"/>
              <w:spacing w:lineRule="auto" w:line="319" w:before="60" w:after="283"/>
              <w:jc w:val="left"/>
              <w:rPr>
                <w:rFonts w:ascii="Nunito Sans;sans-serif" w:hAnsi="Nunito Sans;sans-serif"/>
                <w:b w:val="false"/>
                <w:color w:val="000000"/>
                <w:sz w:val="16"/>
              </w:rPr>
            </w:pPr>
            <w:r>
              <w:rPr>
                <w:rFonts w:ascii="Nunito Sans;sans-serif" w:hAnsi="Nunito Sans;sans-serif"/>
                <w:b w:val="false"/>
                <w:color w:val="000000"/>
                <w:sz w:val="16"/>
              </w:rPr>
              <w:t>P +1 440-534-6000</w:t>
            </w:r>
          </w:p>
        </w:tc>
      </w:tr>
    </w:tbl>
    <w:p>
      <w:pPr>
        <w:pStyle w:val="TextBody"/>
        <w:bidi w:val="0"/>
        <w:spacing w:lineRule="auto" w:line="288" w:before="240" w:after="240"/>
        <w:jc w:val="both"/>
        <w:rPr/>
      </w:pPr>
      <w:r>
        <w:rPr>
          <w:rFonts w:ascii="Arial;sans-serif" w:hAnsi="Arial;sans-serif"/>
          <w:b/>
          <w:color w:val="000000"/>
          <w:sz w:val="22"/>
        </w:rPr>
        <w:t>Executive Severance Plan</w:t>
      </w:r>
      <w:r>
        <w:rPr>
          <w:rFonts w:ascii="Arial;sans-serif" w:hAnsi="Arial;sans-serif"/>
          <w:b w:val="false"/>
          <w:color w:val="000000"/>
          <w:sz w:val="22"/>
        </w:rPr>
        <w:t>: You will continue to be an eligible participant in the Avery Dennison Executive Severance Plan at the multiplier of 1X for Level 4 executives.</w:t>
      </w:r>
    </w:p>
    <w:p>
      <w:pPr>
        <w:pStyle w:val="TextBody"/>
        <w:bidi w:val="0"/>
        <w:spacing w:lineRule="auto" w:line="288" w:before="240" w:after="240"/>
        <w:jc w:val="both"/>
        <w:rPr>
          <w:rFonts w:ascii="Arial;sans-serif" w:hAnsi="Arial;sans-serif"/>
          <w:b w:val="false"/>
          <w:color w:val="000000"/>
          <w:sz w:val="22"/>
        </w:rPr>
      </w:pPr>
      <w:r>
        <w:rPr>
          <w:rFonts w:ascii="Arial;sans-serif" w:hAnsi="Arial;sans-serif"/>
          <w:b w:val="false"/>
          <w:color w:val="000000"/>
          <w:sz w:val="22"/>
        </w:rPr>
        <w:t>All other aspects of your compensation and benefits you receive as an employee will remain the same. As a condition of these adjustments to your title and compensation, we need to receive a signed and dated copy of this letter.</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Congratulations on this well-deserved recognition. If you have any questions, please let me know.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Sincerely,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/s/ Gregory S. Lovins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Greg Lovins</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SVP and CFO</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 xml:space="preserve">Accepted by: </w:t>
      </w:r>
      <w:r>
        <w:rPr>
          <w:rFonts w:ascii="Arial;sans-serif" w:hAnsi="Arial;sans-serif"/>
          <w:b/>
          <w:color w:val="000000"/>
          <w:sz w:val="22"/>
          <w:u w:val="single"/>
        </w:rPr>
        <w:t>/s/ Divina F. Santiago    </w:t>
      </w:r>
      <w:r>
        <w:rPr>
          <w:color w:val="000000"/>
        </w:rPr>
        <w:t>    </w:t>
      </w:r>
      <w:r>
        <w:rPr>
          <w:rFonts w:ascii="Arial;sans-serif" w:hAnsi="Arial;sans-serif"/>
          <w:b/>
          <w:color w:val="000000"/>
          <w:sz w:val="22"/>
        </w:rPr>
        <w:t xml:space="preserve">Date: </w:t>
      </w:r>
      <w:r>
        <w:rPr>
          <w:rFonts w:ascii="Arial;sans-serif" w:hAnsi="Arial;sans-serif"/>
          <w:b/>
          <w:color w:val="000000"/>
          <w:sz w:val="22"/>
          <w:u w:val="single"/>
        </w:rPr>
        <w:t xml:space="preserve">March 12, 2026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18"/>
        </w:rPr>
      </w:pPr>
      <w:r>
        <w:rPr>
          <w:rFonts w:ascii="Times New Roman;serif" w:hAnsi="Times New Roman;serif"/>
          <w:b/>
          <w:color w:val="000000"/>
          <w:sz w:val="18"/>
        </w:rPr>
        <w:t>Exhibit 31.1</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CERTIFICATION OF CHIEF EXECUTIVE OFFICER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 SECTION 302 OF THE SARBANES-OXLEY ACT OF 2002</w:t>
      </w:r>
    </w:p>
    <w:p>
      <w:pPr>
        <w:pStyle w:val="TextBody"/>
        <w:bidi w:val="0"/>
        <w:spacing w:lineRule="auto" w:line="288" w:before="240" w:after="283"/>
        <w:jc w:val="both"/>
        <w:rPr>
          <w:rFonts w:ascii="Times New Roman;serif" w:hAnsi="Times New Roman;serif"/>
          <w:b/>
          <w:color w:val="000000"/>
          <w:sz w:val="18"/>
          <w:u w:val="single"/>
        </w:rPr>
      </w:pPr>
      <w:r>
        <w:rPr>
          <w:rFonts w:ascii="Times New Roman;serif" w:hAnsi="Times New Roman;serif"/>
          <w:b/>
          <w:color w:val="000000"/>
          <w:sz w:val="18"/>
          <w:u w:val="single"/>
        </w:rPr>
        <w:t>CERTIFICATION</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I, Deon M. Stander, certify that:</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1.I have reviewed this Quarterly Report on Form 10-Q of Avery Dennison Corporation;</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b)any fraud, whether or not material, that involves management or other employees who have a significant role in the registrant’s internal control over financial reporting.</w:t>
      </w:r>
    </w:p>
    <w:tbl>
      <w:tblPr>
        <w:tblW w:w="3868" w:type="dxa"/>
        <w:jc w:val="left"/>
        <w:tblInd w:w="0" w:type="dxa"/>
        <w:tblLayout w:type="fixed"/>
        <w:tblCellMar>
          <w:top w:w="28" w:type="dxa"/>
          <w:left w:w="28" w:type="dxa"/>
          <w:bottom w:w="28" w:type="dxa"/>
          <w:right w:w="28" w:type="dxa"/>
        </w:tblCellMar>
      </w:tblPr>
      <w:tblGrid>
        <w:gridCol w:w="374"/>
        <w:gridCol w:w="330"/>
        <w:gridCol w:w="331"/>
        <w:gridCol w:w="181"/>
        <w:gridCol w:w="181"/>
        <w:gridCol w:w="181"/>
        <w:gridCol w:w="669"/>
        <w:gridCol w:w="669"/>
        <w:gridCol w:w="952"/>
      </w:tblGrid>
      <w:tr>
        <w:trPr/>
        <w:tc>
          <w:tcPr>
            <w:tcW w:w="37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w:t>
            </w:r>
          </w:p>
        </w:tc>
        <w:tc>
          <w:tcPr>
            <w:tcW w:w="22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Deon M. Stander</w:t>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Deon M. Stander</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President and Chief Executive Officer</w:t>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May 4, 2026</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lineRule="auto" w:line="288" w:before="240"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CERTIFICATION OF CHIEF FINANCIAL OFFICER</w:t>
      </w:r>
    </w:p>
    <w:p>
      <w:pPr>
        <w:pStyle w:val="TextBody"/>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PURSUANT TO SECTION 302 OF THE SARBANES-OXLEY ACT OF 2002</w:t>
      </w:r>
    </w:p>
    <w:p>
      <w:pPr>
        <w:pStyle w:val="TextBody"/>
        <w:bidi w:val="0"/>
        <w:spacing w:lineRule="auto" w:line="288" w:before="240" w:after="283"/>
        <w:jc w:val="both"/>
        <w:rPr>
          <w:rFonts w:ascii="Times New Roman;serif" w:hAnsi="Times New Roman;serif"/>
          <w:b/>
          <w:color w:val="000000"/>
          <w:sz w:val="18"/>
          <w:u w:val="single"/>
          <w:shd w:fill="FFFFFF" w:val="clear"/>
        </w:rPr>
      </w:pPr>
      <w:r>
        <w:rPr>
          <w:rFonts w:ascii="Times New Roman;serif" w:hAnsi="Times New Roman;serif"/>
          <w:b/>
          <w:color w:val="000000"/>
          <w:sz w:val="18"/>
          <w:u w:val="single"/>
          <w:shd w:fill="FFFFFF" w:val="clear"/>
        </w:rPr>
        <w:t>CERTIFICATION</w:t>
      </w:r>
    </w:p>
    <w:p>
      <w:pPr>
        <w:pStyle w:val="TextBody"/>
        <w:bidi w:val="0"/>
        <w:spacing w:lineRule="auto" w:line="288" w:before="240" w:after="283"/>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I, Gregory S. Lovins, certify that:</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1.I have reviewed this Quarterly Report on Form 10-Q of Avery Dennison Corporation;</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b)any fraud, whether or not material, that involves management or other employees who have a significant role in the registrant’s internal control over financial reporting.</w:t>
      </w:r>
    </w:p>
    <w:tbl>
      <w:tblPr>
        <w:tblW w:w="4709" w:type="dxa"/>
        <w:jc w:val="left"/>
        <w:tblInd w:w="0" w:type="dxa"/>
        <w:tblLayout w:type="fixed"/>
        <w:tblCellMar>
          <w:top w:w="28" w:type="dxa"/>
          <w:left w:w="28" w:type="dxa"/>
          <w:bottom w:w="28" w:type="dxa"/>
          <w:right w:w="28" w:type="dxa"/>
        </w:tblCellMar>
      </w:tblPr>
      <w:tblGrid>
        <w:gridCol w:w="374"/>
        <w:gridCol w:w="330"/>
        <w:gridCol w:w="331"/>
        <w:gridCol w:w="221"/>
        <w:gridCol w:w="221"/>
        <w:gridCol w:w="221"/>
        <w:gridCol w:w="882"/>
        <w:gridCol w:w="882"/>
        <w:gridCol w:w="1247"/>
      </w:tblGrid>
      <w:tr>
        <w:trPr/>
        <w:tc>
          <w:tcPr>
            <w:tcW w:w="37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w:t>
            </w:r>
          </w:p>
        </w:tc>
        <w:tc>
          <w:tcPr>
            <w:tcW w:w="3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Gregory S. Lovins</w:t>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Gregory S. Lovins</w:t>
              <w:br/>
              <w:t>Senior Vice President and Chief Financial Officer</w:t>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May 4, 2026</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18"/>
        </w:rPr>
      </w:pPr>
      <w:r>
        <w:rPr>
          <w:rFonts w:ascii="Times New Roman;serif" w:hAnsi="Times New Roman;serif"/>
          <w:b/>
          <w:color w:val="000000"/>
          <w:sz w:val="18"/>
        </w:rPr>
        <w:t>Exhibit 32.1</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CERTIFICATION OF CHIEF EXECUTIVE OFFICER*</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PURSUANT TO SECTION 906 OF THE SARBANES-OXLEY ACT OF 2002</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Pursuant to 18 U.S.C. Section 1350, as created by Section 906 of the Sarbanes-Oxley Act of 2002, the undersigned officer of Avery Dennison Corporation (the “Company”) hereby certifies, to the best of his knowledge, that:</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(i)the Quarterly Report on Form 10-Q of the Company for the fiscal quarter ended March 31, 2026 (the “Report”) fully complies with the requirements of Section 13(a) or Section 15(d), as applicable, of the Securities Exchange Act of 1934, as amended; and</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(ii)the information contained in the Report fairly presents, in all material respects, the financial condition and results of operations of the Company.</w:t>
      </w:r>
    </w:p>
    <w:tbl>
      <w:tblPr>
        <w:tblW w:w="4377" w:type="dxa"/>
        <w:jc w:val="left"/>
        <w:tblInd w:w="0" w:type="dxa"/>
        <w:tblLayout w:type="fixed"/>
        <w:tblCellMar>
          <w:top w:w="28" w:type="dxa"/>
          <w:left w:w="28" w:type="dxa"/>
          <w:bottom w:w="28" w:type="dxa"/>
          <w:right w:w="28" w:type="dxa"/>
        </w:tblCellMar>
      </w:tblPr>
      <w:tblGrid>
        <w:gridCol w:w="559"/>
        <w:gridCol w:w="490"/>
        <w:gridCol w:w="495"/>
        <w:gridCol w:w="181"/>
        <w:gridCol w:w="181"/>
        <w:gridCol w:w="181"/>
        <w:gridCol w:w="669"/>
        <w:gridCol w:w="669"/>
        <w:gridCol w:w="952"/>
      </w:tblGrid>
      <w:tr>
        <w:trPr/>
        <w:tc>
          <w:tcPr>
            <w:tcW w:w="55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Dated: May 4, 2026</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w:t>
            </w:r>
          </w:p>
        </w:tc>
        <w:tc>
          <w:tcPr>
            <w:tcW w:w="22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Deon M. Stander</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Deon M. Stander</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President and Chief Executive Officer</w:t>
            </w:r>
          </w:p>
        </w:tc>
      </w:tr>
    </w:tbl>
    <w:p>
      <w:pPr>
        <w:pStyle w:val="TextBody"/>
        <w:bidi w:val="0"/>
        <w:spacing w:lineRule="auto" w:line="288" w:before="240" w:after="283"/>
        <w:ind w:left="0" w:right="0" w:hanging="360"/>
        <w:jc w:val="both"/>
        <w:rPr/>
      </w:pPr>
      <w:r>
        <w:rPr>
          <w:rFonts w:ascii="sans-serif" w:hAnsi="sans-serif"/>
          <w:b w:val="false"/>
          <w:color w:val="000000"/>
          <w:sz w:val="22"/>
        </w:rPr>
        <w:t>*</w:t>
      </w:r>
      <w:r>
        <w:rPr>
          <w:rFonts w:ascii="Times New Roman;serif" w:hAnsi="Times New Roman;serif"/>
          <w:b w:val="false"/>
          <w:color w:val="000000"/>
          <w:sz w:val="18"/>
        </w:rPr>
        <w:t>The above certification accompanies the Company’s Quarterly Report on Form 10-Q and is furnished, not filed, as provided in SEC Release 33-8238, dated June 5, 2003.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18"/>
        </w:rPr>
      </w:pPr>
      <w:r>
        <w:rPr>
          <w:rFonts w:ascii="Times New Roman;serif" w:hAnsi="Times New Roman;serif"/>
          <w:b/>
          <w:color w:val="000000"/>
          <w:sz w:val="18"/>
        </w:rPr>
        <w:t>Exhibit 32.2</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CERTIFICATION OF CHIEF FINANCIAL OFFICER*</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PURSUANT TO SECTION 906 OF THE SARBANES-OXLEY ACT OF 2002</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Pursuant to 18 U.S.C. Section 1350, as created by Section 906 of the Sarbanes-Oxley Act of 2002, the undersigned officer of Avery Dennison Corporation (the “Company”) hereby certifies, to the best of his knowledge, that:</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(i)the Quarterly Report on Form 10-Q of the Company for the fiscal quarter ended March 31, 2026 (the “Report”) fully complies with the requirements of Section 13(a) or Section 15(d), as applicable, of the Securities Exchange Act of 1934, as amended; and</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(ii)the information contained in the Report fairly presents, in all material respects, the financial condition and results of operations of the Company.</w:t>
      </w:r>
    </w:p>
    <w:tbl>
      <w:tblPr>
        <w:tblW w:w="5218" w:type="dxa"/>
        <w:jc w:val="left"/>
        <w:tblInd w:w="0" w:type="dxa"/>
        <w:tblLayout w:type="fixed"/>
        <w:tblCellMar>
          <w:top w:w="28" w:type="dxa"/>
          <w:left w:w="28" w:type="dxa"/>
          <w:bottom w:w="28" w:type="dxa"/>
          <w:right w:w="28" w:type="dxa"/>
        </w:tblCellMar>
      </w:tblPr>
      <w:tblGrid>
        <w:gridCol w:w="559"/>
        <w:gridCol w:w="490"/>
        <w:gridCol w:w="495"/>
        <w:gridCol w:w="221"/>
        <w:gridCol w:w="221"/>
        <w:gridCol w:w="221"/>
        <w:gridCol w:w="882"/>
        <w:gridCol w:w="882"/>
        <w:gridCol w:w="1247"/>
      </w:tblGrid>
      <w:tr>
        <w:trPr/>
        <w:tc>
          <w:tcPr>
            <w:tcW w:w="55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68" w:before="240" w:after="283"/>
              <w:jc w:val="left"/>
              <w:rPr>
                <w:rFonts w:ascii="Times New Roman;serif" w:hAnsi="Times New Roman;serif"/>
                <w:b w:val="false"/>
                <w:color w:val="000000"/>
                <w:sz w:val="18"/>
              </w:rPr>
            </w:pPr>
            <w:r>
              <w:rPr>
                <w:rFonts w:ascii="Times New Roman;serif" w:hAnsi="Times New Roman;serif"/>
                <w:b w:val="false"/>
                <w:color w:val="000000"/>
                <w:sz w:val="18"/>
              </w:rPr>
              <w:t>Dated: May 4, 2026</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w:t>
            </w:r>
          </w:p>
        </w:tc>
        <w:tc>
          <w:tcPr>
            <w:tcW w:w="3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Gregory S. Lovins</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Gregory S. Lovins</w:t>
              <w:br/>
              <w:t>Senior Vice President and Chief Financial Officer</w:t>
            </w:r>
          </w:p>
        </w:tc>
      </w:tr>
    </w:tbl>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*The above certification accompanies the Company’s Quarterly Report on Form 10-Q and is furnished, not filed, as provided in SEC Release 33-8238, dated June 5, 2003.</w:t>
      </w:r>
    </w:p>
    <w:p>
      <w:pPr>
        <w:pStyle w:val="TextBody"/>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Nunito Sans">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818/000129993311001274/exhibit1.htm" TargetMode="External"/><Relationship Id="rId3" Type="http://schemas.openxmlformats.org/officeDocument/2006/relationships/hyperlink" Target="https://www.sec.gov/Archives/edgar/data/8818/000000881824000007/ex318k4-26x24.htm" TargetMode="External"/><Relationship Id="rId4" Type="http://schemas.openxmlformats.org/officeDocument/2006/relationships/hyperlink" Target="https://www.sec.gov/Archives/edgar/data/8818/000000881826000017/ex-31avy8k2x26x26.htm" TargetMode="External"/><Relationship Id="rId5" Type="http://schemas.openxmlformats.org/officeDocument/2006/relationships/hyperlink" Target="https://www.sec.gov/Archives/edgar/data/8818/000000881826000017/ex-31avy8k2x26x26.htm" TargetMode="External"/><Relationship Id="rId6" Type="http://schemas.openxmlformats.org/officeDocument/2006/relationships/hyperlink" Target="https://www.sec.gov/Archives/edgar/data/8818/000000881826000017/ex-31avy8k2x26x26.htm" TargetMode="External"/><Relationship Id="rId7" Type="http://schemas.openxmlformats.org/officeDocument/2006/relationships/hyperlink" Target="https://www.sec.gov/Archives/edgar/data/8818/000000881826000017/ex-31avy8k2x26x26.htm" TargetMode="External"/><Relationship Id="rId8" Type="http://schemas.openxmlformats.org/officeDocument/2006/relationships/hyperlink" Target="https://www.sec.gov/Archives/edgar/data/8818/000000881826000017/ex-31avy8k2x26x26.htm" TargetMode="External"/><Relationship Id="rId9" Type="http://schemas.openxmlformats.org/officeDocument/2006/relationships/hyperlink" Target="https://www.sec.gov/Archives/edgar/data/8818/000000881826000017/ex-31avy8k2x26x26.htm" TargetMode="External"/><Relationship Id="rId10" Type="http://schemas.openxmlformats.org/officeDocument/2006/relationships/hyperlink" Target="https://www.sec.gov/Archives/edgar/data/8818/000000881826000017/ex-31avy8k2x26x26.htm" TargetMode="External"/><Relationship Id="rId11" Type="http://schemas.openxmlformats.org/officeDocument/2006/relationships/hyperlink" Target="https://www.sec.gov/Archives/edgar/data/8818/000000881826000017/ex-31avy8k2x26x26.htm" TargetMode="External"/><Relationship Id="rId12" Type="http://schemas.openxmlformats.org/officeDocument/2006/relationships/hyperlink" Target="https://www.sec.gov/Archives/edgar/data/8818/000000881826000017/ex-31avy8k2x26x26.htm" TargetMode="External"/><Relationship Id="rId13" Type="http://schemas.openxmlformats.org/officeDocument/2006/relationships/hyperlink" Target="https://www.sec.gov/Archives/edgar/data/8818/000000881826000017/ex-31avy8k2x26x26.htm" TargetMode="External"/><Relationship Id="rId14" Type="http://schemas.openxmlformats.org/officeDocument/2006/relationships/hyperlink" Target="https://www.sec.gov/Archives/edgar/data/8818/000000881826000017/ex-31avy8k2x26x26.htm" TargetMode="External"/><Relationship Id="rId15" Type="http://schemas.openxmlformats.org/officeDocument/2006/relationships/hyperlink" Target="https://www.sec.gov/Archives/edgar/data/8818/000000881826000017/ex-31avy8k2x26x26.htm" TargetMode="External"/><Relationship Id="rId16" Type="http://schemas.openxmlformats.org/officeDocument/2006/relationships/hyperlink" Target="https://www.sec.gov/Archives/edgar/data/8818/000000881826000017/ex-31avy8k2x26x26.htm" TargetMode="External"/><Relationship Id="rId17" Type="http://schemas.openxmlformats.org/officeDocument/2006/relationships/image" Target="media/image1.png"/><Relationship Id="rId18" Type="http://schemas.openxmlformats.org/officeDocument/2006/relationships/image" Target="media/image1.pn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15984</Words>
  <Characters>89582</Characters>
  <CharactersWithSpaces>104376</CharactersWithSpaces>
  <Paragraphs>2143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