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06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2018.</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40"/>
        <w:spacing w:after="0"/>
        <w:tabs>
          <w:tab w:leader="none" w:pos="4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89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30" w:lineRule="exact"/>
        <w:rPr>
          <w:sz w:val="24"/>
          <w:szCs w:val="24"/>
          <w:color w:val="auto"/>
        </w:rPr>
      </w:pPr>
    </w:p>
    <w:p>
      <w:pPr>
        <w:jc w:val="both"/>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6"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ind w:left="100"/>
        <w:spacing w:after="0"/>
        <w:tabs>
          <w:tab w:leader="none" w:pos="2200" w:val="left"/>
          <w:tab w:leader="none" w:pos="4020" w:val="left"/>
          <w:tab w:leader="none" w:pos="6980" w:val="left"/>
          <w:tab w:leader="none" w:pos="9280" w:val="left"/>
        </w:tabs>
        <w:rPr>
          <w:sz w:val="20"/>
          <w:szCs w:val="20"/>
          <w:color w:val="auto"/>
        </w:rPr>
      </w:pPr>
      <w:r>
        <w:rPr>
          <w:rFonts w:ascii="Arial" w:cs="Arial" w:eastAsia="Arial" w:hAnsi="Arial"/>
          <w:sz w:val="16"/>
          <w:szCs w:val="16"/>
          <w:color w:val="auto"/>
        </w:rPr>
        <w:t>x Large accelerated filer</w:t>
      </w:r>
      <w:r>
        <w:rPr>
          <w:sz w:val="20"/>
          <w:szCs w:val="20"/>
          <w:color w:val="auto"/>
        </w:rPr>
        <w:tab/>
      </w:r>
      <w:r>
        <w:rPr>
          <w:rFonts w:ascii="Arial" w:cs="Arial" w:eastAsia="Arial" w:hAnsi="Arial"/>
          <w:sz w:val="16"/>
          <w:szCs w:val="16"/>
          <w:color w:val="auto"/>
        </w:rPr>
        <w:t>o Accelerated filer</w:t>
      </w:r>
      <w:r>
        <w:rPr>
          <w:sz w:val="20"/>
          <w:szCs w:val="20"/>
          <w:color w:val="auto"/>
        </w:rPr>
        <w:tab/>
      </w:r>
      <w:r>
        <w:rPr>
          <w:rFonts w:ascii="Arial" w:cs="Arial" w:eastAsia="Arial" w:hAnsi="Arial"/>
          <w:sz w:val="16"/>
          <w:szCs w:val="16"/>
          <w:color w:val="auto"/>
        </w:rPr>
        <w:t>o Non-accelerated filer</w:t>
      </w:r>
      <w:r>
        <w:rPr>
          <w:sz w:val="20"/>
          <w:szCs w:val="20"/>
          <w:color w:val="auto"/>
        </w:rPr>
        <w:tab/>
      </w:r>
      <w:r>
        <w:rPr>
          <w:rFonts w:ascii="Arial" w:cs="Arial" w:eastAsia="Arial" w:hAnsi="Arial"/>
          <w:sz w:val="16"/>
          <w:szCs w:val="16"/>
          <w:color w:val="auto"/>
        </w:rPr>
        <w:t>o Smaller reporting company</w:t>
      </w:r>
      <w:r>
        <w:rPr>
          <w:sz w:val="20"/>
          <w:szCs w:val="20"/>
          <w:color w:val="auto"/>
        </w:rPr>
        <w:tab/>
      </w:r>
      <w:r>
        <w:rPr>
          <w:rFonts w:ascii="Arial" w:cs="Arial" w:eastAsia="Arial" w:hAnsi="Arial"/>
          <w:sz w:val="14"/>
          <w:szCs w:val="14"/>
          <w:color w:val="auto"/>
        </w:rPr>
        <w:t>o Emerging growth company</w:t>
      </w:r>
    </w:p>
    <w:p>
      <w:pPr>
        <w:spacing w:after="0" w:line="2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(Do not check if a smaller reporting company)</w:t>
      </w:r>
    </w:p>
    <w:p>
      <w:pPr>
        <w:spacing w:after="0" w:line="201" w:lineRule="exact"/>
        <w:rPr>
          <w:sz w:val="24"/>
          <w:szCs w:val="24"/>
          <w:color w:val="auto"/>
        </w:rPr>
      </w:pPr>
    </w:p>
    <w:p>
      <w:pPr>
        <w:ind w:right="200"/>
        <w:spacing w:after="0" w:line="293"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$1 par value common stock outstanding as of July 28, 2018: 87,418,042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w w:val="99"/>
              </w:rPr>
              <w:t>AVERY DENNISON CORPORATION</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8"/>
              </w:rPr>
              <w:t>FISCAL SECOND QUARTER 2018 QUARTERLY REPORT ON FORM 10-Q</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6"/>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SAFE HARBOR STATEMENT</w:t>
              </w:r>
            </w:hyperlink>
          </w:p>
        </w:tc>
        <w:tc>
          <w:tcPr>
            <w:tcW w:w="8200" w:type="dxa"/>
            <w:vAlign w:val="bottom"/>
            <w:gridSpan w:val="8"/>
            <w:vMerge w:val="restart"/>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6"/>
            <w:vMerge w:val="continue"/>
          </w:tcPr>
          <w:p>
            <w:pPr>
              <w:spacing w:after="0"/>
              <w:rPr>
                <w:sz w:val="13"/>
                <w:szCs w:val="13"/>
                <w:color w:val="auto"/>
              </w:rPr>
            </w:pPr>
          </w:p>
        </w:tc>
        <w:tc>
          <w:tcPr>
            <w:tcW w:w="8200" w:type="dxa"/>
            <w:vAlign w:val="bottom"/>
            <w:gridSpan w:val="8"/>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66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500" w:type="dxa"/>
            <w:vAlign w:val="bottom"/>
            <w:tcBorders>
              <w:top w:val="single" w:sz="8" w:color="0000EE"/>
            </w:tcBorders>
          </w:tcPr>
          <w:p>
            <w:pPr>
              <w:spacing w:after="0"/>
              <w:rPr>
                <w:sz w:val="24"/>
                <w:szCs w:val="24"/>
                <w:color w:val="auto"/>
              </w:rPr>
            </w:pPr>
          </w:p>
        </w:tc>
        <w:tc>
          <w:tcPr>
            <w:tcW w:w="63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28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June 30, 2018 and December 30, 2017</w:t>
              </w:r>
            </w:hyperlink>
          </w:p>
        </w:tc>
        <w:tc>
          <w:tcPr>
            <w:tcW w:w="6260" w:type="dxa"/>
            <w:vAlign w:val="bottom"/>
            <w:gridSpan w:val="4"/>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Income</w:t>
              </w:r>
            </w:hyperlink>
          </w:p>
        </w:tc>
        <w:tc>
          <w:tcPr>
            <w:tcW w:w="58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June 30, 2018 and July 1, 2017</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and Six Months ended June 30, 2018 and July 1, 2017</w:t>
              </w:r>
            </w:hyperlink>
          </w:p>
        </w:tc>
        <w:tc>
          <w:tcPr>
            <w:tcW w:w="464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320" w:type="dxa"/>
            <w:vAlign w:val="bottom"/>
            <w:gridSpan w:val="9"/>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Six Months ended June 30, 2018 and July 1, 2017</w:t>
              </w:r>
            </w:hyperlink>
          </w:p>
        </w:tc>
        <w:tc>
          <w:tcPr>
            <w:tcW w:w="426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2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Non-GAAP Financial Measures</w:t>
              </w:r>
            </w:hyperlink>
          </w:p>
        </w:tc>
        <w:tc>
          <w:tcPr>
            <w:tcW w:w="3960" w:type="dxa"/>
            <w:vAlign w:val="bottom"/>
            <w:tcBorders>
              <w:top w:val="single" w:sz="8" w:color="0000EE"/>
            </w:tcBorders>
            <w:gridSpan w:val="10"/>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Overview and Outlook</w:t>
              </w:r>
            </w:hyperlink>
          </w:p>
        </w:tc>
        <w:tc>
          <w:tcPr>
            <w:tcW w:w="6380" w:type="dxa"/>
            <w:vAlign w:val="bottom"/>
            <w:gridSpan w:val="13"/>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Analysis of Results of Operations for the Second Quarter</w:t>
              </w:r>
            </w:hyperlink>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Results of Operations by Reportable Segment for the Second Quarter</w:t>
              </w:r>
            </w:hyperlink>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Analysis of Results of Operations for the Six Months Year-to-Date</w:t>
              </w:r>
            </w:hyperlink>
          </w:p>
        </w:tc>
        <w:tc>
          <w:tcPr>
            <w:tcW w:w="3060" w:type="dxa"/>
            <w:vAlign w:val="bottom"/>
            <w:gridSpan w:val="3"/>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Results of Operations by Reportable Segment for the Six Months Year-to-Date</w:t>
              </w:r>
            </w:hyperlink>
          </w:p>
        </w:tc>
        <w:tc>
          <w:tcPr>
            <w:tcW w:w="236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Financial Condition</w:t>
              </w:r>
            </w:hyperlink>
          </w:p>
        </w:tc>
        <w:tc>
          <w:tcPr>
            <w:tcW w:w="6600" w:type="dxa"/>
            <w:vAlign w:val="bottom"/>
            <w:gridSpan w:val="15"/>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Recent Accounting Requirements</w:t>
              </w:r>
            </w:hyperlink>
          </w:p>
        </w:tc>
        <w:tc>
          <w:tcPr>
            <w:tcW w:w="5600" w:type="dxa"/>
            <w:vAlign w:val="bottom"/>
            <w:gridSpan w:val="10"/>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384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6440" w:type="dxa"/>
            <w:vAlign w:val="bottom"/>
            <w:gridSpan w:val="1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412"/>
        </w:trPr>
        <w:tc>
          <w:tcPr>
            <w:tcW w:w="27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6700" w:type="dxa"/>
            <w:vAlign w:val="bottom"/>
            <w:gridSpan w:val="16"/>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4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880" w:type="dxa"/>
            <w:vAlign w:val="bottom"/>
            <w:gridSpan w:val="17"/>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8460" w:type="dxa"/>
            <w:vAlign w:val="bottom"/>
            <w:gridSpan w:val="24"/>
          </w:tcPr>
          <w:p>
            <w:pPr>
              <w:ind w:left="24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386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900" w:type="dxa"/>
            <w:vAlign w:val="bottom"/>
            <w:gridSpan w:val="1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5.</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6900" w:type="dxa"/>
            <w:vAlign w:val="bottom"/>
            <w:gridSpan w:val="1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Certain risks and uncertainties are discussed in more detail under “Risk Factors” and “Management’s Discussion and Analysis of Financial Condition and Results of Operations” in our Annual Report on Form 10-K for the fiscal year ended December 30, 2017, and subsequent quarterly reports on Form 10-Q, and include, but are not limited to, risks and uncertainties relating to the following: fluctuations in demand affecting sales to customers; worldwide and local economic conditions; changes in political conditions; changes in governmental laws and regulations; fluctuations in foreign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including the Tax Cuts and Jobs Act, and uncertainties associated with interpretations of such laws and regulations; outcome of tax audits; fluctuations in pension, insurance, and employee benefit costs, including risks related to the planned termination of our U.S. pension plan;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9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the degree to which higher costs can be offset with productivity measures and/or passed on to customers through selling price increases, without a significant loss of volume; (3) competitors’ actions, including pricing, expansion in key markets, and product offerings; and (4) the execution and integration of acquisitions.</w:t>
      </w:r>
    </w:p>
    <w:p>
      <w:pPr>
        <w:spacing w:after="0" w:line="17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ectPr>
          <w:pgSz w:w="11900" w:h="16838" w:orient="portrait"/>
          <w:cols w:equalWidth="0" w:num="1">
            <w:col w:w="11460"/>
          </w:cols>
          <w:pgMar w:left="240" w:top="108"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w:t>
            </w:r>
          </w:p>
        </w:tc>
        <w:tc>
          <w:tcPr>
            <w:tcW w:w="62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June 30, 2018</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215.8</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160"/>
              <w:spacing w:after="0" w:line="201" w:lineRule="exact"/>
              <w:rPr>
                <w:sz w:val="20"/>
                <w:szCs w:val="20"/>
                <w:color w:val="auto"/>
              </w:rPr>
            </w:pPr>
            <w:r>
              <w:rPr>
                <w:rFonts w:ascii="Arial" w:cs="Arial" w:eastAsia="Arial" w:hAnsi="Arial"/>
                <w:sz w:val="18"/>
                <w:szCs w:val="18"/>
                <w:color w:val="auto"/>
              </w:rPr>
              <w:t>Trade accounts receivable, less allowances of $25.7 and $36.2 at June 30, 2018 and</w:t>
            </w: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December 30, 2017, respectively</w:t>
            </w:r>
          </w:p>
        </w:tc>
        <w:tc>
          <w:tcPr>
            <w:tcW w:w="62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1,236.2</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660.8</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213.4</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2,328.1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1,084.5</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955.0</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154.7</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199.0</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441.8</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5,163.1</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384.3</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1,034.4</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176.9</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513.6</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2,109.2</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1,289.7</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Long-term retirement benefits and other liabilities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584.6</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and payable income taxes</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157.7</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$1 par value per share, authorized — 400,000,000 shares at June 30, 2018 and</w:t>
            </w: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w w:val="93"/>
              </w:rPr>
              <w:t>December 30, 2017; issued — 124,126,624 shares at June 30, 2018 and December 30, 2017;</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w w:val="93"/>
              </w:rPr>
              <w:t>outstanding — 87,613,941 shares and 88,011,541 shares at June 30, 2018 and December 30,</w:t>
            </w: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2017, respectively</w:t>
            </w:r>
          </w:p>
        </w:tc>
        <w:tc>
          <w:tcPr>
            <w:tcW w:w="62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124.1</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854.5</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6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2,702.1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stock at cost, 36,512,683 shares and 36,115,083 shares at June 30, 2018 and</w:t>
            </w:r>
          </w:p>
        </w:tc>
        <w:tc>
          <w:tcPr>
            <w:tcW w:w="6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30, 2017, respectively</w:t>
            </w:r>
          </w:p>
        </w:tc>
        <w:tc>
          <w:tcPr>
            <w:tcW w:w="6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(1,939.1)</w:t>
            </w:r>
          </w:p>
        </w:tc>
        <w:tc>
          <w:tcPr>
            <w:tcW w:w="8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(719.7)</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1,021.9</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5,163.1</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7"/>
              </w:rPr>
              <w:t>Three Months Ended</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Six Months Ended</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0"/>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21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June 30, 2018</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1, 2017</w:t>
            </w: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June 30, 2018</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1,854.2</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3,630.6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3,199.0</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1,352.8</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2,645.8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2,304.0</w:t>
            </w:r>
          </w:p>
        </w:tc>
      </w:tr>
      <w:tr>
        <w:trPr>
          <w:trHeight w:val="21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501.4</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984.8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8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287.5</w:t>
            </w:r>
          </w:p>
        </w:tc>
        <w:tc>
          <w:tcPr>
            <w:tcW w:w="6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270.8</w:t>
            </w:r>
          </w:p>
        </w:tc>
        <w:tc>
          <w:tcPr>
            <w:tcW w:w="880" w:type="dxa"/>
            <w:vAlign w:val="bottom"/>
          </w:tcPr>
          <w:p>
            <w:pPr>
              <w:spacing w:after="0"/>
              <w:rPr>
                <w:sz w:val="18"/>
                <w:szCs w:val="18"/>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582.5</w:t>
            </w:r>
          </w:p>
        </w:tc>
        <w:tc>
          <w:tcPr>
            <w:tcW w:w="2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550.6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57.1</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69.9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14.3</w:t>
            </w:r>
          </w:p>
        </w:tc>
        <w:tc>
          <w:tcPr>
            <w:tcW w:w="6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880" w:type="dxa"/>
            <w:vAlign w:val="bottom"/>
          </w:tcPr>
          <w:p>
            <w:pPr>
              <w:spacing w:after="0"/>
              <w:rPr>
                <w:sz w:val="18"/>
                <w:szCs w:val="18"/>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16"/>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8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8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10"/>
        </w:trPr>
        <w:tc>
          <w:tcPr>
            <w:tcW w:w="408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8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139.9</w:t>
            </w:r>
          </w:p>
        </w:tc>
        <w:tc>
          <w:tcPr>
            <w:tcW w:w="6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149.5</w:t>
            </w:r>
          </w:p>
        </w:tc>
        <w:tc>
          <w:tcPr>
            <w:tcW w:w="880" w:type="dxa"/>
            <w:vAlign w:val="bottom"/>
          </w:tcPr>
          <w:p>
            <w:pPr>
              <w:spacing w:after="0"/>
              <w:rPr>
                <w:sz w:val="18"/>
                <w:szCs w:val="18"/>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299.0</w:t>
            </w:r>
          </w:p>
        </w:tc>
        <w:tc>
          <w:tcPr>
            <w:tcW w:w="2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43.9</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method investment net losses</w:t>
            </w: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95.6</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220.8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1.09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1.37</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2.51</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94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1.07</w:t>
            </w:r>
          </w:p>
        </w:tc>
        <w:tc>
          <w:tcPr>
            <w:tcW w:w="8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1.34</w:t>
            </w:r>
          </w:p>
        </w:tc>
        <w:tc>
          <w:tcPr>
            <w:tcW w:w="8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2.47</w:t>
            </w:r>
          </w:p>
        </w:tc>
        <w:tc>
          <w:tcPr>
            <w:tcW w:w="8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.52</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.45</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.97</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87.9</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88.5</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87.9</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Common shares, assuming dilution</w:t>
            </w: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89.0</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89.9</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89.4</w:t>
            </w: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Three Months Ended</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Six Months Ended</w:t>
            </w:r>
          </w:p>
        </w:tc>
        <w:tc>
          <w:tcPr>
            <w:tcW w:w="700" w:type="dxa"/>
            <w:vAlign w:val="bottom"/>
            <w:tcBorders>
              <w:bottom w:val="single" w:sz="8" w:color="auto"/>
            </w:tcBorders>
          </w:tcPr>
          <w:p>
            <w:pPr>
              <w:spacing w:after="0"/>
              <w:rPr>
                <w:sz w:val="20"/>
                <w:szCs w:val="20"/>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June 30, 2018</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1, 2017</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June 30, 2018</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1, 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95.6</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220.8</w:t>
            </w:r>
          </w:p>
        </w:tc>
        <w:tc>
          <w:tcPr>
            <w:tcW w:w="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(85.9)</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5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6.0</w:t>
            </w:r>
          </w:p>
        </w:tc>
        <w:tc>
          <w:tcPr>
            <w:tcW w:w="7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11.7</w:t>
            </w:r>
          </w:p>
        </w:tc>
        <w:tc>
          <w:tcPr>
            <w:tcW w:w="6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(80.1)</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(39.2)</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15.5</w:t>
            </w:r>
          </w:p>
        </w:tc>
        <w:tc>
          <w:tcPr>
            <w:tcW w:w="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181.6</w:t>
            </w:r>
          </w:p>
        </w:tc>
        <w:tc>
          <w:tcPr>
            <w:tcW w:w="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July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220.8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1080" w:type="dxa"/>
            <w:vAlign w:val="bottom"/>
          </w:tcPr>
          <w:p>
            <w:pPr>
              <w:spacing w:after="0"/>
              <w:rPr>
                <w:sz w:val="18"/>
                <w:szCs w:val="18"/>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impairments, sales of assets, and investment settlements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settlement of pension obligations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8"/>
                <w:szCs w:val="18"/>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non-cash expense and loss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10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(170.2)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209.5</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80" w:type="dxa"/>
            <w:vAlign w:val="bottom"/>
          </w:tcPr>
          <w:p>
            <w:pPr>
              <w:spacing w:after="0"/>
              <w:rPr>
                <w:sz w:val="18"/>
                <w:szCs w:val="18"/>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080" w:type="dxa"/>
            <w:vAlign w:val="bottom"/>
          </w:tcPr>
          <w:p>
            <w:pPr>
              <w:spacing w:after="0"/>
              <w:rPr>
                <w:sz w:val="18"/>
                <w:szCs w:val="18"/>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10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(82.1)</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1080" w:type="dxa"/>
            <w:vAlign w:val="bottom"/>
          </w:tcPr>
          <w:p>
            <w:pPr>
              <w:spacing w:after="0"/>
              <w:rPr>
                <w:sz w:val="18"/>
                <w:szCs w:val="18"/>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Additional long-term borrowings</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Repayments of long-term debt and capital leases</w:t>
            </w:r>
          </w:p>
        </w:tc>
        <w:tc>
          <w:tcPr>
            <w:tcW w:w="1080" w:type="dxa"/>
            <w:vAlign w:val="bottom"/>
          </w:tcPr>
          <w:p>
            <w:pPr>
              <w:spacing w:after="0"/>
              <w:rPr>
                <w:sz w:val="18"/>
                <w:szCs w:val="18"/>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 repurchases</w:t>
            </w:r>
          </w:p>
        </w:tc>
        <w:tc>
          <w:tcPr>
            <w:tcW w:w="1080" w:type="dxa"/>
            <w:vAlign w:val="bottom"/>
          </w:tcPr>
          <w:p>
            <w:pPr>
              <w:spacing w:after="0"/>
              <w:rPr>
                <w:sz w:val="18"/>
                <w:szCs w:val="18"/>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Tax withholding for stock-based compensation</w:t>
            </w:r>
          </w:p>
        </w:tc>
        <w:tc>
          <w:tcPr>
            <w:tcW w:w="246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(32.6)</w:t>
            </w:r>
          </w:p>
        </w:tc>
        <w:tc>
          <w:tcPr>
            <w:tcW w:w="8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of contingent consideration</w:t>
            </w:r>
          </w:p>
        </w:tc>
        <w:tc>
          <w:tcPr>
            <w:tcW w:w="2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(16.8)</w:t>
            </w:r>
          </w:p>
        </w:tc>
        <w:tc>
          <w:tcPr>
            <w:tcW w:w="8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(131.8)</w:t>
            </w:r>
          </w:p>
        </w:tc>
        <w:tc>
          <w:tcPr>
            <w:tcW w:w="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(4.2)</w:t>
            </w:r>
          </w:p>
        </w:tc>
        <w:tc>
          <w:tcPr>
            <w:tcW w:w="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2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224.4</w:t>
            </w:r>
          </w:p>
        </w:tc>
        <w:tc>
          <w:tcPr>
            <w:tcW w:w="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215.8</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Condensed Consolidated Financial Statements and notes thereto in this Quarterly Report on Form 10-Q are presented as permitted by Article 10 of Regulation S-X and do not contain certain information included in the audited Consolidated Financial Statements and notes thereto in our 2017 Annual Report on Form 10-K, which should be read in conjunction with this Quarterly Report on Form 10-Q. The accompanying unaudited Condensed Consolidated Financial Statements contain all adjustments, of a normal and recurring nature,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three and six months ended June 30, 2018 and July 1, 2017 each consisted of thirteen-week and twenty-six week periods,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Guidance Updates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first quarter of 2018, we adopted an accounting guidance update that provides a single comprehensive model on accounting for revenue arising from contracts with customers and supersedes most current revenue recognition guidance, including industry-specific guidance. We adopted this guidance using the modified retrospective method, which means that reporting periods beginning in 2018 are presented in accordance with this guidance, while prior period amounts continue to be reported in accordance with the previous guidance. As allowed by this guidance, we began to apply it for contracts with customers that were not completed as of the beginning of 2018. As a result of the adoption of this guidance, the allowance for customer returns, presented as a reduction of trade accounts receivable in prior years, is now presented as a returns liability in “Other current liabilities.” As of June 30, 2018, the returns liability was $12 million. Our adoption of this guidance did not have a material impact on our financial position, results of operations, or cash flows. The disclosures required by this guidance are included in Note 2, “Revenue Recognition,” and Note 14, “Segment and Disaggregated Revenue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Net Periodic Benefit Costs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2018, we adopted an accounting guidance update that requires employers with defined benefit plans to present the service cost component of net periodic benefit cost in the same income statement line item(s) as other employee compensation costs arising from services rendered during the period. Employers are required to present the other components of net periodic benefit cost separately from the line item(s) that includes the service cost and outside of any subtotal of operating income. Components other than the service cost component are no longer eligible for capitalization in assets. Employers are required to apply the portion of this guidance on the presentation of the components of net periodic benefit cost in the income statement retrospectively, while the portion of this guidance that limits the capitalization of net periodic benefit cost in assets to the service cost component must be applied prospectively.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year results have been reclassified as required by this guidance. The effects of our adoption of this guidance on our unaudited Condensed Consolidated Statements of Income for the prior year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c>
          <w:tcPr>
            <w:tcW w:w="1260" w:type="dxa"/>
            <w:vAlign w:val="bottom"/>
            <w:tcBorders>
              <w:bottom w:val="single" w:sz="8" w:color="auto"/>
            </w:tcBorders>
          </w:tcPr>
          <w:p>
            <w:pPr>
              <w:spacing w:after="0"/>
              <w:rPr>
                <w:sz w:val="20"/>
                <w:szCs w:val="20"/>
                <w:color w:val="auto"/>
              </w:rPr>
            </w:pPr>
          </w:p>
        </w:tc>
      </w:tr>
      <w:tr>
        <w:trPr>
          <w:trHeight w:val="210"/>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0"/>
              </w:rPr>
              <w:t>July 1, 2017</w:t>
            </w: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July 1, 2017</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91"/>
        </w:trPr>
        <w:tc>
          <w:tcPr>
            <w:tcW w:w="2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As</w:t>
            </w: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As</w:t>
            </w: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Previously</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Previously</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As</w:t>
            </w:r>
          </w:p>
        </w:tc>
      </w:tr>
      <w:tr>
        <w:trPr>
          <w:trHeight w:val="234"/>
        </w:trPr>
        <w:tc>
          <w:tcPr>
            <w:tcW w:w="2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Reported</w:t>
            </w:r>
          </w:p>
        </w:tc>
        <w:tc>
          <w:tcPr>
            <w:tcW w:w="19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Reclassification</w:t>
            </w: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Reclassified</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Reported</w:t>
            </w:r>
          </w:p>
        </w:tc>
        <w:tc>
          <w:tcPr>
            <w:tcW w:w="18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Reclassification</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Reclassified</w:t>
            </w:r>
          </w:p>
        </w:tc>
      </w:tr>
      <w:tr>
        <w:trPr>
          <w:trHeight w:val="195"/>
        </w:trPr>
        <w:tc>
          <w:tcPr>
            <w:tcW w:w="2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Marketing, general and</w:t>
            </w: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(5.9)</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270.8</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6"/>
              </w:rPr>
              <w:t>(9.4)</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550.6</w:t>
            </w:r>
          </w:p>
        </w:tc>
      </w:tr>
      <w:tr>
        <w:trPr>
          <w:trHeight w:val="223"/>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5.9</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 of Certain Cash Payments</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2018, we adopted an accounting guidance update that reduces the diversity in the presentation and classification of certain cash receipts and cash payments in the statement of cash flows.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year results have been reclassified as required by this guidance. The effects of our adoption of this guidance, which primarily relate to the classification of corporate-owned life insurance cash flows, on our unaudited Condensed Consolidated Statements of Cash Flows for the prior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July 1, 2017</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18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As Previously</w:t>
            </w: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Reported</w:t>
            </w:r>
          </w:p>
        </w:tc>
        <w:tc>
          <w:tcPr>
            <w:tcW w:w="20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Reclassification</w:t>
            </w:r>
          </w:p>
        </w:tc>
        <w:tc>
          <w:tcPr>
            <w:tcW w:w="13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87"/>
              </w:rPr>
              <w:t>As Reclassified</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178.3</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175.6</w:t>
            </w: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(386.2)</w:t>
            </w: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first quarter of 2018, we adopted an accounting guidance update that requires companies to recognize the income tax effects of intra-entity sales and transfers of assets other than inventory in the period in which those occur. Upon adoption, we derecognized tax-related deferred charges and recognized deferred tax assets related to certain intra-entity asset transfers as a $14 million net reduction to retained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are recognized when or as we satisfy a performance obligation by transferring control of a product or service to a customer, in an amount that reflects the consideration to which we expect to be entitled in exchange for the product or service. We consider a number of factors in determining when we have transferred control to a customer, including the following: (i) our present right to payment; (ii) the customer’s legal title to the asset; (iii) physical possession of the asset; (iv) the customer’s significant risks and rewards of ownership of the asset; and (v) the customer’s acceptance of the asset.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Generally, payment terms with our customers are consistent with those used in our industries and the regions in which we operate.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returns are accepted in certain limited circumstances. We record an estimate for returns liabilities and a corresponding reduction to sales, in the amount we expect to repay or credit customers, which we base on historical actual returns and outstanding customer claims. Changes in estimates are updated each reporting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rebates, discounts, and other customer concessions are common in the industries in which we operate and are accounted for as a reduction in sales, in an amount based on estimates at the time at which products are sold. These estimates are based on our historical experience, as well as current information such as sales forecasts. We review our estimates regularly and, as additional information becomes available, we adjust our sales and the respective accruals, if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Sales tax, value-added tax, and other taxes we collect from customers are excluded from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activities after control of a product is transferred to a customer are accounted for as a fulfillment cost and not as a separate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less than one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expense sales commissions when incurred because the amortization period would have been one year or less. These costs are recorded in “Marketing, general and administrative expense” in the unaudited Condensed Consolidated Income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revenue primarily relates to constrained variable consideration on supply agreements for sales of products, as well as to payments received in advance of performance under the contract. Deferred revenue is recognized as revenue as or when we perform under the contract.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w w:val="92"/>
              </w:rPr>
              <w:t>Avery Dennison Corporation</w:t>
            </w:r>
          </w:p>
        </w:tc>
      </w:tr>
      <w:tr>
        <w:trPr>
          <w:trHeight w:val="432"/>
        </w:trPr>
        <w:tc>
          <w:tcPr>
            <w:tcW w:w="10700" w:type="dxa"/>
            <w:vAlign w:val="bottom"/>
            <w:gridSpan w:val="5"/>
          </w:tcPr>
          <w:p>
            <w:pPr>
              <w:spacing w:after="0"/>
              <w:rPr>
                <w:sz w:val="20"/>
                <w:szCs w:val="20"/>
                <w:color w:val="auto"/>
              </w:rPr>
            </w:pPr>
            <w:r>
              <w:rPr>
                <w:rFonts w:ascii="Arial" w:cs="Arial" w:eastAsia="Arial" w:hAnsi="Arial"/>
                <w:sz w:val="18"/>
                <w:szCs w:val="18"/>
                <w:color w:val="auto"/>
              </w:rPr>
              <w:t>The following table shows the amounts and balance sheet locations of deferred revenue as of June 30, 2018 and December 30, 2017:</w:t>
            </w:r>
          </w:p>
        </w:tc>
        <w:tc>
          <w:tcPr>
            <w:tcW w:w="720" w:type="dxa"/>
            <w:vAlign w:val="bottom"/>
          </w:tcPr>
          <w:p>
            <w:pPr>
              <w:spacing w:after="0"/>
              <w:rPr>
                <w:sz w:val="24"/>
                <w:szCs w:val="24"/>
                <w:color w:val="auto"/>
              </w:rPr>
            </w:pPr>
          </w:p>
        </w:tc>
      </w:tr>
      <w:tr>
        <w:trPr>
          <w:trHeight w:val="432"/>
        </w:trPr>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color w:val="404040"/>
              </w:rPr>
              <w:t>millions</w:t>
            </w:r>
            <w:r>
              <w:rPr>
                <w:rFonts w:ascii="Arial" w:cs="Arial" w:eastAsia="Arial" w:hAnsi="Arial"/>
                <w:sz w:val="14"/>
                <w:szCs w:val="14"/>
                <w:color w:val="auto"/>
              </w:rPr>
              <w:t>)</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 2018</w:t>
            </w:r>
          </w:p>
        </w:tc>
        <w:tc>
          <w:tcPr>
            <w:tcW w:w="2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December 30, 2017</w:t>
            </w: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16"/>
        </w:trPr>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Long-term retirement benefits and other liabilities</w:t>
            </w:r>
          </w:p>
        </w:tc>
        <w:tc>
          <w:tcPr>
            <w:tcW w:w="2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r>
      <w:tr>
        <w:trPr>
          <w:trHeight w:val="217"/>
        </w:trPr>
        <w:tc>
          <w:tcPr>
            <w:tcW w:w="5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 recognized from amounts included in deferred revenue as of December 30, 2017 was $1.9 million and $10.3 million for the three and six months ended June 30, 2018, respectively, which was included in “Net sales” in the unaudited Condensed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six months ended June 30, 2018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Label and</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Retail Branding</w:t>
            </w: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Industrial and</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Graphic</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and Information</w:t>
            </w: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Healthcare</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Materials</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Solutions</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Materials</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30, 2017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200.2</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985.1</w:t>
            </w:r>
          </w:p>
        </w:tc>
      </w:tr>
      <w:tr>
        <w:trPr>
          <w:trHeight w:val="216"/>
        </w:trPr>
        <w:tc>
          <w:tcPr>
            <w:tcW w:w="3940" w:type="dxa"/>
            <w:vAlign w:val="bottom"/>
          </w:tcPr>
          <w:p>
            <w:pPr>
              <w:spacing w:after="0" w:line="216" w:lineRule="exact"/>
              <w:rPr>
                <w:sz w:val="20"/>
                <w:szCs w:val="20"/>
                <w:color w:val="auto"/>
              </w:rPr>
            </w:pPr>
            <w:r>
              <w:rPr>
                <w:rFonts w:ascii="Arial" w:cs="Arial" w:eastAsia="Arial" w:hAnsi="Arial"/>
                <w:sz w:val="18"/>
                <w:szCs w:val="18"/>
                <w:color w:val="auto"/>
              </w:rPr>
              <w:t>Acquisition adjustments</w:t>
            </w:r>
            <w:r>
              <w:rPr>
                <w:rFonts w:ascii="Arial" w:cs="Arial" w:eastAsia="Arial" w:hAnsi="Arial"/>
                <w:sz w:val="23"/>
                <w:szCs w:val="23"/>
                <w:color w:val="auto"/>
                <w:vertAlign w:val="superscript"/>
              </w:rPr>
              <w:t>(1)</w:t>
            </w:r>
          </w:p>
        </w:tc>
        <w:tc>
          <w:tcPr>
            <w:tcW w:w="15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165"/>
        </w:trPr>
        <w:tc>
          <w:tcPr>
            <w:tcW w:w="39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(7.6)</w:t>
            </w: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as of June 30, 2018</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421.9</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352.3</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180.8</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955.0</w:t>
            </w:r>
          </w:p>
        </w:tc>
      </w:tr>
    </w:tbl>
    <w:p>
      <w:pPr>
        <w:spacing w:after="0" w:line="31" w:lineRule="exact"/>
        <w:rPr>
          <w:sz w:val="20"/>
          <w:szCs w:val="20"/>
          <w:color w:val="auto"/>
        </w:rPr>
      </w:pPr>
    </w:p>
    <w:p>
      <w:pPr>
        <w:jc w:val="both"/>
        <w:ind w:left="140" w:hanging="129"/>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Goodwill purchase price allocation adjustments and measurement period adjustments for contingent consideration liabilities, in each case related to the acquisition of Yongle Tape Ltd. completed in June 2017.</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goodwill at June 30, 2018 and December 30, 2017 were net of accumulated impairment losses of $820 million recognized in fiscal year 2009 by our Retail Branding and Information Solutions (“RBIS”)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During the second quarter of 2017, we used the remainder for general corporate purposes, including acquisitions. We designate a portion of these senior notes as a net investment hedge of our investment in foreign operations. Refer to Note 8, “Financial Instruments,” for more information.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 of our long-term debt is primarily based on the credit spread above U.S. Treasury securities or euro government bond securities, as applicable, on notes with similar rates, credit ratings, and remaining maturities. The fair value of short-term borrowings, which includes commercial paper issuances and short-term lines of credit, approximates the carrying value given the short duration of these obligations. The fair value of our total debt was $1.67 billion at June 30, 2018 and $1.60 billion at December 30, 2017. Fair value amounts were determined based primarily on Level 2 inputs, which are inputs other than quoted prices in active markets that are either directly or indirectly observable.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$800 million revolving credit facility (the “Revolver”) contains financial covenants requiring that we maintain specified ratios, including total debt and interest expense in relation to certain measures of income. No balance was outstanding under the Revolver as of June 30, 2018 or December 30, 2017. As of June 30, 2018 and December 30, 2017, we were in compliance with our financial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number of defined benefit plans, the accrual of benefits under some of which have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5"/>
              </w:rPr>
              <w:t>Pension Benefits</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w:t>
            </w: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9"/>
              </w:rPr>
              <w:t>Six Months Ended</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June 30, 2018</w:t>
            </w: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July 1, 2017</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2"/>
              </w:rPr>
              <w:t>June 30, 2018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July 1, 2017</w:t>
            </w:r>
          </w:p>
        </w:tc>
        <w:tc>
          <w:tcPr>
            <w:tcW w:w="500" w:type="dxa"/>
            <w:vAlign w:val="bottom"/>
            <w:tcBorders>
              <w:bottom w:val="single" w:sz="8" w:color="auto"/>
            </w:tcBorders>
          </w:tcPr>
          <w:p>
            <w:pPr>
              <w:spacing w:after="0"/>
              <w:rPr>
                <w:sz w:val="18"/>
                <w:szCs w:val="18"/>
                <w:color w:val="auto"/>
              </w:rPr>
            </w:pPr>
          </w:p>
        </w:tc>
      </w:tr>
      <w:tr>
        <w:trPr>
          <w:trHeight w:val="210"/>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Int’l</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Int’l</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Int’l</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Int’l</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72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Recognized loss on settlements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 2018, settlements were related to lump-sum payments associated with a nonqualified benefit plan in the 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95"/>
              </w:rPr>
              <w:t>U.S. Postretirement Health Benefits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June 30, 2018</w:t>
            </w: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2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June 30, 2018</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credit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cost and components of net periodic benefit cost other than service cost were included in “Marketing, general and administrative expense” and “Other non-operating expense” in the unaudited Condensed Consolidated Statements of Income, respectively. Refer to Note 1, “General,” for more information.</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Subsequent to the end of the second quarter of 2018, in July 2018, our Board of Directors (“Board”) approved the termination of the Avery Dennison Pension Plan (the “ADPP”), a U.S. defined benefit plan, effective as of September 28, 2018. The ADPP is currently underfunded. In connection with the planned termination, we intend to contribute $200 million to the ADPP in August 2018 using commercial paper borrowings. We expect to settle the long-term liability associated with the ADPP termination through a combination of (i) lump-sum payments in 2018 to eligible participants who elect to receive them and (ii) the purchase of a group annuity contract from one or more yet-to-be-identified highly rated insurance companies in the first half of 2019. The actual amount of</w:t>
      </w:r>
    </w:p>
    <w:p>
      <w:pPr>
        <w:sectPr>
          <w:pgSz w:w="11900" w:h="16914" w:orient="portrait"/>
          <w:cols w:equalWidth="0" w:num="1">
            <w:col w:w="11420"/>
          </w:cols>
          <w:pgMar w:left="240" w:top="140" w:right="239" w:bottom="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our long-term liability when it is transferred will depend upon the nature and timing of participant settlements, as well as prevailing market conditions. We currently estimate the total non-cash charge associated with the termination of the ADPP to be between $575 million and $600 million, approximately $100 million of which is expected to be recognized during the fourth quarter of 2018 and the remainder of which is expected to be recognized at the time of transfer of the remaining pension liability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was $9 million and $16.4 million for the three and six months ended June 30, 2018, respectively, and $7.6 million and $13.2 million for the three and six months ended July 1, 2017, respectively. This expense was included in “Marketing, general and administrative expense” in the unaudited Condensed Consolidated Statements of Income.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we had approximately $57 million of unrecognized compensation expense related to unvested stock-based awards, which is expected to be recognized over the remaining weighted-average requisite service period of approximately two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Awards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expense related to long-term incentive units was $3.2 million and $8.8 million for the three and six months ended June 30, 2018, respectively, and $6.5 million and $16.8 million for the three and six months ended July 1, 2017, respectively. This expense was included in “Marketing, general and administrative expense” in the unaudited Condensed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approved a restructuring plan (the “2018 Plan”) associated with the consolidation of the European footprint of our Label and Graphic Materials (“LGM”) reportable segment, which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2018, we recorded $64.4 million in restructuring charges related to the 2018 Plan. These charges consisted of severance and related costs for the reduction of approximately 345 positions, as well as asset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2018, we recorded $7.7 million in restructuring charges, net of reversals, related to restructuring actions initiated during the third quarter of 2015 (“2015/2016 Actions”). These charges consisted of severance and related costs for the reduction of approximately 320 positions, lease cancellation costs, and asset impairment charges.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restructuring charges and payments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Charges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Foreign</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Accrual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Accrual at</w:t>
            </w: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(Reversals),</w:t>
            </w:r>
          </w:p>
        </w:tc>
        <w:tc>
          <w:tcPr>
            <w:tcW w:w="5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Cash</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Non-cash</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Currency</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at</w:t>
            </w: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30, 2017</w:t>
            </w:r>
          </w:p>
        </w:tc>
        <w:tc>
          <w:tcPr>
            <w:tcW w:w="4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Payments</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Impairment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Translation</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 Plan</w:t>
            </w:r>
          </w:p>
        </w:tc>
        <w:tc>
          <w:tcPr>
            <w:tcW w:w="16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57.5</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6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6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Lease cancellation costs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impairment charges</w:t>
            </w:r>
          </w:p>
        </w:tc>
        <w:tc>
          <w:tcPr>
            <w:tcW w:w="1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72.1</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3"/>
          </w:tcPr>
          <w:p>
            <w:pPr>
              <w:spacing w:after="0"/>
              <w:rPr>
                <w:sz w:val="20"/>
                <w:szCs w:val="20"/>
                <w:color w:val="auto"/>
              </w:rPr>
            </w:pPr>
            <w:r>
              <w:rPr>
                <w:rFonts w:ascii="Arial" w:cs="Arial" w:eastAsia="Arial" w:hAnsi="Arial"/>
                <w:sz w:val="18"/>
                <w:szCs w:val="18"/>
                <w:color w:val="auto"/>
                <w:w w:val="90"/>
              </w:rPr>
              <w:t>The table below shows the total amount of restructuring charges incurred by reportable segment: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26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June 30, 2018</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16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June 30, 2018</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charges by reportable segment</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57.8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Industrial and Healthcare Materials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17"/>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ectPr>
          <w:pgSz w:w="11900" w:h="16838" w:orient="portrait"/>
          <w:cols w:equalWidth="0" w:num="1">
            <w:col w:w="11420"/>
          </w:cols>
          <w:pgMar w:left="240" w:top="125" w:right="239" w:bottom="217" w:gutter="0" w:footer="0" w:header="0"/>
        </w:sectPr>
      </w:pPr>
    </w:p>
    <w:p>
      <w:pPr>
        <w:spacing w:after="0" w:line="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17" w:gutter="0" w:footer="0" w:header="0"/>
          <w:type w:val="continuous"/>
        </w:sectPr>
      </w:pPr>
    </w:p>
    <w:bookmarkStart w:id="8" w:name="page9"/>
    <w:bookmarkEnd w:id="8"/>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exchange hedge contracts to reduce our risk from foreign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 aggregate U.S. dollar equivalent notional value of our outstanding commodity contracts and foreign exchange contracts was $4.3 million and $1.05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We also enter into foreign exchange contracts to offset risks arising from foreign exchange rate fluctuations.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cash flow hedges as of June 30,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Asset</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2018</w:t>
            </w:r>
          </w:p>
        </w:tc>
        <w:tc>
          <w:tcPr>
            <w:tcW w:w="240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Liability</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2018</w:t>
            </w:r>
          </w:p>
        </w:tc>
        <w:tc>
          <w:tcPr>
            <w:tcW w:w="240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5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Long-term retirement benefits and other liabilities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other derivatives as of June 30,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Balance Sheet Location</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Asset</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2018</w:t>
            </w:r>
          </w:p>
        </w:tc>
        <w:tc>
          <w:tcPr>
            <w:tcW w:w="2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Balance Sheet Location</w:t>
            </w: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Liability</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2018</w:t>
            </w:r>
          </w:p>
        </w:tc>
        <w:tc>
          <w:tcPr>
            <w:tcW w:w="2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derivatives, representing either hedge ineffectiveness or hedge components excluded from the assessment of effectiveness, are recognized in current earnings.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(losses), before taxes, recognized in “Accumulated other comprehensive loss” (effective portion) on derivatives related to cash flow hedge contracts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8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June 30, 2018</w:t>
            </w: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2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June 30, 2018</w:t>
            </w: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amount recognized in income related to the ineffective portion of, nor the amount excluded from, effectiveness testing for cash flow hedges and derivatives not designated as hedging instruments was material for the three and six months ended June 30, 2018 or July 1, 2017.</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we expected a net gain of approximately $.6 million to be reclassified from “Accumulated other comprehensive loss” to earnings within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other derivative instruments, which are not designated as hedging instruments, the gain or loss is recognized in current earnings. These derivatives are intended to offset certain of our economic exposures. The following table shows the components of the net gains (losses) recognized in income related to these derivative instruments.</w:t>
      </w:r>
    </w:p>
    <w:p>
      <w:pPr>
        <w:spacing w:after="0" w:line="186" w:lineRule="exact"/>
        <w:rPr>
          <w:sz w:val="20"/>
          <w:szCs w:val="20"/>
          <w:color w:val="auto"/>
        </w:rPr>
      </w:pPr>
    </w:p>
    <w:p>
      <w:pPr>
        <w:ind w:left="6040"/>
        <w:spacing w:after="0"/>
        <w:tabs>
          <w:tab w:leader="none" w:pos="920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Six Months Ended</w:t>
      </w:r>
    </w:p>
    <w:p>
      <w:pPr>
        <w:sectPr>
          <w:pgSz w:w="11900" w:h="16883" w:orient="portrait"/>
          <w:cols w:equalWidth="0" w:num="1">
            <w:col w:w="11420"/>
          </w:cols>
          <w:pgMar w:left="240" w:top="125"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2980" w:type="dxa"/>
            <w:vAlign w:val="bottom"/>
          </w:tcPr>
          <w:p>
            <w:pPr>
              <w:ind w:left="520"/>
              <w:spacing w:after="0"/>
              <w:rPr>
                <w:sz w:val="20"/>
                <w:szCs w:val="20"/>
                <w:color w:val="auto"/>
              </w:rPr>
            </w:pPr>
            <w:r>
              <w:rPr>
                <w:rFonts w:ascii="Arial" w:cs="Arial" w:eastAsia="Arial" w:hAnsi="Arial"/>
                <w:sz w:val="18"/>
                <w:szCs w:val="18"/>
                <w:b w:val="1"/>
                <w:bCs w:val="1"/>
                <w:color w:val="auto"/>
              </w:rPr>
              <w:t>Location of Net Gains</w:t>
            </w: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July 1,</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1,</w:t>
            </w:r>
          </w:p>
        </w:tc>
      </w:tr>
      <w:tr>
        <w:trPr>
          <w:trHeight w:val="234"/>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(Losses) in Income</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Foreign exchange contracts</w:t>
            </w:r>
          </w:p>
        </w:tc>
        <w:tc>
          <w:tcPr>
            <w:tcW w:w="2980" w:type="dxa"/>
            <w:vAlign w:val="bottom"/>
          </w:tcPr>
          <w:p>
            <w:pPr>
              <w:ind w:left="520"/>
              <w:spacing w:after="0" w:line="201" w:lineRule="exact"/>
              <w:rPr>
                <w:sz w:val="20"/>
                <w:szCs w:val="20"/>
                <w:color w:val="auto"/>
              </w:rPr>
            </w:pPr>
            <w:r>
              <w:rPr>
                <w:rFonts w:ascii="Arial" w:cs="Arial" w:eastAsia="Arial" w:hAnsi="Arial"/>
                <w:sz w:val="18"/>
                <w:szCs w:val="18"/>
                <w:color w:val="auto"/>
              </w:rPr>
              <w:t>Marketing, general and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24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administrative expense</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17"/>
        </w:trPr>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we designated €500 million of our 1.25% senior notes due 2025 as a net investment hedge of our investment in foreign operations. In January 2018, we reduced the amount we designate as a net investment hedge to €255 million. The net assets from the investment in foreign operations were greater than the senior notes, and as such, the net investment hedge was effective.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Gains (losses), before tax, recognized in “Accumulated other comprehensive loss” (effective portion) related to the net investment hedge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8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June 30, 2018</w:t>
            </w: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2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June 30, 2018</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denominated debt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recorded no ineffectiveness from our net investment hedge in net income during the three or six months ended June 30, 2018 and July 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Taxes Based on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income before taxes, provision for income taxes, and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8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June 30, 2018</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July 1, 2017</w:t>
            </w:r>
          </w:p>
        </w:tc>
        <w:tc>
          <w:tcPr>
            <w:tcW w:w="2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June 30, 2018</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July 1, 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285.4</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43.9</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28.6</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77.2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52.3</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31.4%</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and six months ended June 30, 2018 compared to the same periods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Tax Cuts and Jobs Act (“TCJA”) enacted in December 2017.</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three and six months ended June 30, 2018 included $8.2 million and $15.4 million, respectively, of net tax charges related to the tax on global intangible low-taxed income of our foreign subsidiaries and the base-erosion anti-abuse tax on certain of our foreign earnings, partially offset by the benefit from our foreign-derived intangible income. Additionally, our effective tax rate for the three and six months ended June 30, 2018 reflected $2.5 million and $5.3 million, respectively, of tax charges related to foreign withholding taxes on our current year earnings, and $.9 million and $8 million, respectively, of discrete tax benefits from decreases in certain tax reserves, including interest and penalties, as a result of closing tax years. Our effective tax rate for the six months ended June 30, 2018 included $3.9 million of discrete tax benefits from releases of valuation allowances on certain U.S. state deferred tax assets, primarily reflecting the impact of state tax laws or regulations issued to conform to certain TCJA provisions and $7.3 million of discrete tax benefits related to excess tax benefits associated with stock-based payments.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for the three and six months ended July 1, 2017 included net discrete benefits of $.6 million and $13.3 million, respectively, related to excess tax benefits associated with stock-based payments; $3.4 million of tax benefits from effective settlements of certain foreign tax examinations and changes in our judgment about tax filing positions in certain foreign jurisdictions as a result of new information gained from our interactions with tax authorities; and $3.1 million and $4.6 million, respectively, of tax benefits due to decreases in certain tax reserves, including interest and penalties, as a result of closing tax years.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effective tax rate for the three and six months ended June 30, 2018 also included certain measurement period adjustments to the 2017 provisional amounts related to the enactment of the TCJA in accordance with guidance provided under SEC Staff Accounting Bulletin No. 118 (“SAB 118”). SAB 118 provides for a measurement period up to one year from the enactment of the TCJA within which we may complete our final assessment of the legislation’s impact. Measurement period adjustments determined during the three and six months ended June 30, 2018 did not have a significant impact on our consolidated financial statements, either individually or in the aggregate. In connection with the planned ADPP termination approved by the Board in July 2018, subsequent to the end of the second quarter of 2018, we intend to contribute $200 million to the ADPP in August 2018 and elect to deduct the contribution on our 2017 U.S. federal income tax return. Refer to Note 5, “Pension and Other Postretirement Benefits,” to the unaudited Condensed Consolidated Financial Statements for more information. We expect to recognize the tax benefit from deducting the contribution at a higher tax rate as a measurement period adjustment during the third quarter of 2018. We did not finalize any aspects of the previously disclosed provisional amounts. Furthermore, we have not made a determination on our accounting policy choice related to our global intangible low-taxed income provision nor have we completed the assessment of our indefinite reinvestment assertions. We will continue to assess any future guidance and accounting interpretations on the effects of the TCJA and expect to complete our analysis within the measurement period afforded by SAB 118.</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We and our U.S. subsidiaries completed</w:t>
      </w:r>
    </w:p>
    <w:p>
      <w:pPr>
        <w:sectPr>
          <w:pgSz w:w="11900" w:h="16838" w:orient="portrait"/>
          <w:cols w:equalWidth="0" w:num="1">
            <w:col w:w="11420"/>
          </w:cols>
          <w:pgMar w:left="240" w:top="120" w:right="239" w:bottom="0" w:gutter="0" w:footer="0" w:header="0"/>
        </w:sectPr>
      </w:pPr>
    </w:p>
    <w:bookmarkStart w:id="10" w:name="page11"/>
    <w:bookmarkEnd w:id="10"/>
    <w:p>
      <w:pPr>
        <w:ind w:right="40"/>
        <w:spacing w:after="0" w:line="277" w:lineRule="auto"/>
        <w:rPr>
          <w:sz w:val="20"/>
          <w:szCs w:val="20"/>
          <w:color w:val="auto"/>
        </w:rPr>
      </w:pPr>
      <w:r>
        <w:rPr>
          <w:rFonts w:ascii="Arial" w:cs="Arial" w:eastAsia="Arial" w:hAnsi="Arial"/>
          <w:sz w:val="18"/>
          <w:szCs w:val="18"/>
          <w:color w:val="auto"/>
        </w:rPr>
        <w:t>the Internal Revenue Service’s Compliance Assurance Process Program for 2016 in the second quarter of 2018. With some exceptions, our foreign subsidiaries are no longer subject to income tax examinations by tax authorities for years prior to 2006.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$29 million, primarily as a result of audit settlements and closing tax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10. Net Income Per Common Share</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Net income per common share was computed as follows: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5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24"/>
                <w:szCs w:val="24"/>
                <w:color w:val="auto"/>
              </w:rPr>
            </w:pPr>
          </w:p>
        </w:tc>
      </w:tr>
      <w:tr>
        <w:trPr>
          <w:trHeight w:val="191"/>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6"/>
                <w:szCs w:val="16"/>
                <w:color w:val="auto"/>
              </w:rPr>
            </w:pPr>
          </w:p>
        </w:tc>
        <w:tc>
          <w:tcPr>
            <w:tcW w:w="5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July 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6"/>
                <w:szCs w:val="16"/>
                <w:color w:val="auto"/>
              </w:rPr>
            </w:pPr>
          </w:p>
        </w:tc>
        <w:tc>
          <w:tcPr>
            <w:tcW w:w="6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July 1,</w:t>
            </w:r>
          </w:p>
        </w:tc>
      </w:tr>
      <w:tr>
        <w:trPr>
          <w:trHeight w:val="234"/>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 Net income available to common shareholders</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95.6</w:t>
            </w:r>
          </w:p>
        </w:tc>
        <w:tc>
          <w:tcPr>
            <w:tcW w:w="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220.8</w:t>
            </w:r>
          </w:p>
        </w:tc>
        <w:tc>
          <w:tcPr>
            <w:tcW w:w="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(B) Weighted average number of common shares outstanding</w:t>
            </w:r>
          </w:p>
        </w:tc>
        <w:tc>
          <w:tcPr>
            <w:tcW w:w="4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87.9</w:t>
            </w:r>
          </w:p>
        </w:tc>
        <w:tc>
          <w:tcPr>
            <w:tcW w:w="7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87.9</w:t>
            </w:r>
          </w:p>
        </w:tc>
        <w:tc>
          <w:tcPr>
            <w:tcW w:w="6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02"/>
        </w:trPr>
        <w:tc>
          <w:tcPr>
            <w:tcW w:w="5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Dilutive shares (additional common shares issuable under stock-based</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57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awards)</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w w:val="99"/>
              </w:rPr>
              <w:t>(C) Weighted average number of common shares outstanding, assuming</w:t>
            </w: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0"/>
        </w:trPr>
        <w:tc>
          <w:tcPr>
            <w:tcW w:w="5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dilution</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89.0</w:t>
            </w: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89.9</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89.4</w:t>
            </w: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 ÷ (B)</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2.51</w:t>
            </w:r>
          </w:p>
        </w:tc>
        <w:tc>
          <w:tcPr>
            <w:tcW w:w="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17"/>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assuming dilution: (A) ÷ (C)</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w:t>
            </w: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1.34</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w:t>
            </w: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Stock-based compensation awards excluded from the computation of net income per common share, assuming dilution, because they would not have had a dilutive effect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20"/>
                <w:szCs w:val="20"/>
                <w:color w:val="auto"/>
              </w:rPr>
            </w:pPr>
          </w:p>
        </w:tc>
      </w:tr>
      <w:tr>
        <w:trPr>
          <w:trHeight w:val="191"/>
        </w:trPr>
        <w:tc>
          <w:tcPr>
            <w:tcW w:w="5780" w:type="dxa"/>
            <w:vAlign w:val="bottom"/>
          </w:tcPr>
          <w:p>
            <w:pPr>
              <w:spacing w:after="0"/>
              <w:rPr>
                <w:sz w:val="16"/>
                <w:szCs w:val="16"/>
                <w:color w:val="auto"/>
              </w:rPr>
            </w:pPr>
          </w:p>
        </w:tc>
        <w:tc>
          <w:tcPr>
            <w:tcW w:w="2200" w:type="dxa"/>
            <w:vAlign w:val="bottom"/>
          </w:tcPr>
          <w:p>
            <w:pPr>
              <w:jc w:val="right"/>
              <w:ind w:right="830"/>
              <w:spacing w:after="0" w:line="191" w:lineRule="exact"/>
              <w:rPr>
                <w:sz w:val="20"/>
                <w:szCs w:val="20"/>
                <w:color w:val="auto"/>
              </w:rPr>
            </w:pPr>
            <w:r>
              <w:rPr>
                <w:rFonts w:ascii="Arial" w:cs="Arial" w:eastAsia="Arial" w:hAnsi="Arial"/>
                <w:sz w:val="18"/>
                <w:szCs w:val="18"/>
                <w:b w:val="1"/>
                <w:bCs w:val="1"/>
                <w:color w:val="auto"/>
              </w:rPr>
              <w:t>June 30,</w:t>
            </w:r>
          </w:p>
        </w:tc>
        <w:tc>
          <w:tcPr>
            <w:tcW w:w="5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July 1,</w:t>
            </w:r>
          </w:p>
        </w:tc>
        <w:tc>
          <w:tcPr>
            <w:tcW w:w="160" w:type="dxa"/>
            <w:vAlign w:val="bottom"/>
          </w:tcPr>
          <w:p>
            <w:pPr>
              <w:spacing w:after="0"/>
              <w:rPr>
                <w:sz w:val="16"/>
                <w:szCs w:val="16"/>
                <w:color w:val="auto"/>
              </w:rPr>
            </w:pPr>
          </w:p>
        </w:tc>
        <w:tc>
          <w:tcPr>
            <w:tcW w:w="2100" w:type="dxa"/>
            <w:vAlign w:val="bottom"/>
          </w:tcPr>
          <w:p>
            <w:pPr>
              <w:jc w:val="right"/>
              <w:ind w:right="770"/>
              <w:spacing w:after="0" w:line="191" w:lineRule="exact"/>
              <w:rPr>
                <w:sz w:val="20"/>
                <w:szCs w:val="20"/>
                <w:color w:val="auto"/>
              </w:rPr>
            </w:pPr>
            <w:r>
              <w:rPr>
                <w:rFonts w:ascii="Arial" w:cs="Arial" w:eastAsia="Arial" w:hAnsi="Arial"/>
                <w:sz w:val="18"/>
                <w:szCs w:val="18"/>
                <w:b w:val="1"/>
                <w:bCs w:val="1"/>
                <w:color w:val="auto"/>
              </w:rPr>
              <w:t>June 30,</w:t>
            </w:r>
          </w:p>
        </w:tc>
        <w:tc>
          <w:tcPr>
            <w:tcW w:w="6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July 1,</w:t>
            </w:r>
          </w:p>
        </w:tc>
      </w:tr>
      <w:tr>
        <w:trPr>
          <w:trHeight w:val="234"/>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195"/>
        </w:trPr>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Antidilutive shares excluded from computation of net income per common</w:t>
            </w:r>
          </w:p>
        </w:tc>
        <w:tc>
          <w:tcPr>
            <w:tcW w:w="2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7"/>
        </w:trPr>
        <w:tc>
          <w:tcPr>
            <w:tcW w:w="5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share, assuming dilution</w:t>
            </w:r>
          </w:p>
        </w:tc>
        <w:tc>
          <w:tcPr>
            <w:tcW w:w="22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1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six-month period ended June 30,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Pension and</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Foreign</w:t>
            </w:r>
          </w:p>
        </w:tc>
        <w:tc>
          <w:tcPr>
            <w:tcW w:w="6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4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Cash Flow</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Translation</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Benefits</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Hedges</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(156.2)</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(loss) income before reclassifications, net of</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tax</w:t>
            </w:r>
          </w:p>
        </w:tc>
        <w:tc>
          <w:tcPr>
            <w:tcW w:w="60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(51.6)</w:t>
            </w:r>
          </w:p>
        </w:tc>
        <w:tc>
          <w:tcPr>
            <w:tcW w:w="6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current-period other comprehensive (loss) income, net of tax</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(51.6)</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17"/>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(207.8)</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(512.3)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six-month period ended July 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Pension and</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Foreign</w:t>
            </w:r>
          </w:p>
        </w:tc>
        <w:tc>
          <w:tcPr>
            <w:tcW w:w="6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Currency</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Postretirement</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Cash Flow</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4"/>
                <w:szCs w:val="14"/>
                <w:color w:val="auto"/>
              </w:rPr>
              <w:t>(In millions)</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Translation</w:t>
            </w:r>
          </w:p>
        </w:tc>
        <w:tc>
          <w:tcPr>
            <w:tcW w:w="64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Benefits</w:t>
            </w:r>
          </w:p>
        </w:tc>
        <w:tc>
          <w:tcPr>
            <w:tcW w:w="5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Hedges</w:t>
            </w:r>
          </w:p>
        </w:tc>
        <w:tc>
          <w:tcPr>
            <w:tcW w:w="4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(212.6)</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(540.3)</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40" w:type="dxa"/>
            <w:vAlign w:val="bottom"/>
          </w:tcPr>
          <w:p>
            <w:pPr>
              <w:spacing w:after="0"/>
              <w:rPr>
                <w:sz w:val="18"/>
                <w:szCs w:val="18"/>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w w:val="99"/>
              </w:rPr>
              <w:t>Other comprehensive income (loss) before reclassifications, net of</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tax</w:t>
            </w:r>
          </w:p>
        </w:tc>
        <w:tc>
          <w:tcPr>
            <w:tcW w:w="6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27.2</w:t>
            </w:r>
          </w:p>
        </w:tc>
        <w:tc>
          <w:tcPr>
            <w:tcW w:w="64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20"/>
                <w:szCs w:val="20"/>
                <w:color w:val="auto"/>
              </w:rPr>
            </w:pPr>
          </w:p>
        </w:tc>
      </w:tr>
      <w:tr>
        <w:trPr>
          <w:trHeight w:val="216"/>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9.6</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r>
      <w:tr>
        <w:trPr>
          <w:trHeight w:val="21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current-period other comprehensive income (loss), net of tax</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27.2</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8"/>
                <w:szCs w:val="18"/>
                <w:color w:val="auto"/>
              </w:rPr>
            </w:pPr>
          </w:p>
        </w:tc>
      </w:tr>
      <w:tr>
        <w:trPr>
          <w:trHeight w:val="217"/>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July 1, 2017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(185.4)</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(530.7)</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0" w:type="dxa"/>
            <w:vAlign w:val="bottom"/>
          </w:tcPr>
          <w:p>
            <w:pPr>
              <w:spacing w:after="0"/>
              <w:rPr>
                <w:sz w:val="18"/>
                <w:szCs w:val="18"/>
                <w:color w:val="auto"/>
              </w:rPr>
            </w:pPr>
          </w:p>
        </w:tc>
      </w:tr>
      <w:tr>
        <w:trPr>
          <w:trHeight w:val="432"/>
        </w:trPr>
        <w:tc>
          <w:tcPr>
            <w:tcW w:w="5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132"/>
        </w:trPr>
        <w:tc>
          <w:tcPr>
            <w:tcW w:w="5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ectPr>
          <w:pgSz w:w="11900" w:h="16838" w:orient="portrait"/>
          <w:cols w:equalWidth="0" w:num="1">
            <w:col w:w="11460"/>
          </w:cols>
          <w:pgMar w:left="240" w:top="125" w:right="199" w:bottom="0" w:gutter="0" w:footer="0" w:header="0"/>
        </w:sectPr>
      </w:pPr>
    </w:p>
    <w:bookmarkStart w:id="11" w:name="page12"/>
    <w:bookmarkEnd w:id="11"/>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reclassified from “Accumulated other comprehensive loss” to increase (decrease) net income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88"/>
              </w:rPr>
              <w:t>Amounts Reclassified from Accumulated</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Other Comprehensive Loss</w:t>
            </w: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Three Months Ended</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Six Months Ended</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Affected Line Item</w:t>
            </w:r>
          </w:p>
        </w:tc>
        <w:tc>
          <w:tcPr>
            <w:tcW w:w="0" w:type="dxa"/>
            <w:vAlign w:val="bottom"/>
          </w:tcPr>
          <w:p>
            <w:pPr>
              <w:spacing w:after="0"/>
              <w:rPr>
                <w:sz w:val="1"/>
                <w:szCs w:val="1"/>
                <w:color w:val="auto"/>
              </w:rPr>
            </w:pPr>
          </w:p>
        </w:tc>
      </w:tr>
      <w:tr>
        <w:trPr>
          <w:trHeight w:val="178"/>
        </w:trPr>
        <w:tc>
          <w:tcPr>
            <w:tcW w:w="2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in the Statements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July 1,</w:t>
            </w:r>
          </w:p>
        </w:tc>
        <w:tc>
          <w:tcPr>
            <w:tcW w:w="5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June 30,</w:t>
            </w:r>
          </w:p>
        </w:tc>
        <w:tc>
          <w:tcPr>
            <w:tcW w:w="5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July 1,</w:t>
            </w: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Where Net Income</w:t>
            </w: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2017</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is Presented</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Foreign exchange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960" w:type="dxa"/>
            <w:vAlign w:val="bottom"/>
          </w:tcPr>
          <w:p>
            <w:pPr>
              <w:ind w:left="1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rate contracts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Pension and other</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postretirement benefits</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960" w:type="dxa"/>
            <w:vAlign w:val="bottom"/>
          </w:tcPr>
          <w:p>
            <w:pPr>
              <w:ind w:left="120"/>
              <w:spacing w:after="0"/>
              <w:rPr>
                <w:sz w:val="20"/>
                <w:szCs w:val="20"/>
                <w:color w:val="auto"/>
              </w:rPr>
            </w:pPr>
            <w:r>
              <w:rPr>
                <w:rFonts w:ascii="Arial" w:cs="Arial" w:eastAsia="Arial" w:hAnsi="Arial"/>
                <w:sz w:val="18"/>
                <w:szCs w:val="18"/>
                <w:color w:val="auto"/>
              </w:rPr>
              <w:t>Other non-operating expense</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(11.7)</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reclassifications for the</w:t>
            </w: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(12.0)</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net of tax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income tax expense (benefit) allocated to each component of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Three Months Ended</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8"/>
              </w:rPr>
              <w:t>Six Months Ended</w:t>
            </w:r>
          </w:p>
        </w:tc>
        <w:tc>
          <w:tcPr>
            <w:tcW w:w="76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w w:val="97"/>
              </w:rPr>
              <w:t>June 30,</w:t>
            </w:r>
          </w:p>
        </w:tc>
        <w:tc>
          <w:tcPr>
            <w:tcW w:w="62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July 1,</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7"/>
              </w:rPr>
              <w:t>June 30,</w:t>
            </w:r>
          </w:p>
        </w:tc>
        <w:tc>
          <w:tcPr>
            <w:tcW w:w="580" w:type="dxa"/>
            <w:vAlign w:val="bottom"/>
          </w:tcPr>
          <w:p>
            <w:pPr>
              <w:spacing w:after="0"/>
              <w:rPr>
                <w:sz w:val="16"/>
                <w:szCs w:val="16"/>
                <w:color w:val="auto"/>
              </w:rPr>
            </w:pPr>
          </w:p>
        </w:tc>
        <w:tc>
          <w:tcPr>
            <w:tcW w:w="7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July 1,</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Pension and other postretirement benefits</w:t>
            </w:r>
          </w:p>
        </w:tc>
        <w:tc>
          <w:tcPr>
            <w:tcW w:w="6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w w:val="99"/>
              </w:rPr>
              <w:t>Income tax expense (benefit) allocated to components of other</w:t>
            </w: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7"/>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5.7</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assets and liabilities carried at fair value, measured on a recurring basis, as of June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Quoted Prices</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6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 Active</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Observable</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Inputs</w:t>
            </w:r>
          </w:p>
        </w:tc>
        <w:tc>
          <w:tcPr>
            <w:tcW w:w="6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40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7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5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6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Trading securities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22.7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18.0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7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Bank drafts</w:t>
            </w:r>
          </w:p>
        </w:tc>
        <w:tc>
          <w:tcPr>
            <w:tcW w:w="17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20.4</w:t>
            </w: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Contingent consideration liabilities</w:t>
            </w:r>
          </w:p>
        </w:tc>
        <w:tc>
          <w:tcPr>
            <w:tcW w:w="1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9940" w:type="dxa"/>
            <w:vAlign w:val="bottom"/>
            <w:gridSpan w:val="9"/>
          </w:tcPr>
          <w:p>
            <w:pPr>
              <w:spacing w:after="0"/>
              <w:rPr>
                <w:sz w:val="20"/>
                <w:szCs w:val="20"/>
                <w:color w:val="auto"/>
              </w:rPr>
            </w:pPr>
            <w:r>
              <w:rPr>
                <w:rFonts w:ascii="Arial" w:cs="Arial" w:eastAsia="Arial" w:hAnsi="Arial"/>
                <w:sz w:val="18"/>
                <w:szCs w:val="18"/>
                <w:color w:val="auto"/>
                <w:w w:val="96"/>
              </w:rPr>
              <w:t>The following table shows the assets and liabilities carried at fair value, measured on a recurring basis, as of December 30, 2017:</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Quoted Prices</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6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 Active</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Observable</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Inputs</w:t>
            </w:r>
          </w:p>
        </w:tc>
        <w:tc>
          <w:tcPr>
            <w:tcW w:w="6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40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7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5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6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Trading securities</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22.7</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7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Bank drafts</w:t>
            </w:r>
          </w:p>
        </w:tc>
        <w:tc>
          <w:tcPr>
            <w:tcW w:w="17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18.4</w:t>
            </w:r>
          </w:p>
        </w:tc>
        <w:tc>
          <w:tcPr>
            <w:tcW w:w="6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56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-2599690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-2599690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Contingent consideration liabilities</w:t>
            </w:r>
          </w:p>
        </w:tc>
        <w:tc>
          <w:tcPr>
            <w:tcW w:w="1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45.0</w:t>
            </w:r>
          </w:p>
        </w:tc>
        <w:tc>
          <w:tcPr>
            <w:tcW w:w="8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Trading securities include fixed income securities (primarily U.S. government and corporate debt securities) measured at fair value using quoted prices/bids and a money market fund measured at fair value using net asset value. As of June 30, 2018, trading securities of $.4 million and $22.3 million were included in “Cash and cash equivalents” and “Other current assets,” respectively, in the unaudited Condensed Consolidated Balance Sheets. As of December 30, 2017, trading securities of $.4 million and $22.3 million were included in “Cash and cash equivalents” and “Other current assets,” respectively, in the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unaudited Condensed Consolidated Balance Sheets. Contingent consideration liabilities relate to estimated earn-out payments associated with certain of our acquisitions completed in 2017. These payments are based on the achievements of certain performance targets in 2017 and 2018 based on the applicable terms of the purchase agreements, and our estimates are based on the expected payments related to these targets under the terms of their respective agreements. We have classified these liabilities as Level 3. As of June 30, 2018, contingent consideration liabilities were included in “Other current liabilities” in the unaudited Condensed Consolidated Balance Sheets. As of December 30, 2017, contingent consideration liabilities of approximately $18 million and $27 million were included in “Other current liabilities” and “Long-term retirement benefits and other liabilities,” respectively, in the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Level 3 contingent consideration liabilities for the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 Liabilities</w:t>
            </w:r>
          </w:p>
        </w:tc>
      </w:tr>
      <w:tr>
        <w:trPr>
          <w:trHeight w:val="210"/>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Contingent Consideration</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Payments</w:t>
            </w:r>
          </w:p>
        </w:tc>
        <w:tc>
          <w:tcPr>
            <w:tcW w:w="8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886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(1)</w:t>
            </w:r>
          </w:p>
        </w:tc>
        <w:tc>
          <w:tcPr>
            <w:tcW w:w="8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4"/>
        </w:trPr>
        <w:tc>
          <w:tcPr>
            <w:tcW w:w="886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Adjustments primarily relate to measurement period adjustments. Refer to Note 3, “Goodwill,”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six months ended June 30, 2018, long-lived assets with carrying amounts totaling $18 million were written down to their fair value of $10.6 million, resulting in an impairment charge of $7.4 million, which was included in “Other expense, net” in the unaudited Condensed Consolidated Statements of Income. The fair value was based on the estimated sale price of the assets, less estimated broker fees, which is primarily a Level 3 input.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potential liabilities.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the costs of complying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potential liabilities.</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2018,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w:t>
      </w:r>
    </w:p>
    <w:p>
      <w:pPr>
        <w:sectPr>
          <w:pgSz w:w="11900" w:h="16838" w:orient="portrait"/>
          <w:cols w:equalWidth="0" w:num="1">
            <w:col w:w="11420"/>
          </w:cols>
          <w:pgMar w:left="240" w:top="121" w:right="239" w:bottom="0" w:gutter="0" w:footer="0" w:header="0"/>
        </w:sectPr>
      </w:pPr>
    </w:p>
    <w:bookmarkStart w:id="13" w:name="page14"/>
    <w:bookmarkEnd w:id="13"/>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six months ended June 30, 2018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44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Charges (reversals), net</w:t>
            </w:r>
          </w:p>
        </w:tc>
        <w:tc>
          <w:tcPr>
            <w:tcW w:w="4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June 30, 2018</w:t>
            </w:r>
          </w:p>
        </w:tc>
        <w:tc>
          <w:tcPr>
            <w:tcW w:w="4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Approximately $6 million and $5 million of the balance was classified as short-term and included in “Other current liabilities” in the unaudited Condensed Consolidated Balance Sheets as of June 30, 2018 and December 30, 2017, respectively.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and Disaggregated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 Information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Disaggregated revenue information is set forth below in the manner that best depicts how the nature, amount, timing and uncertainty of our revenue and cash flows are affected by economic factors. Revenue from our LGM reportable segment is attributed to geographic areas based on the location from which products are shipped. Revenue from our </w:t>
      </w:r>
      <w:r>
        <w:rPr>
          <w:rFonts w:ascii="Arial" w:cs="Arial" w:eastAsia="Arial" w:hAnsi="Arial"/>
          <w:sz w:val="17"/>
          <w:szCs w:val="17"/>
          <w:color w:val="auto"/>
        </w:rPr>
        <w:t>RBIS</w:t>
      </w:r>
      <w:r>
        <w:rPr>
          <w:rFonts w:ascii="Arial" w:cs="Arial" w:eastAsia="Arial" w:hAnsi="Arial"/>
          <w:sz w:val="18"/>
          <w:szCs w:val="18"/>
          <w:color w:val="auto"/>
        </w:rPr>
        <w:t xml:space="preserve"> reportable segment is shown by product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30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 2018</w:t>
            </w:r>
          </w:p>
        </w:tc>
        <w:tc>
          <w:tcPr>
            <w:tcW w:w="4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1, 2017</w:t>
            </w:r>
          </w:p>
        </w:tc>
        <w:tc>
          <w:tcPr>
            <w:tcW w:w="2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 2018</w:t>
            </w:r>
          </w:p>
        </w:tc>
        <w:tc>
          <w:tcPr>
            <w:tcW w:w="4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1, 2017</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323.1</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608.6</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Europe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490.2</w:t>
            </w:r>
          </w:p>
        </w:tc>
        <w:tc>
          <w:tcPr>
            <w:tcW w:w="4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421.9</w:t>
            </w:r>
          </w:p>
        </w:tc>
        <w:tc>
          <w:tcPr>
            <w:tcW w:w="2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975.1</w:t>
            </w:r>
          </w:p>
        </w:tc>
        <w:tc>
          <w:tcPr>
            <w:tcW w:w="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826.6</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270.8</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241.2</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538.1</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479.1</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97.5</w:t>
            </w:r>
          </w:p>
        </w:tc>
        <w:tc>
          <w:tcPr>
            <w:tcW w:w="4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88.2</w:t>
            </w:r>
          </w:p>
        </w:tc>
        <w:tc>
          <w:tcPr>
            <w:tcW w:w="2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186.3</w:t>
            </w:r>
          </w:p>
        </w:tc>
        <w:tc>
          <w:tcPr>
            <w:tcW w:w="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174.3</w:t>
            </w:r>
          </w:p>
        </w:tc>
      </w:tr>
      <w:tr>
        <w:trPr>
          <w:trHeight w:val="216"/>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international</w:t>
            </w: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75.7</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143.1</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r>
      <w:tr>
        <w:trPr>
          <w:trHeight w:val="21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Label and Graphic Materials</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1,257.3</w:t>
            </w: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1,123.1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2,475.5</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Apparel</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373.3</w:t>
            </w:r>
          </w:p>
        </w:tc>
        <w:tc>
          <w:tcPr>
            <w:tcW w:w="4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334.4</w:t>
            </w:r>
          </w:p>
        </w:tc>
        <w:tc>
          <w:tcPr>
            <w:tcW w:w="2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720.5</w:t>
            </w:r>
          </w:p>
        </w:tc>
        <w:tc>
          <w:tcPr>
            <w:tcW w:w="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662.0</w:t>
            </w:r>
          </w:p>
        </w:tc>
      </w:tr>
      <w:tr>
        <w:trPr>
          <w:trHeight w:val="216"/>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Printer Solutions</w:t>
            </w: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82.2</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1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Retail Branding and Information Solutions</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416.7</w:t>
            </w: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375.1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802.7</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741.9</w:t>
            </w:r>
          </w:p>
        </w:tc>
      </w:tr>
      <w:tr>
        <w:trPr>
          <w:trHeight w:val="223"/>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5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180.2</w:t>
            </w: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128.7</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352.4</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244.4</w:t>
            </w:r>
          </w:p>
        </w:tc>
      </w:tr>
      <w:tr>
        <w:trPr>
          <w:trHeight w:val="22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 to unaffiliated customers</w:t>
            </w: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1,854.2</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1,626.9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3,630.6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3,199.0</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information by reportable segment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6"/>
              </w:rPr>
              <w:t>Three Months Ended</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Six Months Ended</w:t>
            </w:r>
          </w:p>
        </w:tc>
        <w:tc>
          <w:tcPr>
            <w:tcW w:w="760" w:type="dxa"/>
            <w:vAlign w:val="bottom"/>
            <w:tcBorders>
              <w:bottom w:val="single" w:sz="8" w:color="auto"/>
            </w:tcBorders>
          </w:tcPr>
          <w:p>
            <w:pPr>
              <w:spacing w:after="0"/>
              <w:rPr>
                <w:sz w:val="20"/>
                <w:szCs w:val="20"/>
                <w:color w:val="auto"/>
              </w:rPr>
            </w:pPr>
          </w:p>
        </w:tc>
      </w:tr>
      <w:tr>
        <w:trPr>
          <w:trHeight w:val="210"/>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June 30, 2018</w:t>
            </w:r>
          </w:p>
        </w:tc>
        <w:tc>
          <w:tcPr>
            <w:tcW w:w="13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88"/>
              </w:rPr>
              <w:t>July 1, 2017</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June 30, 2018</w:t>
            </w: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July 1, 2017</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sales</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19.8</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38.7</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Industrial and Healthcare Materials</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4.2</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23.3</w:t>
            </w:r>
          </w:p>
        </w:tc>
        <w:tc>
          <w:tcPr>
            <w:tcW w:w="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44.5</w:t>
            </w: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115.5</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151.4</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265.2</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70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45.3</w:t>
            </w:r>
          </w:p>
        </w:tc>
        <w:tc>
          <w:tcPr>
            <w:tcW w:w="7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7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80.0</w:t>
            </w:r>
          </w:p>
        </w:tc>
        <w:tc>
          <w:tcPr>
            <w:tcW w:w="7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56.8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16.6</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29.6</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Corporate expense</w:t>
            </w:r>
          </w:p>
        </w:tc>
        <w:tc>
          <w:tcPr>
            <w:tcW w:w="7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(20.6)</w:t>
            </w:r>
          </w:p>
        </w:tc>
        <w:tc>
          <w:tcPr>
            <w:tcW w:w="7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7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(42.4)</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(27.5)</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(5.9)</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139.9</w:t>
            </w:r>
          </w:p>
        </w:tc>
        <w:tc>
          <w:tcPr>
            <w:tcW w:w="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299.0</w:t>
            </w: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285.4</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Other expense, net by reportable segment</w:t>
            </w: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57.8</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65.9</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70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178"/>
        </w:trPr>
        <w:tc>
          <w:tcPr>
            <w:tcW w:w="4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57.1</w:t>
            </w:r>
          </w:p>
        </w:tc>
        <w:tc>
          <w:tcPr>
            <w:tcW w:w="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10.2</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69.9</w:t>
            </w: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Other expense, net by type</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Severance and related costs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58.8</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63.1</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Asset impairment charges and lease cancellation costs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items: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restructuring-related charge</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Net gain on sales of assets</w:t>
            </w:r>
          </w:p>
        </w:tc>
        <w:tc>
          <w:tcPr>
            <w:tcW w:w="8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8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17"/>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57.1</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10.2</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69.9</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Note 15. Supplemental Financial Information</w:t>
            </w: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58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Net inventories consisted of the following:</w:t>
            </w: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June 30, 2018</w:t>
            </w: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December 30, 2017</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243.7</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Work-in-progress</w:t>
            </w:r>
          </w:p>
        </w:tc>
        <w:tc>
          <w:tcPr>
            <w:tcW w:w="27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196.7</w:t>
            </w:r>
          </w:p>
        </w:tc>
        <w:tc>
          <w:tcPr>
            <w:tcW w:w="8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179.8</w:t>
            </w:r>
          </w:p>
        </w:tc>
      </w:tr>
      <w:tr>
        <w:trPr>
          <w:trHeight w:val="216"/>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220.4</w:t>
            </w:r>
          </w:p>
        </w:tc>
        <w:tc>
          <w:tcPr>
            <w:tcW w:w="8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r>
      <w:tr>
        <w:trPr>
          <w:trHeight w:val="217"/>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2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660.8</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609.6</w:t>
            </w:r>
          </w:p>
        </w:tc>
      </w:tr>
      <w:tr>
        <w:trPr>
          <w:trHeight w:val="432"/>
        </w:trPr>
        <w:tc>
          <w:tcPr>
            <w:tcW w:w="588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June 30, 2018</w:t>
            </w: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December 30, 2017</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2,974.3</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3,000.9</w:t>
            </w: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2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(1,889.8)</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w:t>
            </w:r>
          </w:p>
        </w:tc>
      </w:tr>
      <w:tr>
        <w:trPr>
          <w:trHeight w:val="217"/>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1,084.5</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Research and development expense was $25.2 million and $50 million for the three and six months ended June 30, 2018, respectively, and $23.5 million and $46.4 million for the three and six months ended July 1, 2017, respectively. This expense was included in “Marketing, general and administrative expense” in the unaudited Condensed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our equity method investment was $8 million and $9.1 million as of June 30, 2018 and December 30, 2017, respectively, and was included in “Other assets” in the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Recent Accounting Requirements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the Financial Accounting Standards Board (“FASB”) issued amended guidance to improve the financial reporting of hedging relationships by better reflecting the economic results of an entity’s risk management activities in its financial statements, as well as to simplify the application of hedge accounting. Adoption of this amended guidance is required prospectively. This guidance will be effective for interim and annual periods beginning after December 15, 2018, and early adoption is permitted. We are currently assessing the timing of our adoption and the impact of this guidance on our financial position, results of operations, cash flows, and disclosures.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and in subsequent updates, the FASB issued guidance on accounting for leases that requires lessees to recognize the rights and obligations created by leases on their balance sheets. This guidance also requires enhanced disclosures regarding the amount, timing, and uncertainty of cash flows arising from leases and will be effective for interim and annual periods beginning after December 15, 2018. Early adoption is permitted. Modified retrospective adoption is required with respect to all leases that exist at or commence after the date of initial application of this guidance, with the option to use certain practical expedients. We established a cross-functional team to manage the assessment, design, and implementation of this new guidance. We are in the process of implementing processes and information technology tools and evaluating our accounting policies and controls as a result of this guidance. While we are still assessing the impact of this guidance on our financial position, results of operations, cash flows, and disclosures, we currently expect the adoption of this guidance to have a significant impact on our financial position and disclosures.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w:t>
      </w:r>
    </w:p>
    <w:p>
      <w:pPr>
        <w:sectPr>
          <w:pgSz w:w="11900" w:h="16948" w:orient="portrait"/>
          <w:cols w:equalWidth="0" w:num="1">
            <w:col w:w="11420"/>
          </w:cols>
          <w:pgMar w:left="240" w:top="140" w:right="239" w:bottom="0" w:gutter="0" w:footer="0" w:header="0"/>
        </w:sectPr>
      </w:pPr>
    </w:p>
    <w:bookmarkStart w:id="15" w:name="page16"/>
    <w:bookmarkEnd w:id="1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10"/>
          </w:tcPr>
          <w:p>
            <w:pPr>
              <w:spacing w:after="0"/>
              <w:rPr>
                <w:sz w:val="20"/>
                <w:szCs w:val="20"/>
                <w:color w:val="auto"/>
              </w:rPr>
            </w:pPr>
            <w:r>
              <w:rPr>
                <w:rFonts w:ascii="Arial" w:cs="Arial" w:eastAsia="Arial" w:hAnsi="Arial"/>
                <w:sz w:val="18"/>
                <w:szCs w:val="18"/>
                <w:color w:val="auto"/>
              </w:rPr>
              <w:t>thereto, and includes the following sections:</w:t>
            </w:r>
          </w:p>
        </w:tc>
        <w:tc>
          <w:tcPr>
            <w:tcW w:w="25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804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Non-GAAP Financial Measures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340" w:type="dxa"/>
            <w:vAlign w:val="bottom"/>
          </w:tcPr>
          <w:p>
            <w:pPr>
              <w:spacing w:after="0"/>
              <w:rPr>
                <w:sz w:val="17"/>
                <w:szCs w:val="17"/>
                <w:color w:val="auto"/>
              </w:rPr>
            </w:pPr>
          </w:p>
        </w:tc>
        <w:tc>
          <w:tcPr>
            <w:tcW w:w="2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Overview and Outlook</w:t>
              </w:r>
            </w:hyperlink>
          </w:p>
        </w:tc>
        <w:tc>
          <w:tcPr>
            <w:tcW w:w="574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Analysis of Results of Operations for the Second Quarter</w:t>
              </w:r>
            </w:hyperlink>
          </w:p>
        </w:tc>
        <w:tc>
          <w:tcPr>
            <w:tcW w:w="392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4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Results of Operations by Reportable Segment for the Second Quarter</w:t>
              </w:r>
            </w:hyperlink>
          </w:p>
        </w:tc>
        <w:tc>
          <w:tcPr>
            <w:tcW w:w="306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4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Analysis of Results of Operations for the Six Months Year-to-Date</w:t>
              </w:r>
            </w:hyperlink>
          </w:p>
        </w:tc>
        <w:tc>
          <w:tcPr>
            <w:tcW w:w="32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4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Results of Operations by Reportable Segment for the Six Months Year-to-Date</w:t>
              </w:r>
            </w:hyperlink>
          </w:p>
        </w:tc>
        <w:tc>
          <w:tcPr>
            <w:tcW w:w="238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40" w:type="dxa"/>
            <w:vAlign w:val="bottom"/>
          </w:tcPr>
          <w:p>
            <w:pPr>
              <w:spacing w:after="0"/>
              <w:rPr>
                <w:sz w:val="17"/>
                <w:szCs w:val="17"/>
                <w:color w:val="auto"/>
              </w:rPr>
            </w:pPr>
          </w:p>
        </w:tc>
        <w:tc>
          <w:tcPr>
            <w:tcW w:w="804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Financial Condition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04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Recent Accounting Requirements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presentation of our financial results that are prepared in accordance with GAAP. Based upon feedback from investors and financial analysts, we believe that the supplemental non-GAAP financial measures we provide are useful to their assessment of our performance and operating trends, as well as liquidity.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or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that facilitates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left="340" w:hanging="332"/>
        <w:spacing w:after="0" w:line="256" w:lineRule="auto"/>
        <w:tabs>
          <w:tab w:leader="none" w:pos="29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change ex. currency </w:t>
      </w:r>
      <w:r>
        <w:rPr>
          <w:rFonts w:ascii="Arial" w:cs="Arial" w:eastAsia="Arial" w:hAnsi="Arial"/>
          <w:sz w:val="18"/>
          <w:szCs w:val="18"/>
          <w:color w:val="auto"/>
        </w:rPr>
        <w:t>refers to the increase or decrease in sales excluding the estimated impact of foreign currency translation. The estimated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foreign currency translation is calculated on a constant currency basis, with prior period results translated at current period average exchange rates to exclude the effect of foreign currency fluctuations.</w:t>
      </w:r>
    </w:p>
    <w:p>
      <w:pPr>
        <w:ind w:left="340" w:right="20" w:hanging="332"/>
        <w:spacing w:after="0" w:line="261" w:lineRule="auto"/>
        <w:tabs>
          <w:tab w:leader="none" w:pos="40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foreign currency translation, product line exits,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divestitures, and, where applicable, the extra week in our fiscal year.</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sales change ex. currency and organic sales change assist investors in evaluating the sales growth from the ongoing activities of our businesses and provide greater ability to evaluate our results from period to period.</w:t>
      </w:r>
    </w:p>
    <w:p>
      <w:pPr>
        <w:spacing w:after="0" w:line="170" w:lineRule="exact"/>
        <w:rPr>
          <w:sz w:val="20"/>
          <w:szCs w:val="20"/>
          <w:color w:val="auto"/>
        </w:rPr>
      </w:pPr>
    </w:p>
    <w:p>
      <w:pPr>
        <w:jc w:val="both"/>
        <w:ind w:left="340" w:hanging="332"/>
        <w:spacing w:after="0" w:line="253" w:lineRule="auto"/>
        <w:tabs>
          <w:tab w:leader="none" w:pos="33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refers to cash flow provided by operating activities, less payments for property, plant and equipment, software and other deferred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plus proceeds from sales of property, plant and equipment, plus (minus) net proceeds from sales (purchases) of investments and proceeds from insurance. Free cash flow will also be adjusted to exclude the cash contributions and cash tax effects of the planned termination of our U.S. pension plan. We believe that free cash flow assists investors by showing the amount of cash we have available for debt reductions, dividends, share repurchases, and acquisitions.</w:t>
      </w:r>
    </w:p>
    <w:p>
      <w:pPr>
        <w:spacing w:after="0" w:line="3" w:lineRule="exact"/>
        <w:rPr>
          <w:rFonts w:ascii="Arial" w:cs="Arial" w:eastAsia="Arial" w:hAnsi="Arial"/>
          <w:sz w:val="18"/>
          <w:szCs w:val="18"/>
          <w:color w:val="auto"/>
        </w:rPr>
      </w:pPr>
    </w:p>
    <w:p>
      <w:pPr>
        <w:jc w:val="both"/>
        <w:ind w:left="340" w:hanging="332"/>
        <w:spacing w:after="0" w:line="269" w:lineRule="auto"/>
        <w:tabs>
          <w:tab w:leader="none" w:pos="38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Operational working capital </w:t>
      </w:r>
      <w:r>
        <w:rPr>
          <w:rFonts w:ascii="Arial" w:cs="Arial" w:eastAsia="Arial" w:hAnsi="Arial"/>
          <w:sz w:val="17"/>
          <w:szCs w:val="17"/>
          <w:color w:val="auto"/>
        </w:rPr>
        <w:t>refers to trade accounts receivable and inventories, net of accounts payable, and excludes cash and cash equivalents, 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reported sales change, as compared to the prior year periods,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4680" w:type="dxa"/>
            <w:vAlign w:val="bottom"/>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300" w:type="dxa"/>
            <w:vAlign w:val="bottom"/>
          </w:tcPr>
          <w:p>
            <w:pPr>
              <w:jc w:val="right"/>
              <w:ind w:right="1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June 30, 2018</w:t>
            </w:r>
          </w:p>
        </w:tc>
        <w:tc>
          <w:tcPr>
            <w:tcW w:w="2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6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r>
      <w:tr>
        <w:trPr>
          <w:trHeight w:val="210"/>
        </w:trPr>
        <w:tc>
          <w:tcPr>
            <w:tcW w:w="444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Sales change ex. currency</w:t>
            </w:r>
            <w:r>
              <w:rPr>
                <w:rFonts w:ascii="Arial" w:cs="Arial" w:eastAsia="Arial" w:hAnsi="Arial"/>
                <w:sz w:val="23"/>
                <w:szCs w:val="23"/>
                <w:color w:val="auto"/>
                <w:vertAlign w:val="superscript"/>
              </w:rPr>
              <w:t>(1)</w:t>
            </w:r>
          </w:p>
        </w:tc>
        <w:tc>
          <w:tcPr>
            <w:tcW w:w="4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10%</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Acquisitions</w:t>
            </w:r>
          </w:p>
        </w:tc>
        <w:tc>
          <w:tcPr>
            <w:tcW w:w="46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Totals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2018,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ectPr>
          <w:pgSz w:w="11900" w:h="16870" w:orient="portrait"/>
          <w:cols w:equalWidth="0" w:num="1">
            <w:col w:w="11420"/>
          </w:cols>
          <w:pgMar w:left="240" w:top="125" w:right="239" w:bottom="0" w:gutter="0" w:footer="0" w:header="0"/>
        </w:sectPr>
      </w:pPr>
    </w:p>
    <w:bookmarkStart w:id="16" w:name="page17"/>
    <w:bookmarkEnd w:id="16"/>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decreased by approximately $12 million in the first six months of 2018 compared to the same period last year. Major factors affecting net income in the first six months of 2018 compared to the prior year period included the following:</w:t>
      </w:r>
    </w:p>
    <w:p>
      <w:pPr>
        <w:spacing w:after="0" w:line="170"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restructuring charges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provision for income taxes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effect of volume and mix</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Plan</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approved a restructuring plan (the “2018 Plan”) associated with the consolidation of the European footprint of our Label and Graphic Materials (“LGM”) reportable segment, which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2018, we recorded $64.4 million in restructuring charges related to the 2018 Plan. These charges consisted of severance and related costs for the reduction of approximately 345 positions, as well as asset impairment charges. The vast majority of the cash payments associated with these charges is expected to be made in 2019. We anticipate annualized savings from the 2018 Plan of approximately $25 million, beginning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2018, we recorded $7.7 million in restructuring charges, net of reversals, related to restructuring actions initiated during the third quarter of 2015 (“2015/2016 Actions”). These charges consisted of severance and related costs for the reduction of approximately 320 positions, lease cancellation costs, and asset impairment 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savings from cost reduction actions, net of transition costs, of approximately $25 million to $30 million in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were included in “Other expense, net” in the unaudited Condensed Consolidated Statements of Income. Refer to Note 7, “Cost Reduction Actions,” to the unaudited Condensed Consolidated Financial Statements for more information.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 Termination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Subsequent to the end of the second quarter of 2018, in July 2018, our Board of Directors (“Board”) approved the termination of the Avery Dennison Pension Plan (the “ADPP”), a U.S. defined benefit plan, effective as of September 28, 2018. The ADPP is currently underfunded. In connection with the planned termination, we intend to contribute $200 million to the ADPP in August 2018 using commercial paper borrowings. We expect to settle the long-term liability associated with the ADPP termination through a combination of (i) lump-sum payments in 2018 to eligible participants who elect to receive them and (ii) the purchase of a group annuity contract from one or more yet-to-be-identified highly rated insurance companies in the first half of 2019. The actual amount of our long-term liability when it is transferred will depend upon the nature and timing of participant settlements, as well as prevailing market conditions. We currently estimate the total non-cash charge associated with the termination of the ADPP to be between $575 million and $600 million, approximately $100 million of which is expected to be recognized during the fourth quarter of 2018 and the remainder of which is expected to be recognized at the time of transfer of the remaining pension liability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 and Guidance Updates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first quarter of 2018, we adopted a new accounting pronouncement and several accounting guidance updates. Refer to Note 1, “General,” to the unaudited Condensed Consolidated Financial Statements for more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80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Borders>
              <w:bottom w:val="single" w:sz="8" w:color="auto"/>
            </w:tcBorders>
          </w:tcPr>
          <w:p>
            <w:pPr>
              <w:spacing w:after="0"/>
              <w:rPr>
                <w:sz w:val="24"/>
                <w:szCs w:val="24"/>
                <w:color w:val="auto"/>
              </w:rPr>
            </w:pPr>
          </w:p>
        </w:tc>
      </w:tr>
      <w:tr>
        <w:trPr>
          <w:trHeight w:val="210"/>
        </w:trPr>
        <w:tc>
          <w:tcPr>
            <w:tcW w:w="8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June 30, 2018</w:t>
            </w: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1, 2017</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209.5</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6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(79.5)</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68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9.3</w:t>
            </w:r>
          </w:p>
        </w:tc>
        <w:tc>
          <w:tcPr>
            <w:tcW w:w="7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6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127.6</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six months of 2018, net cash provided by operating activities increased compared to the same period last year primarily due to improved operational working capital, partially offset by higher income tax payments, net of refunds, lower net income, and higher incentive compensation payments. In the first six months of 2018, free cash flow increased compared to the same period last year primarily due to higher net cash provided by operating activities and higher proceeds from sales of property, plant and equipment, partially offset by higher combined capital and software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our 2018 results are described below.</w:t>
      </w:r>
    </w:p>
    <w:p>
      <w:pPr>
        <w:sectPr>
          <w:pgSz w:w="11900" w:h="16888" w:orient="portrait"/>
          <w:cols w:equalWidth="0" w:num="1">
            <w:col w:w="11420"/>
          </w:cols>
          <w:pgMar w:left="240" w:top="125" w:right="239" w:bottom="0" w:gutter="0" w:footer="0" w:header="0"/>
        </w:sectPr>
      </w:pPr>
    </w:p>
    <w:bookmarkStart w:id="17" w:name="page18"/>
    <w:bookmarkEnd w:id="17"/>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our net sales to increase by approximately 8.5%.</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continuation of foreign currency rates in effect during July 2018, we expect foreign currency translation to increase pre-tax operating income by approximately $18 million.</w:t>
      </w: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our full-year effective tax rate to be approximately 20%.</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anticipate our capital and software expenditures to be between $250 million and $270 million.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restructuring charges of approximately $80 million.</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the net effect of non-cash charges and the tax impact related to the ADPP planned termination to reduce net income by $45 million to $65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SECOND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Taxes</w:t>
      </w:r>
    </w:p>
    <w:p>
      <w:pPr>
        <w:spacing w:after="0" w:line="225"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19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June 30, 2018</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July 1,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1,854.2</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1,352.8</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501.4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68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287.5</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57.1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taxes</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139.9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 margin</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Gross profit margin for the second quarter of 2018 decreased compared to the same period last year reflecting the impact of acquisitions and other growth investments and the net impact of pricing and raw material costs, excluding the effects of 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Marketing, general and administrative expense increased in the second quarter of 2018 compared to the same period last year reflecting the impact of foreign currency translation and the impact of acquisitions and other growth investments.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0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w w:val="99"/>
              </w:rPr>
              <w:t>Three Months Ended</w:t>
            </w:r>
          </w:p>
        </w:tc>
      </w:tr>
      <w:tr>
        <w:trPr>
          <w:trHeight w:val="210"/>
        </w:trPr>
        <w:tc>
          <w:tcPr>
            <w:tcW w:w="8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June 30, 2018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July 1, 2017</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Restructuring charges:</w:t>
            </w: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6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Net gain on sale of assets</w:t>
            </w:r>
          </w:p>
        </w:tc>
        <w:tc>
          <w:tcPr>
            <w:tcW w:w="6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7"/>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57.1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Refer to Note 7, “Cost Reduction Actions,” to the unaudited Condensed Consolidated Financial Statements for more information associated with restructuring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Interest expense decreased in the second quarter of 2018 compared to the same period last year reflecting the repayment of senior notes in October 2017, which was financed by commercial paper borrowings at a lower interest rate. Refer to Note 4, “Debt,” to the unaudited Condensed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Expense</w:t>
      </w:r>
    </w:p>
    <w:p>
      <w:pPr>
        <w:spacing w:after="0" w:line="2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the first quarter of 2018, we adopted an accounting guidance update that requires employers with defined benefit plans to present the components of net periodic benefit cost other than service cost, outside of operating income. Refer to Note 1, “General,” to the unaudited Condensed Consolidated Financial Statements for more information. Other non-operating expense decreased in the second quarter of 2018 compared to the same period last year reflecting a higher expected return on plan assets in certain of our international defined benefit pension plans, partially offset by a settlement loss in a nonqualified benefit plan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 except per share amounts)</w:t>
            </w:r>
          </w:p>
        </w:tc>
        <w:tc>
          <w:tcPr>
            <w:tcW w:w="178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June 30, 2018</w:t>
            </w: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July 1, 2017</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149.5</w:t>
            </w:r>
          </w:p>
        </w:tc>
      </w:tr>
    </w:tbl>
    <w:p>
      <w:pPr>
        <w:sectPr>
          <w:pgSz w:w="11900" w:h="16838" w:orient="portrait"/>
          <w:cols w:equalWidth="0" w:num="1">
            <w:col w:w="11460"/>
          </w:cols>
          <w:pgMar w:left="240" w:top="341" w:right="19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43.9</w:t>
            </w:r>
          </w:p>
        </w:tc>
        <w:tc>
          <w:tcPr>
            <w:tcW w:w="6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method investment net losses</w:t>
            </w:r>
          </w:p>
        </w:tc>
        <w:tc>
          <w:tcPr>
            <w:tcW w:w="2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95.6</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2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1.09</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28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1.07</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tax rate for the three months ended June 30, 2018 compared to the same period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Tax Cuts and Jobs Act (“TCJA”) enacted in December 2017.</w:t>
      </w:r>
    </w:p>
    <w:p>
      <w:pPr>
        <w:spacing w:after="0" w:line="15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effective tax rate for the three months ended June 30, 2018 included $8.2 million of net tax charges related to the tax on global intangible low-taxed income of our foreign subsidiaries and the base-erosion anti-abuse tax on certain of our foreign earnings, partially offset by the benefit from our foreign-derived intangible income and $2.5 million of tax charges resulting from recognizing foreign withholding taxes on our current year earnings.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three months ended July 1, 2017 included net discrete benefits of $3.4 million of tax benefits from effective settlements of certain foreign tax examinations and changes in our judgment about tax filing positions in certain foreign jurisdictions as a result of new information gained from our interactions with tax authorities, as well as $3.1 million of tax benefits due to decreases in certain tax reserves, including interest and penalties, as a result of closing tax years.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9, “Taxes Based on Income,” to the unaudited Condensed Consolidated Financial Statements for further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OPERATIONS BY REPORTABLE SEGMENT FOR THE SECOND QUARTER</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income refers to income before taxes, interest and other non-operating expenses.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Label and Graphic Materials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7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June 30, 2018</w:t>
            </w: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July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1,277.1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115.5</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40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w w:val="96"/>
                <w:vertAlign w:val="superscript"/>
              </w:rPr>
              <w:t>(1)</w:t>
            </w:r>
            <w:r>
              <w:rPr>
                <w:rFonts w:ascii="Arial" w:cs="Arial" w:eastAsia="Arial" w:hAnsi="Arial"/>
                <w:sz w:val="18"/>
                <w:szCs w:val="18"/>
                <w:color w:val="auto"/>
                <w:w w:val="96"/>
              </w:rPr>
              <w:t>Included charges associated with restructuring in both quarters and transaction costs in 2017.</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1"/>
        </w:trPr>
        <w:tc>
          <w:tcPr>
            <w:tcW w:w="742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2018</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second quarter of 2018, net sales increased on an organic basis primarily due to higher volume. Sales increased on an organic basis at a high-single digit rate in the emerging markets. Sales increased on an organic basis at mid-single digit rates in North America and Western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decreased in the second quarter of 2018 compared to the same period last year due to higher restructuring charges, higher employee-related costs, and the net impact of pricing and raw material costs, excluding the effects of foreign currency, partially offset by the combined benefit of volume and mix, as well as benefits from changes in foreign currency.</w:t>
      </w:r>
    </w:p>
    <w:p>
      <w:pPr>
        <w:spacing w:after="0" w:line="19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ectPr>
          <w:pgSz w:w="11900" w:h="16838" w:orient="portrait"/>
          <w:cols w:equalWidth="0" w:num="1">
            <w:col w:w="11420"/>
          </w:cols>
          <w:pgMar w:left="240" w:top="125" w:right="239" w:bottom="28"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Branding and Information Solutions</w:t>
            </w: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8"/>
                <w:szCs w:val="18"/>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w w:val="87"/>
              </w:rPr>
              <w:t>June 30, 2018</w:t>
            </w:r>
          </w:p>
        </w:tc>
        <w:tc>
          <w:tcPr>
            <w:tcW w:w="5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July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417.7</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416.7</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45.3</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60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charges associated with restructuring in both quarters.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1"/>
        </w:trPr>
        <w:tc>
          <w:tcPr>
            <w:tcW w:w="762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2018</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Sales change ex. currency</w:t>
            </w:r>
            <w:r>
              <w:rPr>
                <w:rFonts w:ascii="Arial" w:cs="Arial" w:eastAsia="Arial" w:hAnsi="Arial"/>
                <w:sz w:val="23"/>
                <w:szCs w:val="23"/>
                <w:color w:val="auto"/>
                <w:vertAlign w:val="superscript"/>
              </w:rPr>
              <w:t>(1)</w:t>
            </w:r>
          </w:p>
        </w:tc>
        <w:tc>
          <w:tcPr>
            <w:tcW w:w="6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Organic sales change</w:t>
            </w:r>
          </w:p>
        </w:tc>
        <w:tc>
          <w:tcPr>
            <w:tcW w:w="6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2261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2018, net sales increased on an organic basis driven by strength in both the base business and radio-frequency identification solutions.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second quarter of 2018 compared to the same period last year primarily reflecting the benefits from higher volume, the benefits from productivity initiatives, including savings from restructuring actions, net of transition costs, and lower amortization of other intangibles resulting from business acquisitions, partially offset by higher employee-related costs and growth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Industrial and Healthcare Materials</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June 30, 2018</w:t>
            </w:r>
          </w:p>
        </w:tc>
        <w:tc>
          <w:tcPr>
            <w:tcW w:w="5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July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182.7</w:t>
            </w:r>
          </w:p>
        </w:tc>
        <w:tc>
          <w:tcPr>
            <w:tcW w:w="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180.2</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16.6</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60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charges associated with restructuring in 2018 and transaction costs in 2017.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1"/>
        </w:trPr>
        <w:tc>
          <w:tcPr>
            <w:tcW w:w="762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 2018</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6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Acquisitions</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6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second quarter of 2018, net sales increased on an organic basis primarily due to higher volume in industrial categories, which grew at a mid-single digit rate. Sales in healthcare categories increased at a low-single digit rate on an organic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income increased in the second quarter of 2018 compared to the same period last year primarily driven by the combined effect of volume and mix and the impact of acquisitions.</w:t>
      </w:r>
    </w:p>
    <w:p>
      <w:pPr>
        <w:spacing w:after="0" w:line="18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ANALYSIS OF RESULTS OF OPERATIONS FOR THE SIX MONTHS YEAR-TO-DATE</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7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 before Taxes</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7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80" w:type="dxa"/>
            <w:vAlign w:val="bottom"/>
            <w:tcBorders>
              <w:bottom w:val="single" w:sz="8" w:color="auto"/>
            </w:tcBorders>
          </w:tcPr>
          <w:p>
            <w:pPr>
              <w:spacing w:after="0"/>
              <w:rPr>
                <w:sz w:val="24"/>
                <w:szCs w:val="24"/>
                <w:color w:val="auto"/>
              </w:rPr>
            </w:pPr>
          </w:p>
        </w:tc>
      </w:tr>
      <w:tr>
        <w:trPr>
          <w:trHeight w:val="210"/>
        </w:trPr>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July 1, 2017</w:t>
            </w: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3,630.6</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3,199.0</w:t>
            </w:r>
          </w:p>
        </w:tc>
      </w:tr>
      <w:tr>
        <w:trPr>
          <w:trHeight w:val="216"/>
        </w:trPr>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Cost of products sold</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2,645.8</w:t>
            </w: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2,304.0</w:t>
            </w: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984.8</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895.0</w:t>
            </w:r>
          </w:p>
        </w:tc>
      </w:tr>
    </w:tbl>
    <w:p>
      <w:pPr>
        <w:sectPr>
          <w:pgSz w:w="11900" w:h="16838" w:orient="portrait"/>
          <w:cols w:equalWidth="0" w:num="1">
            <w:col w:w="11420"/>
          </w:cols>
          <w:pgMar w:left="240" w:top="125" w:right="239" w:bottom="0" w:gutter="0" w:footer="0" w:header="0"/>
        </w:sectPr>
      </w:pPr>
    </w:p>
    <w:bookmarkStart w:id="20" w:name="page21"/>
    <w:bookmarkEnd w:id="20"/>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28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582.5</w:t>
            </w:r>
          </w:p>
        </w:tc>
        <w:tc>
          <w:tcPr>
            <w:tcW w:w="7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69.9</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27.5</w:t>
            </w:r>
          </w:p>
        </w:tc>
        <w:tc>
          <w:tcPr>
            <w:tcW w:w="70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28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taxes</w:t>
            </w:r>
          </w:p>
        </w:tc>
        <w:tc>
          <w:tcPr>
            <w:tcW w:w="2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299.0</w:t>
            </w: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 margin</w:t>
            </w:r>
          </w:p>
        </w:tc>
        <w:tc>
          <w:tcPr>
            <w:tcW w:w="2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Gross profit margin for the first six months of 2018 decreased compared to the same period last year reflecting the impact of acquisitions and other growth investments and the net impact of pricing and raw material costs, excluding the effects of 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Marketing, general and administrative expense increased in the first six months of 2018 compared to the same period last year reflecting the impact of foreign currency translation, the impact of acquisitions and other growth investments, and higher employee-related costs, partially offset by the benefits from productivity initiatives, including savings from restructuring, net of transition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40" w:type="dxa"/>
            <w:vAlign w:val="bottom"/>
            <w:tcBorders>
              <w:bottom w:val="single" w:sz="8" w:color="auto"/>
            </w:tcBorders>
          </w:tcPr>
          <w:p>
            <w:pPr>
              <w:spacing w:after="0"/>
              <w:rPr>
                <w:sz w:val="24"/>
                <w:szCs w:val="24"/>
                <w:color w:val="auto"/>
              </w:rPr>
            </w:pP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June 30, 2018</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July 1, 2017</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Restructuring charges:</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8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Other restructuring-related charge</w:t>
            </w:r>
          </w:p>
        </w:tc>
        <w:tc>
          <w:tcPr>
            <w:tcW w:w="8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 of assets</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Transaction costs</w:t>
            </w: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17"/>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69.9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Refer to Note 7, “Cost Reduction Actions,” to the unaudited Condensed Consolidated Financial Statements for more information associated with restructuring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Interest expense decreased in the first six months of 2018 compared to the same period last year reflecting the repayment of senior notes in October 2017, which was financed by commercial paper borrowings at a lower interest rate. Refer to Note 4, “Debt,” to the unaudited Condensed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Expense</w:t>
      </w:r>
    </w:p>
    <w:p>
      <w:pPr>
        <w:spacing w:after="0" w:line="2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the first quarter of 2018, we adopted an accounting guidance update that requires employers with defined benefit plans to present the components of net periodic benefit cost other than service cost, outside of operating income. Refer to Note 1, “General,” to the unaudited Condensed Consolidated Financial Statements for more information. Other non-operating expense decreased in the first six months of 2018 compared to the same period last year reflecting a higher expected return on plan assets in certain of our international defined benefit pension plans, partially offset by a settlement loss in a nonqualified benefit plan in the 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4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0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Net Income and Earnings per Share</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60" w:type="dxa"/>
            <w:vAlign w:val="bottom"/>
            <w:gridSpan w:val="3"/>
          </w:tcPr>
          <w:p>
            <w:pPr>
              <w:spacing w:after="0"/>
              <w:rPr>
                <w:sz w:val="20"/>
                <w:szCs w:val="20"/>
                <w:color w:val="auto"/>
              </w:rPr>
            </w:pPr>
            <w:r>
              <w:rPr>
                <w:rFonts w:ascii="Arial" w:cs="Arial" w:eastAsia="Arial" w:hAnsi="Arial"/>
                <w:sz w:val="14"/>
                <w:szCs w:val="14"/>
                <w:color w:val="auto"/>
              </w:rPr>
              <w:t>(Dollars in millions, except per share amounts)</w:t>
            </w:r>
          </w:p>
        </w:tc>
        <w:tc>
          <w:tcPr>
            <w:tcW w:w="600" w:type="dxa"/>
            <w:vAlign w:val="bottom"/>
          </w:tcPr>
          <w:p>
            <w:pPr>
              <w:spacing w:after="0"/>
              <w:rPr>
                <w:sz w:val="18"/>
                <w:szCs w:val="18"/>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w w:val="90"/>
              </w:rPr>
              <w:t>June 30, 2018</w:t>
            </w:r>
          </w:p>
        </w:tc>
        <w:tc>
          <w:tcPr>
            <w:tcW w:w="4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July 1,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299.0</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77.2</w:t>
            </w:r>
          </w:p>
        </w:tc>
        <w:tc>
          <w:tcPr>
            <w:tcW w:w="4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method investment net losses</w:t>
            </w:r>
          </w:p>
        </w:tc>
        <w:tc>
          <w:tcPr>
            <w:tcW w:w="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220.8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2.51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2.47</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-2660015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-2660015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Our effective tax rate for the six months ended June 30, 2018 compared to the same period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TCJA enacted in December 2017.</w:t>
      </w:r>
    </w:p>
    <w:p>
      <w:pPr>
        <w:spacing w:after="0" w:line="17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Our effective tax rate for the six months ended June 30, 2018 included $15.4 million of net tax charges related to the tax on global intangible low-taxed income of our foreign subsidiaries and the base-erosion anti-abuse tax on certain of our foreign earnings, partially offset by the benefit from our foreign-derived intangible income; $8 million of discrete benefits from decreases in certain tax reserves, including interest and penalties, as a result of closing tax</w:t>
      </w:r>
    </w:p>
    <w:p>
      <w:pPr>
        <w:sectPr>
          <w:pgSz w:w="11900" w:h="16925" w:orient="portrait"/>
          <w:cols w:equalWidth="0" w:num="1">
            <w:col w:w="11460"/>
          </w:cols>
          <w:pgMar w:left="240" w:top="125" w:right="199" w:bottom="0" w:gutter="0" w:footer="0" w:header="0"/>
        </w:sectPr>
      </w:pPr>
    </w:p>
    <w:bookmarkStart w:id="21" w:name="page22"/>
    <w:bookmarkEnd w:id="21"/>
    <w:p>
      <w:pPr>
        <w:jc w:val="both"/>
        <w:ind w:right="40"/>
        <w:spacing w:after="0" w:line="312" w:lineRule="auto"/>
        <w:rPr>
          <w:sz w:val="20"/>
          <w:szCs w:val="20"/>
          <w:color w:val="auto"/>
        </w:rPr>
      </w:pPr>
      <w:r>
        <w:rPr>
          <w:rFonts w:ascii="Arial" w:cs="Arial" w:eastAsia="Arial" w:hAnsi="Arial"/>
          <w:sz w:val="16"/>
          <w:szCs w:val="16"/>
          <w:color w:val="auto"/>
        </w:rPr>
        <w:t>years; $7.3 million of discrete tax benefits related to excess tax benefits associated with stock-based payments; $5.3 million of tax charges resulting from recognizing foreign withholding taxes on our current year earnings; and $3.9 million of discrete tax benefits from the releases of valuation allowances on certain U.S. state deferred tax assets primarily reflecting the impact of state tax laws or regulations issued to conform to certain TCJA provisions.</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effective tax rate for six months ended July 1, 2017 included net discrete benefits of $13.3 million related to excess tax benefits associated with stock-based payments; $3.4 million of tax benefits from effective settlements of certain foreign tax examinations and changes in our judgment about tax filing positions in certain foreign jurisdictions as a result of new information gained from our interactions with tax authorities; and $4.6 million of tax benefits due to decreases in certain tax reserves, including interest and penalties, as a result of closing tax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5"/>
          </w:tcPr>
          <w:p>
            <w:pPr>
              <w:spacing w:after="0"/>
              <w:rPr>
                <w:sz w:val="20"/>
                <w:szCs w:val="20"/>
                <w:color w:val="auto"/>
              </w:rPr>
            </w:pPr>
            <w:r>
              <w:rPr>
                <w:rFonts w:ascii="Arial" w:cs="Arial" w:eastAsia="Arial" w:hAnsi="Arial"/>
                <w:sz w:val="18"/>
                <w:szCs w:val="18"/>
                <w:b w:val="1"/>
                <w:bCs w:val="1"/>
                <w:color w:val="auto"/>
              </w:rPr>
              <w:t>RESULTS OF OPERATIONS BY REPORTABLE SEGMENT FOR THE SIX MONTHS YEAR-TO-DATE</w:t>
            </w: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Operating income refers to income before taxes, interest and other non-operating expenses.</w:t>
            </w: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Label and Graphic Materials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20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June 30, 2018</w:t>
            </w:r>
          </w:p>
        </w:tc>
        <w:tc>
          <w:tcPr>
            <w:tcW w:w="4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July 1,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2,514.2</w:t>
            </w:r>
          </w:p>
        </w:tc>
        <w:tc>
          <w:tcPr>
            <w:tcW w:w="4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(38.7)</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2,475.5</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265.2</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tcPr>
          <w:p>
            <w:pPr>
              <w:spacing w:after="0" w:line="202" w:lineRule="exact"/>
              <w:rPr>
                <w:sz w:val="20"/>
                <w:szCs w:val="20"/>
                <w:color w:val="auto"/>
              </w:rPr>
            </w:pPr>
            <w:r>
              <w:rPr>
                <w:rFonts w:ascii="Arial" w:cs="Arial" w:eastAsia="Arial" w:hAnsi="Arial"/>
                <w:sz w:val="23"/>
                <w:szCs w:val="23"/>
                <w:color w:val="auto"/>
                <w:w w:val="95"/>
                <w:vertAlign w:val="superscript"/>
              </w:rPr>
              <w:t>(1)</w:t>
            </w:r>
            <w:r>
              <w:rPr>
                <w:rFonts w:ascii="Arial" w:cs="Arial" w:eastAsia="Arial" w:hAnsi="Arial"/>
                <w:sz w:val="18"/>
                <w:szCs w:val="18"/>
                <w:color w:val="auto"/>
                <w:w w:val="95"/>
              </w:rPr>
              <w:t>Included charges associated with restructuring in both years, other restructuring-related charge and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loss on sale of assets in 2018, and transaction costs in 2017.</w:t>
            </w: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65.9</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4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18"/>
        </w:trPr>
        <w:tc>
          <w:tcPr>
            <w:tcW w:w="774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80" w:type="dxa"/>
            <w:vAlign w:val="bottom"/>
            <w:gridSpan w:val="3"/>
          </w:tcPr>
          <w:p>
            <w:pPr>
              <w:ind w:left="460"/>
              <w:spacing w:after="0"/>
              <w:rPr>
                <w:sz w:val="20"/>
                <w:szCs w:val="20"/>
                <w:color w:val="auto"/>
              </w:rPr>
            </w:pPr>
            <w:r>
              <w:rPr>
                <w:rFonts w:ascii="Arial" w:cs="Arial" w:eastAsia="Arial" w:hAnsi="Arial"/>
                <w:sz w:val="18"/>
                <w:szCs w:val="18"/>
                <w:b w:val="1"/>
                <w:bCs w:val="1"/>
                <w:color w:val="auto"/>
              </w:rPr>
              <w:t>Six Months Ended</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June 30, 2018</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Acquisitions</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-2214245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-2214245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6226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73"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In the first six months of 2018, net sales increased on an organic basis primarily due to higher volume. Net sales increased on an organic basis at mid-single digit rates in emerging markets and North America. Sales increased on an organic basis at a low- to mid-single digit rate in Western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decreased in the first six months of 2018 compared to the same period last year primarily reflecting higher restructuring charges, higher employee-related costs, and the net impact of pricing and raw material costs, excluding the effects of foreign currency, partially offset by the combined effect of volume and mix, as well as benefits from changes in foreign currency.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Branding and Information Solutions</w:t>
            </w: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w w:val="88"/>
              </w:rPr>
              <w:t>June 30, 2018</w:t>
            </w:r>
          </w:p>
        </w:tc>
        <w:tc>
          <w:tcPr>
            <w:tcW w:w="5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July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804.3</w:t>
            </w: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802.7</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80.0</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23"/>
                <w:szCs w:val="23"/>
                <w:color w:val="auto"/>
                <w:w w:val="93"/>
                <w:vertAlign w:val="superscript"/>
              </w:rPr>
              <w:t>(1)</w:t>
            </w:r>
            <w:r>
              <w:rPr>
                <w:rFonts w:ascii="Arial" w:cs="Arial" w:eastAsia="Arial" w:hAnsi="Arial"/>
                <w:sz w:val="18"/>
                <w:szCs w:val="18"/>
                <w:color w:val="auto"/>
                <w:w w:val="93"/>
              </w:rPr>
              <w:t>Included charges associated with restructuring in both years, net gain on sales of assets in 2018, and</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transaction costs related to sale of product line in 2017.</w:t>
            </w:r>
          </w:p>
        </w:tc>
        <w:tc>
          <w:tcPr>
            <w:tcW w:w="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6.1</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8"/>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2018</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22" w:name="page23"/>
    <w:bookmarkEnd w:id="22"/>
    <w:p>
      <w:pPr>
        <w:jc w:val="both"/>
        <w:ind w:right="40"/>
        <w:spacing w:after="0" w:line="277" w:lineRule="auto"/>
        <w:rPr>
          <w:sz w:val="20"/>
          <w:szCs w:val="20"/>
          <w:color w:val="auto"/>
        </w:rPr>
      </w:pPr>
      <w:r>
        <w:rPr>
          <w:rFonts w:ascii="Arial" w:cs="Arial" w:eastAsia="Arial" w:hAnsi="Arial"/>
          <w:sz w:val="18"/>
          <w:szCs w:val="18"/>
          <w:color w:val="auto"/>
        </w:rPr>
        <w:t>In the first six months of 2018, net sales increased on an organic basis driven by strength in both radio-frequency identification solutions and the base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first six months of 2018 compared to the same period last year reflecting the benefits from higher volume, the benefits from productivity initiatives, including savings from restructuring actions, net of transition costs, and lower amortization of other intangibles resulting from business acquisitions, partially offset by higher employee-related costs and growth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6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7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Industrial and Healthcare Materials</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June 30, 2018</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July 1,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356.6</w:t>
            </w:r>
          </w:p>
        </w:tc>
        <w:tc>
          <w:tcPr>
            <w:tcW w:w="5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352.4</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29.6</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92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charges associated with restructuring in both years and transaction costs in 2017.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94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40" w:type="dxa"/>
            <w:vAlign w:val="bottom"/>
            <w:gridSpan w:val="3"/>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2018</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Sales change ex. currency</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Acquisitions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-3783330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-3783330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62261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7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first six months of 2018, net sales increased on an organic basis primarily due to higher volume in industrial categories, which grew at a mid-single digit rate. Sales on an organic basis increased at a low-single digit rate in healthcare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Operating income increased in the first six months of 2018 compared to the same period last year driven by the combined effect of volume and mix and the impact of acquisitions, partially offset by growth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5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5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Borders>
              <w:bottom w:val="single" w:sz="8" w:color="auto"/>
            </w:tcBorders>
          </w:tcPr>
          <w:p>
            <w:pPr>
              <w:spacing w:after="0"/>
              <w:rPr>
                <w:sz w:val="24"/>
                <w:szCs w:val="24"/>
                <w:color w:val="auto"/>
              </w:rPr>
            </w:pPr>
          </w:p>
        </w:tc>
      </w:tr>
      <w:tr>
        <w:trPr>
          <w:trHeight w:val="210"/>
        </w:trPr>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June 30, 2018</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July 1, 2017</w:t>
            </w: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89.3</w:t>
            </w:r>
          </w:p>
        </w:tc>
        <w:tc>
          <w:tcPr>
            <w:tcW w:w="4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23.1</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Net losses from impairments, sale of assets and investment settlements</w:t>
            </w:r>
          </w:p>
        </w:tc>
        <w:tc>
          <w:tcPr>
            <w:tcW w:w="56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Loss from settlement of pension obligations</w:t>
            </w:r>
          </w:p>
        </w:tc>
        <w:tc>
          <w:tcPr>
            <w:tcW w:w="56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Other non-cash expense and loss</w:t>
            </w:r>
          </w:p>
        </w:tc>
        <w:tc>
          <w:tcPr>
            <w:tcW w:w="56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28.1</w:t>
            </w:r>
          </w:p>
        </w:tc>
        <w:tc>
          <w:tcPr>
            <w:tcW w:w="4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16"/>
        </w:trPr>
        <w:tc>
          <w:tcPr>
            <w:tcW w:w="7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5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(170.2)</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17"/>
        </w:trPr>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209.5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175.6</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During the first six months of 2018, cash flow from operating activities increased compared to the same period last year primarily due to improved operational working capital, partially offset by higher income tax payments, net of refunds, lower net income, and higher incentive compensation payments.</w:t>
      </w:r>
    </w:p>
    <w:p>
      <w:pPr>
        <w:spacing w:after="0" w:line="124"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Arial" w:cs="Arial" w:eastAsia="Arial" w:hAnsi="Arial"/>
                <w:sz w:val="18"/>
                <w:szCs w:val="18"/>
                <w:color w:val="auto"/>
                <w:w w:val="91"/>
              </w:rPr>
              <w:t>Avery Dennison Corporation</w:t>
            </w:r>
          </w:p>
        </w:tc>
      </w:tr>
      <w:tr>
        <w:trPr>
          <w:trHeight w:val="432"/>
        </w:trPr>
        <w:tc>
          <w:tcPr>
            <w:tcW w:w="7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June 30, 2018</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July 1, 2017</w:t>
            </w:r>
          </w:p>
        </w:tc>
        <w:tc>
          <w:tcPr>
            <w:tcW w:w="2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(79.5)</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84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8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0" w:type="dxa"/>
            <w:vAlign w:val="bottom"/>
          </w:tcPr>
          <w:p>
            <w:pPr>
              <w:spacing w:after="0"/>
              <w:rPr>
                <w:sz w:val="18"/>
                <w:szCs w:val="18"/>
                <w:color w:val="auto"/>
              </w:rPr>
            </w:pPr>
          </w:p>
        </w:tc>
      </w:tr>
      <w:tr>
        <w:trPr>
          <w:trHeight w:val="217"/>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(82.1)</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Property, Plant and Equipment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first six months of 2018 and 2017, we invested in equipment to support growth in Asia, Europe, and North America and to improve manufacturing productivity.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Software and Other Deferred Charges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of 2018, we invested in information technology primarily associated with enterprise resource planning system implementations in North America and Asia. During the first six months of 2017, we invested in information technology primarily associated with enterprise resource planning system implementations in North America, Asia, and Europe.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from Sales of Property, Plant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six months of 2018, we received $9.3 million from sales of property, plant and equipment, the majority of which was related to the sale of two properties in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for Acquisitions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six months of 2017, the aggregate payments for acquisitions, net of cash acquired, was approximately $300 million, which we funded through cash and existing credit facilities.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8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Borders>
              <w:bottom w:val="single" w:sz="8" w:color="auto"/>
            </w:tcBorders>
          </w:tcPr>
          <w:p>
            <w:pPr>
              <w:spacing w:after="0"/>
              <w:rPr>
                <w:sz w:val="24"/>
                <w:szCs w:val="24"/>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June 30, 2018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July 1, 2017</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long-term borrowings</w:t>
            </w:r>
          </w:p>
        </w:tc>
        <w:tc>
          <w:tcPr>
            <w:tcW w:w="8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 and capital leases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Dividends paid</w:t>
            </w:r>
          </w:p>
        </w:tc>
        <w:tc>
          <w:tcPr>
            <w:tcW w:w="82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(85.3)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(102.9)</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Proceeds from exercises of stock options, net</w:t>
            </w:r>
          </w:p>
        </w:tc>
        <w:tc>
          <w:tcPr>
            <w:tcW w:w="8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Tax withholding for stock-based compensation</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(32.6)</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 of contingent consideration</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(131.8)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Given the seasonality of our cash flow from operating activities, during the first six months of 2018 and 2017, our commercial paper borrowings were used to fund share repurchase activity, dividend payments, and capital expenditures, and for other general corporate purposes.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During the second quarter of 2017, we used the remainder for general corporate purposes, including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paid dividends of $.97 per share in the first six months of 2018 compared to $.86 per share in the same period last year. In April 2018, we increased our quarterly dividend to $.52 per share, representing an increase of approximately 16% from our previous dividend rate of $.45 per share.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During the first six months of 2018, we repurchased approximately .9 million shares of our common stock at an aggregate cost of $102.9 million. During the first six months of 2017, we repurchased approximately .9 million shares of our common stock at an aggregate cost of $70.3 million.</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2017, our Board of Directors (“Board”) authorized the repurchase of additional shares of our common stock with a fair market value of up to $650 million, exclusive of any fees, commissions or other expenses related to such purchases, in addition to any amount outstanding under our previous Board authorization. Board authorizations remain in effect until shares in the amount authorized thereunder have been repurchased. As of June 30, 2018, shares of our common stock in the aggregate amount of $522.3 million remained authorized for repurchase under this Board authorization.</w:t>
      </w:r>
    </w:p>
    <w:p>
      <w:pPr>
        <w:sectPr>
          <w:pgSz w:w="11900" w:h="16838" w:orient="portrait"/>
          <w:cols w:equalWidth="0" w:num="1">
            <w:col w:w="11420"/>
          </w:cols>
          <w:pgMar w:left="240" w:top="125" w:right="239" w:bottom="0" w:gutter="0" w:footer="0" w:header="0"/>
        </w:sectPr>
      </w:pPr>
    </w:p>
    <w:bookmarkStart w:id="24" w:name="page25"/>
    <w:bookmarkEnd w:id="24"/>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Contingent Consideration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six months of 2018, we paid $16.8 million of contingent consideration related to the achievements of certain performance targets in 2017 for acquisitions completed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six months ended June 30, 2018, goodwill decreased by approximately $30 million to $955 million due to purchase price adjustments related to the acquisition of Yongle Tape Ltd. completed in June 2017 and the impact of foreign currency translation.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June 30, 2018, other intangibles resulting from business acquisitions, net, decreased by approximately $12 million to $155 million, which primarily reflected current year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“Goodwill,” to the unaudited Condensed Consolidated Financial Statements for more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six months ended June 30, 2018, other assets decreased by approximately $12 million to $442 million, which primarily reflected a decrease in tax-related deferred charges as the result of our adoption of the accounting guidance update related to intra-entity transfer of assets other than inventory described in Note 1, “General,” of the unaudited Condensed Consolidated Financial Statements, partially offset by an increase in the cash surrender value of our corporate-owned life insurance policies and purchases of software and other deferred charges, net of amortization.</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six months ended June 30, 2018, long-term retirement benefits and other liabilities decreased by approximately $45 million to $585 million, primarily reflecting a reclassification of contingent consideration liabilities to other current liabilities and contributions to our domestic and international pension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six months ended June 30, 2018, the balance of our shareholders’ equity decreased by approximately $24 million to $1.02 billion, which primarily reflected the impacts of share repurchases, dividend payments, and foreign currency translation, partially offset by net income and the amortization of net actuarial loss and prior service cost related to our domestic and international pension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Translation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 2018</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r>
      <w:tr>
        <w:trPr>
          <w:trHeight w:val="223"/>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4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International operations generated approximately 77% of our net sales during the six months ended June 30, 2018. Our results are subject to changes in political and economic conditions in the regions in which we operate and the impact of fluctuations in foreign currency exchange and interest rates.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favorable impact of foreign currency translation on net sales in the first six months of 2018 compared to the same period last year was primarily related to euro-denominated sales and sales in China.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2018, we will begin accounting for Argentina as a highly inflationary economy, as its three-year cumulative inflation rate exceeded 100%. We are currently assessing the impact of this change on our consolidated financial statements. Sales by our Argentine subsidiary represented less than 1% of our net sales for fiscal year 2017.</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We also utilize certain foreign-currency-denominated debt to mitigate foreign currency translation exposure from our net investment in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Working capital (current assets minus current liabilities), as a percentage of annualized net sales, decreased to 3.0% in the first six months of 2018 from 3.7% in the first six months of 2017 primarily as a result of an increase in annualized net sales and increases in accounts payable and other current liabilities, partially offset by increases in trade accounts receivable and a decrease in short-term borrowings and current portion of long-term debt and capital leases.</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Six Months Ended</w:t>
            </w:r>
          </w:p>
        </w:tc>
        <w:tc>
          <w:tcPr>
            <w:tcW w:w="1080" w:type="dxa"/>
            <w:vAlign w:val="bottom"/>
            <w:tcBorders>
              <w:bottom w:val="single" w:sz="8" w:color="auto"/>
            </w:tcBorders>
          </w:tcPr>
          <w:p>
            <w:pPr>
              <w:spacing w:after="0"/>
              <w:rPr>
                <w:sz w:val="20"/>
                <w:szCs w:val="20"/>
                <w:color w:val="auto"/>
              </w:rPr>
            </w:pP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June 30, 2018</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July 1, 2017</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218.9</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237.4</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Reconciling items:</w:t>
            </w: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(215.8)</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r>
    </w:tbl>
    <w:p>
      <w:pPr>
        <w:sectPr>
          <w:pgSz w:w="11900" w:h="16897" w:orient="portrait"/>
          <w:cols w:equalWidth="0" w:num="1">
            <w:col w:w="11420"/>
          </w:cols>
          <w:pgMar w:left="240" w:top="125"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(213.4)</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(235.5)</w:t>
            </w: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16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384.3</w:t>
            </w:r>
          </w:p>
        </w:tc>
        <w:tc>
          <w:tcPr>
            <w:tcW w:w="5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444.0</w:t>
            </w:r>
          </w:p>
        </w:tc>
      </w:tr>
      <w:tr>
        <w:trPr>
          <w:trHeight w:val="216"/>
        </w:trPr>
        <w:tc>
          <w:tcPr>
            <w:tcW w:w="7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Accrued payroll and employee benefits and other current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690.5</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597.5</w:t>
            </w:r>
          </w:p>
        </w:tc>
      </w:tr>
      <w:tr>
        <w:trPr>
          <w:trHeight w:val="210"/>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862.6</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825.7</w:t>
            </w:r>
          </w:p>
        </w:tc>
      </w:tr>
      <w:tr>
        <w:trPr>
          <w:trHeight w:val="210"/>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(year-to-date sales, multiplied by two)</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7,261.2</w:t>
            </w: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6,398.0</w:t>
            </w:r>
          </w:p>
        </w:tc>
      </w:tr>
      <w:tr>
        <w:trPr>
          <w:trHeight w:val="217"/>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1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1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average number of days sales outstanding was 62 days for the first six months of 2018 compared to 64 days in the first six months of 2017, calculated using the two-quarter average trade accounts receivable balance divided by the average daily sales for the first six months. The decrease in the average number of days outstanding from prior year primarily reflected the impact of foreign currency translation and the timing of collections.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inventory turnover increased to 7.9 in the first six months of 2018 from 7.7 in the first six months of 2017, calculated using the annualized cost of sales (year-to-date cost of sales, multiplied by two) divided by the two-quarter average inventory balance. The increase in the average inventory turnover primarily reflected the impact of foreign currency translation.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payable outstanding was 72 days in the first six months of 2018 compared to 73 days in the first six months of 2017, calculated using the two-quarter average accounts payable balance divided by the average daily cost of products sold for the first six months. The decrease in the average number of days payable outstanding from the prior year primarily reflected the impacts of acquisitions completed in 2017 and foreign currency translation, partially offset by the extended timing of vendor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June 30, 2018, we had cash and cash equivalents of $215.8 million held in accounts at third-party financial institutions.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June 30, 2018, the majority of our cash and cash equivalents was held by our foreign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and profits. However, if we were to repatriate incremental foreign earnings and profits, we may be subject to withholding taxes imposed by foreign tax authorities and additional U.S. taxes due to the impact of foreign currency movements related to such earnings and profits.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planned termination of the ADPP, we intend to contribute $200 million to the ADPP in August 2018 using commercial paper borrowings given the underfunded status of the plan. We expect these actions to have no material impact on our available capital or capital allocation strategy, which already reflected our unfunded pension obligations.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we amended and restated our revolving credit facility (the “Revolver”), increasing the amount available from certain domestic and foreign banks from $700 million to $800 million. The amendment also extended the Revolver’s maturity date to November 8, 2022. The maturity date may be extended for additional one-year periods under certain circumstances. The commitments under the Revolver may be increased by up to $300 million, subject to lender approval and customary requirements. The Revolver is used as a back-up facility for our commercial paper program and can be used for other corporate purposes. The Revolver contains financial covenants requiring that we maintain specified ratios of total debt and interest expense in relation to certain measures of income. As of June 30, 2018 and December 30, 2017, we were in compliance with our financial covenants.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March 2017, we issued €500 million of senior notes, due March 2025. The senior notes bear an interest rate of 1.25% per year, payable annually in arrears.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our total debt increased by approximately $92 million in the first six months of 2018 to $1.67 billion, primarily reflecting the net increase in commercial paper borrowings to support operational needs.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we expect that the Revolver and our other credit facilities would be available to meet our short-term funding requirements.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ectPr>
          <w:pgSz w:w="11900" w:h="16838" w:orient="portrait"/>
          <w:cols w:equalWidth="0" w:num="1">
            <w:col w:w="11420"/>
          </w:cols>
          <w:pgMar w:left="240" w:top="125" w:right="239" w:bottom="9"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Refer to Note 13, “Commitments and Contingencies,” to the unaudited Condensed Consolidated Financial Statements. Except as indicated therein, we have no material off-balance sheet arrangements as described in Item 303 (a)(4)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“General,” and Note 16,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fiscal year ended December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periodically assess our internal control environment. We are in the process of investing in information technology to upgrade the systems in our Retail Branding and Information Solutions and Label and Graphic Materials reportable segments. Processes affected by these implementations include, among other things, order management, pricing, shipping, purchasing, general accounting and planning. Where appropriate, we are reviewing related internal controls and making changes. Other than these implementations, there have been no changes in our internal control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“Legal Proceedings” in Note 13,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December 30, 2017 that have not been disclosed in our periodic filings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ectPr>
          <w:pgSz w:w="11900" w:h="16838" w:orient="portrait"/>
          <w:cols w:equalWidth="0" w:num="1">
            <w:col w:w="11420"/>
          </w:cols>
          <w:pgMar w:left="240" w:top="125" w:right="239" w:bottom="32" w:gutter="0" w:footer="0" w:header="0"/>
        </w:sectPr>
      </w:pPr>
    </w:p>
    <w:bookmarkStart w:id="27" w:name="page28"/>
    <w:bookmarkEnd w:id="27"/>
    <w:p>
      <w:pPr>
        <w:jc w:val="both"/>
        <w:ind w:right="40"/>
        <w:spacing w:after="0" w:line="264"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second quarter of 2018 are listed in the table below. Repurchased shares may be reissued under our long-term incentive plan or used for other corporate purposes.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Total number of shares</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3140" w:type="dxa"/>
            <w:vAlign w:val="bottom"/>
          </w:tcPr>
          <w:p>
            <w:pPr>
              <w:spacing w:after="0"/>
              <w:rPr>
                <w:sz w:val="18"/>
                <w:szCs w:val="18"/>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w:t>
            </w:r>
          </w:p>
        </w:tc>
        <w:tc>
          <w:tcPr>
            <w:tcW w:w="3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purchased as part of</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value of shares that may</w:t>
            </w:r>
          </w:p>
        </w:tc>
      </w:tr>
      <w:tr>
        <w:trPr>
          <w:trHeight w:val="216"/>
        </w:trPr>
        <w:tc>
          <w:tcPr>
            <w:tcW w:w="3140" w:type="dxa"/>
            <w:vAlign w:val="bottom"/>
          </w:tcPr>
          <w:p>
            <w:pPr>
              <w:spacing w:after="0"/>
              <w:rPr>
                <w:sz w:val="18"/>
                <w:szCs w:val="18"/>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price paid</w:t>
            </w: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publicly announced</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yet be purchased under</w:t>
            </w:r>
          </w:p>
        </w:tc>
      </w:tr>
      <w:tr>
        <w:trPr>
          <w:trHeight w:val="234"/>
        </w:trPr>
        <w:tc>
          <w:tcPr>
            <w:tcW w:w="31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color w:val="auto"/>
                <w:vertAlign w:val="superscript"/>
              </w:rPr>
              <w:t>(1)</w:t>
            </w:r>
          </w:p>
        </w:tc>
        <w:tc>
          <w:tcPr>
            <w:tcW w:w="2240" w:type="dxa"/>
            <w:vAlign w:val="bottom"/>
            <w:tcBorders>
              <w:bottom w:val="single" w:sz="8" w:color="auto"/>
            </w:tcBorders>
          </w:tcPr>
          <w:p>
            <w:pPr>
              <w:jc w:val="right"/>
              <w:ind w:right="21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per share</w:t>
            </w:r>
          </w:p>
        </w:tc>
        <w:tc>
          <w:tcPr>
            <w:tcW w:w="2320" w:type="dxa"/>
            <w:vAlign w:val="bottom"/>
            <w:tcBorders>
              <w:bottom w:val="single" w:sz="8" w:color="auto"/>
            </w:tcBorders>
          </w:tcPr>
          <w:p>
            <w:pPr>
              <w:jc w:val="right"/>
              <w:ind w:right="21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color w:val="auto"/>
              </w:rPr>
              <w:t>(2)(3)</w:t>
            </w:r>
          </w:p>
        </w:tc>
        <w:tc>
          <w:tcPr>
            <w:tcW w:w="1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color w:val="auto"/>
                <w:vertAlign w:val="superscript"/>
              </w:rPr>
              <w:t>(4)</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April 1, 2018 – April 28, 2018</w:t>
            </w:r>
          </w:p>
        </w:tc>
        <w:tc>
          <w:tcPr>
            <w:tcW w:w="2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April 29, 2018 – May 26, 2018</w:t>
            </w: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210.9</w:t>
            </w:r>
          </w:p>
        </w:tc>
        <w:tc>
          <w:tcPr>
            <w:tcW w:w="3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106.74</w:t>
            </w:r>
          </w:p>
        </w:tc>
        <w:tc>
          <w:tcPr>
            <w:tcW w:w="2320" w:type="dxa"/>
            <w:vAlign w:val="bottom"/>
          </w:tcPr>
          <w:p>
            <w:pPr>
              <w:jc w:val="right"/>
              <w:ind w:right="215"/>
              <w:spacing w:after="0"/>
              <w:rPr>
                <w:sz w:val="20"/>
                <w:szCs w:val="20"/>
                <w:color w:val="auto"/>
              </w:rPr>
            </w:pPr>
            <w:r>
              <w:rPr>
                <w:rFonts w:ascii="Arial" w:cs="Arial" w:eastAsia="Arial" w:hAnsi="Arial"/>
                <w:sz w:val="18"/>
                <w:szCs w:val="18"/>
                <w:color w:val="auto"/>
              </w:rPr>
              <w:t>210.9</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May 27, 2018 – June 30, 2018</w:t>
            </w:r>
          </w:p>
        </w:tc>
        <w:tc>
          <w:tcPr>
            <w:tcW w:w="2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274.4</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104.90</w:t>
            </w:r>
          </w:p>
        </w:tc>
        <w:tc>
          <w:tcPr>
            <w:tcW w:w="23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274.4</w:t>
            </w:r>
          </w:p>
        </w:tc>
        <w:tc>
          <w:tcPr>
            <w:tcW w:w="10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485.3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105.70</w:t>
            </w:r>
          </w:p>
        </w:tc>
        <w:tc>
          <w:tcPr>
            <w:tcW w:w="2320" w:type="dxa"/>
            <w:vAlign w:val="bottom"/>
          </w:tcPr>
          <w:p>
            <w:pPr>
              <w:jc w:val="right"/>
              <w:ind w:right="215"/>
              <w:spacing w:after="0"/>
              <w:rPr>
                <w:sz w:val="20"/>
                <w:szCs w:val="20"/>
                <w:color w:val="auto"/>
              </w:rPr>
            </w:pPr>
            <w:r>
              <w:rPr>
                <w:rFonts w:ascii="Arial" w:cs="Arial" w:eastAsia="Arial" w:hAnsi="Arial"/>
                <w:sz w:val="18"/>
                <w:szCs w:val="18"/>
                <w:color w:val="auto"/>
              </w:rPr>
              <w:t>485.3</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periods shown are our fiscal periods during the thirteen-week quarter ended June 30, 2018.</w:t>
      </w:r>
    </w:p>
    <w:p>
      <w:pPr>
        <w:spacing w:after="0" w:line="201"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Shares in thousands.</w:t>
      </w:r>
    </w:p>
    <w:p>
      <w:pPr>
        <w:spacing w:after="0" w:line="1" w:lineRule="exact"/>
        <w:rPr>
          <w:sz w:val="20"/>
          <w:szCs w:val="20"/>
          <w:color w:val="auto"/>
        </w:rPr>
      </w:pPr>
    </w:p>
    <w:p>
      <w:pPr>
        <w:jc w:val="both"/>
        <w:ind w:left="180" w:right="40" w:hanging="161"/>
        <w:spacing w:after="0" w:line="237"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In April 2017, our Board authorized the repurchase of additional shares of our common stock with a fair market value of up to $650 million, exclusive of any fees, commissions or other expenses related to such purchases. The Board authorization will remain in effect until shares in the amount authorized thereunder have been repurchased.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Dollars in millions.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w w:val="97"/>
              </w:rPr>
              <w:t>Avery Dennison Corporation</w:t>
            </w: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92"/>
        </w:trPr>
        <w:tc>
          <w:tcPr>
            <w:tcW w:w="200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2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Chief Executive Officer pursuant to Section 302 of the Sarbanes-Oxley Act of 2002</w:t>
              </w:r>
            </w:hyperlink>
          </w:p>
        </w:tc>
        <w:tc>
          <w:tcPr>
            <w:tcW w:w="2260" w:type="dxa"/>
            <w:vAlign w:val="bottom"/>
          </w:tcPr>
          <w:p>
            <w:pPr>
              <w:spacing w:after="0"/>
              <w:rPr>
                <w:sz w:val="24"/>
                <w:szCs w:val="24"/>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31.2*</w:t>
            </w:r>
          </w:p>
        </w:tc>
        <w:tc>
          <w:tcPr>
            <w:tcW w:w="71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Financial Officer pursuant to Section 302 of the Sarbanes-Oxley Act of 2002</w:t>
              </w:r>
            </w:hyperlink>
          </w:p>
        </w:tc>
        <w:tc>
          <w:tcPr>
            <w:tcW w:w="2300" w:type="dxa"/>
            <w:vAlign w:val="bottom"/>
            <w:gridSpan w:val="2"/>
          </w:tcPr>
          <w:p>
            <w:pPr>
              <w:spacing w:after="0"/>
              <w:rPr>
                <w:sz w:val="17"/>
                <w:szCs w:val="17"/>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32.1**</w:t>
            </w:r>
          </w:p>
        </w:tc>
        <w:tc>
          <w:tcPr>
            <w:tcW w:w="7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Chief Executive Officer pursuant to Section 906 of the Sarbanes-Oxley Act of 2002</w:t>
              </w:r>
            </w:hyperlink>
          </w:p>
        </w:tc>
        <w:tc>
          <w:tcPr>
            <w:tcW w:w="2260" w:type="dxa"/>
            <w:vAlign w:val="bottom"/>
          </w:tcPr>
          <w:p>
            <w:pPr>
              <w:spacing w:after="0"/>
              <w:rPr>
                <w:sz w:val="17"/>
                <w:szCs w:val="17"/>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32.2**</w:t>
            </w:r>
          </w:p>
        </w:tc>
        <w:tc>
          <w:tcPr>
            <w:tcW w:w="9460" w:type="dxa"/>
            <w:vAlign w:val="bottom"/>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of Chief Financial Officer pursuant to Section 906 of the Sarbanes-Oxley Act of 2002</w:t>
              </w:r>
            </w:hyperlink>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7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320" w:type="dxa"/>
            <w:vAlign w:val="bottom"/>
            <w:gridSpan w:val="3"/>
          </w:tcPr>
          <w:p>
            <w:pPr>
              <w:spacing w:after="0"/>
              <w:rPr>
                <w:sz w:val="19"/>
                <w:szCs w:val="19"/>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Schema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Calculation Linkbase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Label Linkbase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Presentation Linkbase Document</w:t>
            </w: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Definition Linkbase Document</w:t>
            </w:r>
          </w:p>
        </w:tc>
      </w:tr>
      <w:tr>
        <w:trPr>
          <w:trHeight w:val="418"/>
        </w:trPr>
        <w:tc>
          <w:tcPr>
            <w:tcW w:w="20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 Furnished herewith.</w:t>
            </w: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gridSpan w:val="4"/>
          </w:tcPr>
          <w:p>
            <w:pPr>
              <w:jc w:val="right"/>
              <w:spacing w:after="0"/>
              <w:rPr>
                <w:sz w:val="20"/>
                <w:szCs w:val="20"/>
                <w:color w:val="auto"/>
              </w:rPr>
            </w:pPr>
            <w:r>
              <w:rPr>
                <w:rFonts w:ascii="Arial" w:cs="Arial" w:eastAsia="Arial" w:hAnsi="Arial"/>
                <w:sz w:val="18"/>
                <w:szCs w:val="18"/>
                <w:color w:val="auto"/>
              </w:rPr>
              <w:t>37</w:t>
            </w:r>
          </w:p>
        </w:tc>
      </w:tr>
      <w:tr>
        <w:trPr>
          <w:trHeight w:val="132"/>
        </w:trPr>
        <w:tc>
          <w:tcPr>
            <w:tcW w:w="1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r>
      <w:tr>
        <w:trPr>
          <w:trHeight w:val="523"/>
        </w:trPr>
        <w:tc>
          <w:tcPr>
            <w:tcW w:w="20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w w:val="97"/>
              </w:rPr>
              <w:t>Avery Dennison Corporation</w:t>
            </w:r>
          </w:p>
        </w:tc>
      </w:tr>
      <w:tr>
        <w:trPr>
          <w:trHeight w:val="432"/>
        </w:trPr>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gridSpan w:val="4"/>
          </w:tcPr>
          <w:p>
            <w:pPr>
              <w:ind w:left="3140"/>
              <w:spacing w:after="0"/>
              <w:rPr>
                <w:sz w:val="20"/>
                <w:szCs w:val="20"/>
                <w:color w:val="auto"/>
              </w:rPr>
            </w:pPr>
            <w:r>
              <w:rPr>
                <w:rFonts w:ascii="Arial" w:cs="Arial" w:eastAsia="Arial" w:hAnsi="Arial"/>
                <w:sz w:val="18"/>
                <w:szCs w:val="18"/>
                <w:b w:val="1"/>
                <w:bCs w:val="1"/>
                <w:color w:val="auto"/>
              </w:rPr>
              <w:t>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60"/>
          </w:cols>
          <w:pgMar w:left="240" w:top="125" w:right="199" w:bottom="909"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color w:val="auto"/>
        </w:rPr>
        <w:t>/s/ Gregory S. Lovins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Controller, and Chief Accounting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July 31, 2018</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42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4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4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51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6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35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9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3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3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4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48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20" w:hanging="249"/>
        <w:spacing w:after="0" w:line="277" w:lineRule="auto"/>
        <w:tabs>
          <w:tab w:leader="none" w:pos="5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20" w:hanging="252"/>
        <w:spacing w:after="0" w:line="308" w:lineRule="auto"/>
        <w:tabs>
          <w:tab w:leader="none" w:pos="30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249"/>
        <w:spacing w:after="0" w:line="277" w:lineRule="auto"/>
        <w:tabs>
          <w:tab w:leader="none" w:pos="4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4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6" w:lineRule="exact"/>
        <w:rPr>
          <w:sz w:val="20"/>
          <w:szCs w:val="20"/>
          <w:color w:val="auto"/>
        </w:rPr>
      </w:pPr>
    </w:p>
    <w:p>
      <w:pPr>
        <w:ind w:left="1060" w:right="20" w:hanging="485"/>
        <w:spacing w:after="0" w:line="268" w:lineRule="auto"/>
        <w:tabs>
          <w:tab w:leader="none" w:pos="10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2018 (the “Report”) fully complies with the requirements of Section 13(a) or Section 15(d), as applicable, of the Securities Exchange Act of 1934, as amended; and</w:t>
      </w:r>
    </w:p>
    <w:p>
      <w:pPr>
        <w:spacing w:after="0" w:line="185" w:lineRule="exact"/>
        <w:rPr>
          <w:rFonts w:ascii="Arial" w:cs="Arial" w:eastAsia="Arial" w:hAnsi="Arial"/>
          <w:sz w:val="18"/>
          <w:szCs w:val="18"/>
          <w:color w:val="auto"/>
        </w:rPr>
      </w:pPr>
    </w:p>
    <w:p>
      <w:pPr>
        <w:ind w:left="1060" w:hanging="485"/>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hanging="172"/>
        <w:spacing w:after="0" w:line="277" w:lineRule="auto"/>
        <w:tabs>
          <w:tab w:leader="none" w:pos="1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60" w:hanging="485"/>
        <w:spacing w:after="0" w:line="277" w:lineRule="auto"/>
        <w:tabs>
          <w:tab w:leader="none" w:pos="1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2018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1060" w:hanging="485"/>
        <w:spacing w:after="0" w:line="277" w:lineRule="auto"/>
        <w:tabs>
          <w:tab w:leader="none" w:pos="1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hanging="172"/>
        <w:spacing w:after="0" w:line="277" w:lineRule="auto"/>
        <w:tabs>
          <w:tab w:leader="none" w:pos="1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2019-12-28T20:26:11Z</dcterms:created>
  <dcterms:modified xsi:type="dcterms:W3CDTF">2019-12-28T20:26:11Z</dcterms:modified>
</cp:coreProperties>
</file>