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340" w:right="2100" w:hanging="332"/>
        <w:spacing w:after="0" w:line="282" w:lineRule="auto"/>
        <w:tabs>
          <w:tab w:leader="none" w:pos="227"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October 1, 2016.</w:t>
      </w:r>
    </w:p>
    <w:p>
      <w:pPr>
        <w:spacing w:after="0" w:line="16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7" w:lineRule="exact"/>
        <w:rPr>
          <w:sz w:val="24"/>
          <w:szCs w:val="24"/>
          <w:color w:val="auto"/>
        </w:rPr>
      </w:pPr>
    </w:p>
    <w:p>
      <w:pPr>
        <w:ind w:left="340"/>
        <w:spacing w:after="0"/>
        <w:tabs>
          <w:tab w:leader="none" w:pos="464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1598295</wp:posOffset>
            </wp:positionH>
            <wp:positionV relativeFrom="paragraph">
              <wp:posOffset>-19050</wp:posOffset>
            </wp:positionV>
            <wp:extent cx="28263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26385" cy="8890"/>
                    </a:xfrm>
                    <a:prstGeom prst="rect">
                      <a:avLst/>
                    </a:prstGeom>
                    <a:noFill/>
                  </pic:spPr>
                </pic:pic>
              </a:graphicData>
            </a:graphic>
          </wp:anchor>
        </w:drawing>
      </w:r>
    </w:p>
    <w:p>
      <w:pPr>
        <w:spacing w:after="0" w:line="18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1-7685</w:t>
      </w:r>
    </w:p>
    <w:p>
      <w:pPr>
        <w:spacing w:after="0" w:line="211" w:lineRule="exact"/>
        <w:rPr>
          <w:sz w:val="24"/>
          <w:szCs w:val="24"/>
          <w:color w:val="auto"/>
        </w:rPr>
      </w:pPr>
    </w:p>
    <w:p>
      <w:pPr>
        <w:jc w:val="center"/>
        <w:ind w:right="40"/>
        <w:spacing w:after="0"/>
        <w:rPr>
          <w:sz w:val="20"/>
          <w:szCs w:val="20"/>
          <w:color w:val="auto"/>
        </w:rPr>
      </w:pPr>
      <w:r>
        <w:rPr>
          <w:rFonts w:ascii="Arial" w:cs="Arial" w:eastAsia="Arial" w:hAnsi="Arial"/>
          <w:sz w:val="29"/>
          <w:szCs w:val="29"/>
          <w:b w:val="1"/>
          <w:bCs w:val="1"/>
          <w:color w:val="auto"/>
        </w:rPr>
        <w:t>AVERY DENNISON CORPORATION</w:t>
      </w:r>
    </w:p>
    <w:p>
      <w:pPr>
        <w:spacing w:after="0" w:line="3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3180" w:type="dxa"/>
        <w:tblCellMar>
          <w:top w:w="0" w:type="dxa"/>
          <w:left w:w="0" w:type="dxa"/>
          <w:bottom w:w="0" w:type="dxa"/>
          <w:right w:w="0" w:type="dxa"/>
        </w:tblCellMar>
      </w:tblPr>
      <w:tr>
        <w:trPr>
          <w:trHeight w:val="216"/>
        </w:trPr>
        <w:tc>
          <w:tcPr>
            <w:tcW w:w="3080" w:type="dxa"/>
            <w:vAlign w:val="bottom"/>
          </w:tcPr>
          <w:p>
            <w:pPr>
              <w:jc w:val="center"/>
              <w:ind w:right="639"/>
              <w:spacing w:after="0"/>
              <w:rPr>
                <w:sz w:val="20"/>
                <w:szCs w:val="20"/>
                <w:color w:val="auto"/>
              </w:rPr>
            </w:pPr>
            <w:r>
              <w:rPr>
                <w:rFonts w:ascii="Arial" w:cs="Arial" w:eastAsia="Arial" w:hAnsi="Arial"/>
                <w:sz w:val="18"/>
                <w:szCs w:val="18"/>
                <w:b w:val="1"/>
                <w:bCs w:val="1"/>
                <w:color w:val="auto"/>
                <w:w w:val="91"/>
              </w:rPr>
              <w:t>Delaware</w:t>
            </w:r>
          </w:p>
        </w:tc>
        <w:tc>
          <w:tcPr>
            <w:tcW w:w="2820" w:type="dxa"/>
            <w:vAlign w:val="bottom"/>
          </w:tcPr>
          <w:p>
            <w:pPr>
              <w:jc w:val="right"/>
              <w:ind w:right="539"/>
              <w:spacing w:after="0"/>
              <w:rPr>
                <w:sz w:val="20"/>
                <w:szCs w:val="20"/>
                <w:color w:val="auto"/>
              </w:rPr>
            </w:pPr>
            <w:r>
              <w:rPr>
                <w:rFonts w:ascii="Arial" w:cs="Arial" w:eastAsia="Arial" w:hAnsi="Arial"/>
                <w:sz w:val="18"/>
                <w:szCs w:val="18"/>
                <w:b w:val="1"/>
                <w:bCs w:val="1"/>
                <w:color w:val="auto"/>
              </w:rPr>
              <w:t>95-1492269</w:t>
            </w:r>
          </w:p>
        </w:tc>
      </w:tr>
      <w:tr>
        <w:trPr>
          <w:trHeight w:val="149"/>
        </w:trPr>
        <w:tc>
          <w:tcPr>
            <w:tcW w:w="3080" w:type="dxa"/>
            <w:vAlign w:val="bottom"/>
          </w:tcPr>
          <w:p>
            <w:pPr>
              <w:jc w:val="center"/>
              <w:ind w:right="639"/>
              <w:spacing w:after="0" w:line="149" w:lineRule="exact"/>
              <w:rPr>
                <w:sz w:val="20"/>
                <w:szCs w:val="20"/>
                <w:color w:val="auto"/>
              </w:rPr>
            </w:pPr>
            <w:r>
              <w:rPr>
                <w:rFonts w:ascii="Arial" w:cs="Arial" w:eastAsia="Arial" w:hAnsi="Arial"/>
                <w:sz w:val="14"/>
                <w:szCs w:val="14"/>
                <w:color w:val="auto"/>
                <w:w w:val="95"/>
              </w:rPr>
              <w:t>(State or other jurisdiction of</w:t>
            </w:r>
          </w:p>
        </w:tc>
        <w:tc>
          <w:tcPr>
            <w:tcW w:w="2820" w:type="dxa"/>
            <w:vAlign w:val="bottom"/>
          </w:tcPr>
          <w:p>
            <w:pPr>
              <w:jc w:val="center"/>
              <w:ind w:left="639"/>
              <w:spacing w:after="0" w:line="149" w:lineRule="exact"/>
              <w:rPr>
                <w:sz w:val="20"/>
                <w:szCs w:val="20"/>
                <w:color w:val="auto"/>
              </w:rPr>
            </w:pPr>
            <w:r>
              <w:rPr>
                <w:rFonts w:ascii="Arial" w:cs="Arial" w:eastAsia="Arial" w:hAnsi="Arial"/>
                <w:sz w:val="14"/>
                <w:szCs w:val="14"/>
                <w:color w:val="auto"/>
                <w:w w:val="97"/>
              </w:rPr>
              <w:t>(I.R.S. Employer Identification No.)</w:t>
            </w:r>
          </w:p>
        </w:tc>
      </w:tr>
      <w:tr>
        <w:trPr>
          <w:trHeight w:val="182"/>
        </w:trPr>
        <w:tc>
          <w:tcPr>
            <w:tcW w:w="3080" w:type="dxa"/>
            <w:vAlign w:val="bottom"/>
          </w:tcPr>
          <w:p>
            <w:pPr>
              <w:jc w:val="center"/>
              <w:ind w:right="639"/>
              <w:spacing w:after="0"/>
              <w:rPr>
                <w:sz w:val="20"/>
                <w:szCs w:val="20"/>
                <w:color w:val="auto"/>
              </w:rPr>
            </w:pPr>
            <w:r>
              <w:rPr>
                <w:rFonts w:ascii="Arial" w:cs="Arial" w:eastAsia="Arial" w:hAnsi="Arial"/>
                <w:sz w:val="14"/>
                <w:szCs w:val="14"/>
                <w:color w:val="auto"/>
                <w:w w:val="94"/>
              </w:rPr>
              <w:t>incorporation or organization)</w:t>
            </w:r>
          </w:p>
        </w:tc>
        <w:tc>
          <w:tcPr>
            <w:tcW w:w="2820" w:type="dxa"/>
            <w:vAlign w:val="bottom"/>
          </w:tcPr>
          <w:p>
            <w:pPr>
              <w:spacing w:after="0"/>
              <w:rPr>
                <w:sz w:val="15"/>
                <w:szCs w:val="15"/>
                <w:color w:val="auto"/>
              </w:rPr>
            </w:pPr>
          </w:p>
        </w:tc>
      </w:tr>
      <w:tr>
        <w:trPr>
          <w:trHeight w:val="399"/>
        </w:trPr>
        <w:tc>
          <w:tcPr>
            <w:tcW w:w="3080" w:type="dxa"/>
            <w:vAlign w:val="bottom"/>
          </w:tcPr>
          <w:p>
            <w:pPr>
              <w:jc w:val="center"/>
              <w:ind w:right="639"/>
              <w:spacing w:after="0"/>
              <w:rPr>
                <w:sz w:val="20"/>
                <w:szCs w:val="20"/>
                <w:color w:val="auto"/>
              </w:rPr>
            </w:pPr>
            <w:r>
              <w:rPr>
                <w:rFonts w:ascii="Arial" w:cs="Arial" w:eastAsia="Arial" w:hAnsi="Arial"/>
                <w:sz w:val="18"/>
                <w:szCs w:val="18"/>
                <w:b w:val="1"/>
                <w:bCs w:val="1"/>
                <w:color w:val="auto"/>
                <w:w w:val="88"/>
              </w:rPr>
              <w:t>207 Goode Avenue</w:t>
            </w:r>
          </w:p>
        </w:tc>
        <w:tc>
          <w:tcPr>
            <w:tcW w:w="2820" w:type="dxa"/>
            <w:vAlign w:val="bottom"/>
          </w:tcPr>
          <w:p>
            <w:pPr>
              <w:spacing w:after="0"/>
              <w:rPr>
                <w:sz w:val="24"/>
                <w:szCs w:val="24"/>
                <w:color w:val="auto"/>
              </w:rPr>
            </w:pPr>
          </w:p>
        </w:tc>
      </w:tr>
      <w:tr>
        <w:trPr>
          <w:trHeight w:val="216"/>
        </w:trPr>
        <w:tc>
          <w:tcPr>
            <w:tcW w:w="3080" w:type="dxa"/>
            <w:vAlign w:val="bottom"/>
          </w:tcPr>
          <w:p>
            <w:pPr>
              <w:jc w:val="center"/>
              <w:ind w:right="639"/>
              <w:spacing w:after="0"/>
              <w:rPr>
                <w:sz w:val="20"/>
                <w:szCs w:val="20"/>
                <w:color w:val="auto"/>
              </w:rPr>
            </w:pPr>
            <w:r>
              <w:rPr>
                <w:rFonts w:ascii="Arial" w:cs="Arial" w:eastAsia="Arial" w:hAnsi="Arial"/>
                <w:sz w:val="18"/>
                <w:szCs w:val="18"/>
                <w:b w:val="1"/>
                <w:bCs w:val="1"/>
                <w:color w:val="auto"/>
                <w:w w:val="92"/>
              </w:rPr>
              <w:t>Glendale, California</w:t>
            </w:r>
          </w:p>
        </w:tc>
        <w:tc>
          <w:tcPr>
            <w:tcW w:w="2820" w:type="dxa"/>
            <w:vAlign w:val="bottom"/>
          </w:tcPr>
          <w:p>
            <w:pPr>
              <w:jc w:val="right"/>
              <w:ind w:right="739"/>
              <w:spacing w:after="0"/>
              <w:rPr>
                <w:sz w:val="20"/>
                <w:szCs w:val="20"/>
                <w:color w:val="auto"/>
              </w:rPr>
            </w:pPr>
            <w:r>
              <w:rPr>
                <w:rFonts w:ascii="Arial" w:cs="Arial" w:eastAsia="Arial" w:hAnsi="Arial"/>
                <w:sz w:val="18"/>
                <w:szCs w:val="18"/>
                <w:b w:val="1"/>
                <w:bCs w:val="1"/>
                <w:color w:val="auto"/>
              </w:rPr>
              <w:t>91203</w:t>
            </w:r>
          </w:p>
        </w:tc>
      </w:tr>
      <w:tr>
        <w:trPr>
          <w:trHeight w:val="182"/>
        </w:trPr>
        <w:tc>
          <w:tcPr>
            <w:tcW w:w="3080" w:type="dxa"/>
            <w:vAlign w:val="bottom"/>
          </w:tcPr>
          <w:p>
            <w:pPr>
              <w:jc w:val="center"/>
              <w:ind w:right="639"/>
              <w:spacing w:after="0"/>
              <w:rPr>
                <w:sz w:val="20"/>
                <w:szCs w:val="20"/>
                <w:color w:val="auto"/>
              </w:rPr>
            </w:pPr>
            <w:r>
              <w:rPr>
                <w:rFonts w:ascii="Arial" w:cs="Arial" w:eastAsia="Arial" w:hAnsi="Arial"/>
                <w:sz w:val="14"/>
                <w:szCs w:val="14"/>
                <w:color w:val="auto"/>
                <w:w w:val="95"/>
              </w:rPr>
              <w:t>(Address of Principal Executive Offices)</w:t>
            </w:r>
          </w:p>
        </w:tc>
        <w:tc>
          <w:tcPr>
            <w:tcW w:w="2820" w:type="dxa"/>
            <w:vAlign w:val="bottom"/>
          </w:tcPr>
          <w:p>
            <w:pPr>
              <w:jc w:val="center"/>
              <w:ind w:left="639"/>
              <w:spacing w:after="0"/>
              <w:rPr>
                <w:sz w:val="20"/>
                <w:szCs w:val="20"/>
                <w:color w:val="auto"/>
              </w:rPr>
            </w:pPr>
            <w:r>
              <w:rPr>
                <w:rFonts w:ascii="Arial" w:cs="Arial" w:eastAsia="Arial" w:hAnsi="Arial"/>
                <w:sz w:val="14"/>
                <w:szCs w:val="14"/>
                <w:color w:val="auto"/>
                <w:w w:val="93"/>
              </w:rPr>
              <w:t>(Zip Code)</w:t>
            </w:r>
          </w:p>
        </w:tc>
      </w:tr>
    </w:tbl>
    <w:p>
      <w:pPr>
        <w:spacing w:after="0" w:line="18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 (626) 304-2000</w:t>
      </w:r>
    </w:p>
    <w:p>
      <w:pPr>
        <w:spacing w:after="0" w:line="225" w:lineRule="exact"/>
        <w:rPr>
          <w:sz w:val="24"/>
          <w:szCs w:val="24"/>
          <w:color w:val="auto"/>
        </w:rPr>
      </w:pPr>
    </w:p>
    <w:p>
      <w:pPr>
        <w:jc w:val="both"/>
        <w:ind w:right="4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ind w:right="4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jc w:val="both"/>
        <w:ind w:right="60"/>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Layout w:type="fixed"/>
        <w:tblInd w:w="0" w:type="dxa"/>
        <w:tblCellMar>
          <w:top w:w="0" w:type="dxa"/>
          <w:left w:w="0" w:type="dxa"/>
          <w:bottom w:w="0" w:type="dxa"/>
          <w:right w:w="0" w:type="dxa"/>
        </w:tblCellMar>
      </w:tblPr>
      <w:tr>
        <w:trPr>
          <w:trHeight w:val="198"/>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gridSpan w:val="6"/>
          </w:tcPr>
          <w:p>
            <w:pPr>
              <w:ind w:left="20"/>
              <w:spacing w:after="0" w:line="198" w:lineRule="exact"/>
              <w:rPr>
                <w:sz w:val="20"/>
                <w:szCs w:val="20"/>
                <w:color w:val="auto"/>
              </w:rPr>
            </w:pPr>
            <w:r>
              <w:rPr>
                <w:rFonts w:ascii="Arial" w:cs="Arial" w:eastAsia="Arial" w:hAnsi="Arial"/>
                <w:sz w:val="18"/>
                <w:szCs w:val="18"/>
                <w:color w:val="auto"/>
              </w:rPr>
              <w:t>x Large accelerated filer</w:t>
            </w:r>
          </w:p>
        </w:tc>
        <w:tc>
          <w:tcPr>
            <w:tcW w:w="220" w:type="dxa"/>
            <w:vAlign w:val="bottom"/>
          </w:tcPr>
          <w:p>
            <w:pPr>
              <w:spacing w:after="0"/>
              <w:rPr>
                <w:sz w:val="17"/>
                <w:szCs w:val="17"/>
                <w:color w:val="auto"/>
              </w:rPr>
            </w:pPr>
          </w:p>
        </w:tc>
        <w:tc>
          <w:tcPr>
            <w:tcW w:w="3420" w:type="dxa"/>
            <w:vAlign w:val="bottom"/>
            <w:gridSpan w:val="7"/>
          </w:tcPr>
          <w:p>
            <w:pPr>
              <w:ind w:left="800"/>
              <w:spacing w:after="0" w:line="198" w:lineRule="exact"/>
              <w:rPr>
                <w:sz w:val="20"/>
                <w:szCs w:val="20"/>
                <w:color w:val="auto"/>
              </w:rPr>
            </w:pPr>
            <w:r>
              <w:rPr>
                <w:rFonts w:ascii="Arial" w:cs="Arial" w:eastAsia="Arial" w:hAnsi="Arial"/>
                <w:sz w:val="18"/>
                <w:szCs w:val="18"/>
                <w:color w:val="auto"/>
              </w:rPr>
              <w:t>o Accelerated filer</w:t>
            </w:r>
          </w:p>
        </w:tc>
        <w:tc>
          <w:tcPr>
            <w:tcW w:w="2580" w:type="dxa"/>
            <w:vAlign w:val="bottom"/>
            <w:gridSpan w:val="2"/>
          </w:tcPr>
          <w:p>
            <w:pPr>
              <w:ind w:left="80"/>
              <w:spacing w:after="0" w:line="198" w:lineRule="exact"/>
              <w:rPr>
                <w:sz w:val="20"/>
                <w:szCs w:val="20"/>
                <w:color w:val="auto"/>
              </w:rPr>
            </w:pPr>
            <w:r>
              <w:rPr>
                <w:rFonts w:ascii="Arial" w:cs="Arial" w:eastAsia="Arial" w:hAnsi="Arial"/>
                <w:sz w:val="18"/>
                <w:szCs w:val="18"/>
                <w:color w:val="auto"/>
              </w:rPr>
              <w:t>o Non-accelerated filer</w:t>
            </w:r>
          </w:p>
        </w:tc>
        <w:tc>
          <w:tcPr>
            <w:tcW w:w="2640" w:type="dxa"/>
            <w:vAlign w:val="bottom"/>
            <w:gridSpan w:val="3"/>
          </w:tcPr>
          <w:p>
            <w:pPr>
              <w:jc w:val="right"/>
              <w:ind w:right="420"/>
              <w:spacing w:after="0" w:line="198" w:lineRule="exact"/>
              <w:rPr>
                <w:sz w:val="20"/>
                <w:szCs w:val="20"/>
                <w:color w:val="auto"/>
              </w:rPr>
            </w:pPr>
            <w:r>
              <w:rPr>
                <w:rFonts w:ascii="Arial" w:cs="Arial" w:eastAsia="Arial" w:hAnsi="Arial"/>
                <w:sz w:val="18"/>
                <w:szCs w:val="18"/>
                <w:color w:val="auto"/>
                <w:w w:val="95"/>
              </w:rPr>
              <w:t>o Smaller reporting company</w:t>
            </w: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500" w:type="dxa"/>
            <w:vAlign w:val="bottom"/>
            <w:gridSpan w:val="7"/>
          </w:tcPr>
          <w:p>
            <w:pPr>
              <w:jc w:val="center"/>
              <w:ind w:right="1700"/>
              <w:spacing w:after="0"/>
              <w:rPr>
                <w:sz w:val="20"/>
                <w:szCs w:val="20"/>
                <w:color w:val="auto"/>
              </w:rPr>
            </w:pPr>
            <w:r>
              <w:rPr>
                <w:rFonts w:ascii="Arial" w:cs="Arial" w:eastAsia="Arial" w:hAnsi="Arial"/>
                <w:sz w:val="14"/>
                <w:szCs w:val="14"/>
                <w:color w:val="auto"/>
                <w:w w:val="94"/>
              </w:rPr>
              <w:t>(Do not check if a smaller reporting company)</w:t>
            </w:r>
          </w:p>
        </w:tc>
        <w:tc>
          <w:tcPr>
            <w:tcW w:w="2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7"/>
        </w:trPr>
        <w:tc>
          <w:tcPr>
            <w:tcW w:w="11460" w:type="dxa"/>
            <w:vAlign w:val="bottom"/>
            <w:gridSpan w:val="21"/>
          </w:tcPr>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tc>
        <w:tc>
          <w:tcPr>
            <w:tcW w:w="0" w:type="dxa"/>
            <w:vAlign w:val="bottom"/>
          </w:tcPr>
          <w:p>
            <w:pPr>
              <w:spacing w:after="0"/>
              <w:rPr>
                <w:sz w:val="1"/>
                <w:szCs w:val="1"/>
                <w:color w:val="auto"/>
              </w:rPr>
            </w:pPr>
          </w:p>
        </w:tc>
      </w:tr>
      <w:tr>
        <w:trPr>
          <w:trHeight w:val="432"/>
        </w:trPr>
        <w:tc>
          <w:tcPr>
            <w:tcW w:w="8820" w:type="dxa"/>
            <w:vAlign w:val="bottom"/>
            <w:gridSpan w:val="18"/>
          </w:tcPr>
          <w:p>
            <w:pPr>
              <w:spacing w:after="0"/>
              <w:rPr>
                <w:sz w:val="20"/>
                <w:szCs w:val="20"/>
                <w:color w:val="auto"/>
              </w:rPr>
            </w:pPr>
            <w:r>
              <w:rPr>
                <w:rFonts w:ascii="Arial" w:cs="Arial" w:eastAsia="Arial" w:hAnsi="Arial"/>
                <w:sz w:val="18"/>
                <w:szCs w:val="18"/>
                <w:color w:val="auto"/>
              </w:rPr>
              <w:t>Number of shares of $1 par value common stock outstanding as of October 29, 2016: 88,991,587</w:t>
            </w:r>
          </w:p>
        </w:tc>
        <w:tc>
          <w:tcPr>
            <w:tcW w:w="2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5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gridSpan w:val="2"/>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23"/>
        </w:trPr>
        <w:tc>
          <w:tcPr>
            <w:tcW w:w="2600" w:type="dxa"/>
            <w:vAlign w:val="bottom"/>
            <w:gridSpan w:val="8"/>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0" w:type="dxa"/>
            <w:vAlign w:val="bottom"/>
            <w:gridSpan w:val="9"/>
          </w:tcPr>
          <w:p>
            <w:pPr>
              <w:jc w:val="center"/>
              <w:ind w:right="200"/>
              <w:spacing w:after="0"/>
              <w:rPr>
                <w:sz w:val="20"/>
                <w:szCs w:val="20"/>
                <w:color w:val="auto"/>
              </w:rPr>
            </w:pPr>
            <w:r>
              <w:rPr>
                <w:rFonts w:ascii="Arial" w:cs="Arial" w:eastAsia="Arial" w:hAnsi="Arial"/>
                <w:sz w:val="18"/>
                <w:szCs w:val="18"/>
                <w:b w:val="1"/>
                <w:bCs w:val="1"/>
                <w:color w:val="auto"/>
                <w:w w:val="99"/>
              </w:rPr>
              <w:t>AVERY DENNISON CORPORATION</w:t>
            </w:r>
          </w:p>
        </w:tc>
        <w:tc>
          <w:tcPr>
            <w:tcW w:w="2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2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9"/>
              </w:rPr>
              <w:t>FISCAL THIRD QUARTER 2016 QUARTERLY REPORT ON FORM 10-Q</w:t>
            </w:r>
          </w:p>
        </w:tc>
        <w:tc>
          <w:tcPr>
            <w:tcW w:w="2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0" w:type="dxa"/>
            <w:vAlign w:val="bottom"/>
            <w:gridSpan w:val="6"/>
          </w:tcPr>
          <w:p>
            <w:pPr>
              <w:jc w:val="center"/>
              <w:ind w:right="1800"/>
              <w:spacing w:after="0"/>
              <w:rPr>
                <w:sz w:val="20"/>
                <w:szCs w:val="20"/>
                <w:color w:val="auto"/>
              </w:rPr>
            </w:pPr>
            <w:r>
              <w:rPr>
                <w:rFonts w:ascii="Arial" w:cs="Arial" w:eastAsia="Arial" w:hAnsi="Arial"/>
                <w:sz w:val="18"/>
                <w:szCs w:val="18"/>
                <w:b w:val="1"/>
                <w:bCs w:val="1"/>
                <w:color w:val="auto"/>
                <w:w w:val="98"/>
              </w:rPr>
              <w:t>TABLE OF CONTENTS</w:t>
            </w:r>
          </w:p>
        </w:tc>
        <w:tc>
          <w:tcPr>
            <w:tcW w:w="2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460" w:type="dxa"/>
            <w:vAlign w:val="bottom"/>
            <w:gridSpan w:val="7"/>
            <w:vMerge w:val="restart"/>
          </w:tcPr>
          <w:p>
            <w:pPr>
              <w:spacing w:after="0"/>
              <w:rPr>
                <w:rFonts w:ascii="Arial" w:cs="Arial" w:eastAsia="Arial" w:hAnsi="Arial"/>
                <w:sz w:val="18"/>
                <w:szCs w:val="18"/>
                <w:b w:val="1"/>
                <w:bCs w:val="1"/>
                <w:color w:val="0000EE"/>
                <w:w w:val="98"/>
              </w:rPr>
            </w:pPr>
            <w:hyperlink w:anchor="page2">
              <w:r>
                <w:rPr>
                  <w:rFonts w:ascii="Arial" w:cs="Arial" w:eastAsia="Arial" w:hAnsi="Arial"/>
                  <w:sz w:val="18"/>
                  <w:szCs w:val="18"/>
                  <w:b w:val="1"/>
                  <w:bCs w:val="1"/>
                  <w:color w:val="0000EE"/>
                  <w:w w:val="98"/>
                </w:rPr>
                <w:t>SAFE HARBOR STATEMENT</w:t>
              </w:r>
            </w:hyperlink>
          </w:p>
        </w:tc>
        <w:tc>
          <w:tcPr>
            <w:tcW w:w="140" w:type="dxa"/>
            <w:vAlign w:val="bottom"/>
            <w:vMerge w:val="restart"/>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460" w:type="dxa"/>
            <w:vAlign w:val="bottom"/>
            <w:tcBorders>
              <w:bottom w:val="single" w:sz="8" w:color="0000EE"/>
            </w:tcBorders>
            <w:gridSpan w:val="7"/>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6"/>
        </w:trPr>
        <w:tc>
          <w:tcPr>
            <w:tcW w:w="6240" w:type="dxa"/>
            <w:vAlign w:val="bottom"/>
            <w:gridSpan w:val="16"/>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 (UNAUDITED)</w:t>
              </w:r>
            </w:hyperlink>
          </w:p>
        </w:tc>
        <w:tc>
          <w:tcPr>
            <w:tcW w:w="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5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Financial Statements:</w:t>
              </w:r>
            </w:hyperlink>
          </w:p>
        </w:tc>
        <w:tc>
          <w:tcPr>
            <w:tcW w:w="1500" w:type="dxa"/>
            <w:vAlign w:val="bottom"/>
            <w:tcBorders>
              <w:top w:val="single" w:sz="8" w:color="0000EE"/>
            </w:tcBorders>
            <w:gridSpan w:val="2"/>
          </w:tcPr>
          <w:p>
            <w:pPr>
              <w:spacing w:after="0"/>
              <w:rPr>
                <w:sz w:val="24"/>
                <w:szCs w:val="24"/>
                <w:color w:val="auto"/>
              </w:rPr>
            </w:pPr>
          </w:p>
        </w:tc>
        <w:tc>
          <w:tcPr>
            <w:tcW w:w="1920" w:type="dxa"/>
            <w:vAlign w:val="bottom"/>
            <w:gridSpan w:val="5"/>
          </w:tcPr>
          <w:p>
            <w:pPr>
              <w:spacing w:after="0"/>
              <w:rPr>
                <w:sz w:val="24"/>
                <w:szCs w:val="24"/>
                <w:color w:val="auto"/>
              </w:rPr>
            </w:pPr>
          </w:p>
        </w:tc>
        <w:tc>
          <w:tcPr>
            <w:tcW w:w="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2">
              <w:r>
                <w:rPr>
                  <w:rFonts w:ascii="Arial" w:cs="Arial" w:eastAsia="Arial" w:hAnsi="Arial"/>
                  <w:sz w:val="18"/>
                  <w:szCs w:val="18"/>
                  <w:color w:val="0000EE"/>
                  <w:w w:val="88"/>
                </w:rPr>
                <w:t>Condensed Consolidated Balance Sheets</w:t>
              </w:r>
            </w:hyperlink>
          </w:p>
        </w:tc>
        <w:tc>
          <w:tcPr>
            <w:tcW w:w="1820" w:type="dxa"/>
            <w:vAlign w:val="bottom"/>
            <w:gridSpan w:val="4"/>
          </w:tcPr>
          <w:p>
            <w:pPr>
              <w:spacing w:after="0"/>
              <w:rPr>
                <w:sz w:val="17"/>
                <w:szCs w:val="17"/>
                <w:color w:val="auto"/>
              </w:rPr>
            </w:pPr>
          </w:p>
        </w:tc>
        <w:tc>
          <w:tcPr>
            <w:tcW w:w="3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20" w:type="dxa"/>
            <w:vAlign w:val="bottom"/>
            <w:gridSpan w:val="10"/>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October 1, 2016 and January 2, 2016</w:t>
              </w:r>
            </w:hyperlink>
          </w:p>
        </w:tc>
        <w:tc>
          <w:tcPr>
            <w:tcW w:w="3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64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60" w:type="dxa"/>
            <w:vAlign w:val="bottom"/>
            <w:gridSpan w:val="4"/>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Income</w:t>
              </w:r>
            </w:hyperlink>
          </w:p>
        </w:tc>
        <w:tc>
          <w:tcPr>
            <w:tcW w:w="1340" w:type="dxa"/>
            <w:vAlign w:val="bottom"/>
            <w:gridSpan w:val="3"/>
          </w:tcPr>
          <w:p>
            <w:pPr>
              <w:spacing w:after="0"/>
              <w:rPr>
                <w:sz w:val="17"/>
                <w:szCs w:val="17"/>
                <w:color w:val="auto"/>
              </w:rPr>
            </w:pPr>
          </w:p>
        </w:tc>
        <w:tc>
          <w:tcPr>
            <w:tcW w:w="3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Three and Nine Months ended October 1, 2016 and October 3, 2015</w:t>
              </w:r>
            </w:hyperlink>
          </w:p>
        </w:tc>
        <w:tc>
          <w:tcPr>
            <w:tcW w:w="2280" w:type="dxa"/>
            <w:vAlign w:val="bottom"/>
          </w:tcPr>
          <w:p>
            <w:pPr>
              <w:spacing w:after="0"/>
              <w:rPr>
                <w:sz w:val="17"/>
                <w:szCs w:val="17"/>
                <w:color w:val="auto"/>
              </w:rPr>
            </w:pPr>
          </w:p>
        </w:tc>
        <w:tc>
          <w:tcPr>
            <w:tcW w:w="264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Comprehensive Income</w:t>
              </w:r>
            </w:hyperlink>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Three and Nine Months ended October 1, 2016 and October 3, 2015</w:t>
              </w:r>
            </w:hyperlink>
          </w:p>
        </w:tc>
        <w:tc>
          <w:tcPr>
            <w:tcW w:w="2280" w:type="dxa"/>
            <w:vAlign w:val="bottom"/>
          </w:tcPr>
          <w:p>
            <w:pPr>
              <w:spacing w:after="0"/>
              <w:rPr>
                <w:sz w:val="17"/>
                <w:szCs w:val="17"/>
                <w:color w:val="auto"/>
              </w:rPr>
            </w:pPr>
          </w:p>
        </w:tc>
        <w:tc>
          <w:tcPr>
            <w:tcW w:w="264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Cash Flows</w:t>
              </w:r>
            </w:hyperlink>
          </w:p>
        </w:tc>
        <w:tc>
          <w:tcPr>
            <w:tcW w:w="104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Three and Nine Months ended October 1, 2016 and October 3, 2015</w:t>
              </w:r>
            </w:hyperlink>
          </w:p>
        </w:tc>
        <w:tc>
          <w:tcPr>
            <w:tcW w:w="2280" w:type="dxa"/>
            <w:vAlign w:val="bottom"/>
          </w:tcPr>
          <w:p>
            <w:pPr>
              <w:spacing w:after="0"/>
              <w:rPr>
                <w:sz w:val="17"/>
                <w:szCs w:val="17"/>
                <w:color w:val="auto"/>
              </w:rPr>
            </w:pPr>
          </w:p>
        </w:tc>
        <w:tc>
          <w:tcPr>
            <w:tcW w:w="264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Notes to Unaudited Condensed Consolidated Financial Statements</w:t>
              </w:r>
            </w:hyperlink>
          </w:p>
        </w:tc>
        <w:tc>
          <w:tcPr>
            <w:tcW w:w="3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64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-3354705</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-3354705</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233" w:right="19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Item 2.</w:t>
              </w:r>
            </w:hyperlink>
          </w:p>
        </w:tc>
        <w:tc>
          <w:tcPr>
            <w:tcW w:w="50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8220" w:type="dxa"/>
            <w:vAlign w:val="bottom"/>
            <w:gridSpan w:val="19"/>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196"/>
        </w:trPr>
        <w:tc>
          <w:tcPr>
            <w:tcW w:w="5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3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w:anchor="page15">
              <w:r>
                <w:rPr>
                  <w:rFonts w:ascii="Arial" w:cs="Arial" w:eastAsia="Arial" w:hAnsi="Arial"/>
                  <w:sz w:val="18"/>
                  <w:szCs w:val="18"/>
                  <w:color w:val="0000EE"/>
                  <w:w w:val="91"/>
                </w:rPr>
                <w:t>Non-GAAP Financial Measures</w:t>
              </w:r>
            </w:hyperlink>
          </w:p>
        </w:tc>
        <w:tc>
          <w:tcPr>
            <w:tcW w:w="4000" w:type="dxa"/>
            <w:vAlign w:val="bottom"/>
            <w:tcBorders>
              <w:top w:val="single" w:sz="8" w:color="0000EE"/>
            </w:tcBorders>
            <w:gridSpan w:val="8"/>
          </w:tcPr>
          <w:p>
            <w:pPr>
              <w:spacing w:after="0"/>
              <w:rPr>
                <w:sz w:val="17"/>
                <w:szCs w:val="17"/>
                <w:color w:val="auto"/>
              </w:rPr>
            </w:pPr>
          </w:p>
        </w:tc>
        <w:tc>
          <w:tcPr>
            <w:tcW w:w="1760" w:type="dxa"/>
            <w:vAlign w:val="bottom"/>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15">
              <w:r>
                <w:rPr>
                  <w:rFonts w:ascii="Arial" w:cs="Arial" w:eastAsia="Arial" w:hAnsi="Arial"/>
                  <w:sz w:val="18"/>
                  <w:szCs w:val="18"/>
                  <w:color w:val="0000EE"/>
                  <w:w w:val="92"/>
                </w:rPr>
                <w:t>Overview and Outlook</w:t>
              </w:r>
            </w:hyperlink>
          </w:p>
        </w:tc>
        <w:tc>
          <w:tcPr>
            <w:tcW w:w="6420" w:type="dxa"/>
            <w:vAlign w:val="bottom"/>
            <w:gridSpan w:val="11"/>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17">
              <w:r>
                <w:rPr>
                  <w:rFonts w:ascii="Arial" w:cs="Arial" w:eastAsia="Arial" w:hAnsi="Arial"/>
                  <w:sz w:val="18"/>
                  <w:szCs w:val="18"/>
                  <w:color w:val="0000EE"/>
                  <w:w w:val="91"/>
                </w:rPr>
                <w:t>Analysis of Results of Operations for the Third Quarter</w:t>
              </w:r>
            </w:hyperlink>
          </w:p>
        </w:tc>
        <w:tc>
          <w:tcPr>
            <w:tcW w:w="4080" w:type="dxa"/>
            <w:vAlign w:val="bottom"/>
            <w:gridSpan w:val="7"/>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Results of Operations by Reportable Segment for the Third Quarter</w:t>
              </w:r>
            </w:hyperlink>
          </w:p>
        </w:tc>
        <w:tc>
          <w:tcPr>
            <w:tcW w:w="3220" w:type="dxa"/>
            <w:vAlign w:val="bottom"/>
            <w:gridSpan w:val="4"/>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Analysis of Results of Operations for the Nine Months Year-to-Date</w:t>
              </w:r>
            </w:hyperlink>
          </w:p>
        </w:tc>
        <w:tc>
          <w:tcPr>
            <w:tcW w:w="3160" w:type="dxa"/>
            <w:vAlign w:val="bottom"/>
            <w:gridSpan w:val="3"/>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80" w:type="dxa"/>
            <w:vAlign w:val="bottom"/>
            <w:gridSpan w:val="18"/>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Results of Operations by Reportable Segment for the Nine Months Year-to-Date</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7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Financial Condition</w:t>
              </w:r>
            </w:hyperlink>
          </w:p>
        </w:tc>
        <w:tc>
          <w:tcPr>
            <w:tcW w:w="2300" w:type="dxa"/>
            <w:vAlign w:val="bottom"/>
            <w:gridSpan w:val="2"/>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gridSpan w:val="5"/>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Recent Accounting Requirements</w:t>
              </w:r>
            </w:hyperlink>
          </w:p>
        </w:tc>
        <w:tc>
          <w:tcPr>
            <w:tcW w:w="5640" w:type="dxa"/>
            <w:vAlign w:val="bottom"/>
            <w:gridSpan w:val="8"/>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3.</w:t>
              </w:r>
            </w:hyperlink>
          </w:p>
        </w:tc>
        <w:tc>
          <w:tcPr>
            <w:tcW w:w="3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438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Quantitative and Qualitative Disclosures About Market Risk</w:t>
              </w:r>
            </w:hyperlink>
          </w:p>
        </w:tc>
        <w:tc>
          <w:tcPr>
            <w:tcW w:w="3840" w:type="dxa"/>
            <w:vAlign w:val="bottom"/>
            <w:gridSpan w:val="5"/>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4.</w:t>
              </w:r>
            </w:hyperlink>
          </w:p>
        </w:tc>
        <w:tc>
          <w:tcPr>
            <w:tcW w:w="50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Controls and Procedures</w:t>
              </w:r>
            </w:hyperlink>
          </w:p>
        </w:tc>
        <w:tc>
          <w:tcPr>
            <w:tcW w:w="6440" w:type="dxa"/>
            <w:vAlign w:val="bottom"/>
            <w:gridSpan w:val="12"/>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412"/>
        </w:trPr>
        <w:tc>
          <w:tcPr>
            <w:tcW w:w="2840" w:type="dxa"/>
            <w:vAlign w:val="bottom"/>
            <w:tcBorders>
              <w:bottom w:val="single" w:sz="8" w:color="0000EE"/>
            </w:tcBorders>
            <w:gridSpan w:val="12"/>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OTHER INFORMATION</w:t>
              </w:r>
            </w:hyperlink>
          </w:p>
        </w:tc>
        <w:tc>
          <w:tcPr>
            <w:tcW w:w="6640" w:type="dxa"/>
            <w:vAlign w:val="bottom"/>
            <w:gridSpan w:val="13"/>
          </w:tcPr>
          <w:p>
            <w:pPr>
              <w:spacing w:after="0"/>
              <w:rPr>
                <w:sz w:val="24"/>
                <w:szCs w:val="24"/>
                <w:color w:val="auto"/>
              </w:rPr>
            </w:pPr>
          </w:p>
        </w:tc>
        <w:tc>
          <w:tcPr>
            <w:tcW w:w="1980" w:type="dxa"/>
            <w:vAlign w:val="bottom"/>
          </w:tcPr>
          <w:p>
            <w:pPr>
              <w:spacing w:after="0"/>
              <w:rPr>
                <w:sz w:val="24"/>
                <w:szCs w:val="24"/>
                <w:color w:val="auto"/>
              </w:rPr>
            </w:pPr>
          </w:p>
        </w:tc>
      </w:tr>
      <w:tr>
        <w:trPr>
          <w:trHeight w:val="412"/>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26">
              <w:r>
                <w:rPr>
                  <w:rFonts w:ascii="Arial" w:cs="Arial" w:eastAsia="Arial" w:hAnsi="Arial"/>
                  <w:sz w:val="18"/>
                  <w:szCs w:val="18"/>
                  <w:color w:val="0000EE"/>
                  <w:w w:val="94"/>
                </w:rPr>
                <w:t>Item 1.</w:t>
              </w:r>
            </w:hyperlink>
          </w:p>
        </w:tc>
        <w:tc>
          <w:tcPr>
            <w:tcW w:w="48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Legal Proceedings</w:t>
              </w:r>
            </w:hyperlink>
          </w:p>
        </w:tc>
        <w:tc>
          <w:tcPr>
            <w:tcW w:w="6880" w:type="dxa"/>
            <w:vAlign w:val="bottom"/>
            <w:gridSpan w:val="14"/>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196"/>
        </w:trPr>
        <w:tc>
          <w:tcPr>
            <w:tcW w:w="1020" w:type="dxa"/>
            <w:vAlign w:val="bottom"/>
            <w:gridSpan w:val="5"/>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1A.</w:t>
              </w:r>
            </w:hyperlink>
          </w:p>
        </w:tc>
        <w:tc>
          <w:tcPr>
            <w:tcW w:w="8460" w:type="dxa"/>
            <w:vAlign w:val="bottom"/>
            <w:gridSpan w:val="20"/>
          </w:tcPr>
          <w:p>
            <w:pPr>
              <w:ind w:left="240"/>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2.</w:t>
              </w:r>
            </w:hyperlink>
          </w:p>
        </w:tc>
        <w:tc>
          <w:tcPr>
            <w:tcW w:w="120" w:type="dxa"/>
            <w:vAlign w:val="bottom"/>
            <w:tcBorders>
              <w:bottom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Unregistered Sales of Equity Securities and Use of Proceeds</w:t>
              </w:r>
            </w:hyperlink>
          </w:p>
        </w:tc>
        <w:tc>
          <w:tcPr>
            <w:tcW w:w="3860" w:type="dxa"/>
            <w:vAlign w:val="bottom"/>
            <w:gridSpan w:val="6"/>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26">
              <w:r>
                <w:rPr>
                  <w:rFonts w:ascii="Arial" w:cs="Arial" w:eastAsia="Arial" w:hAnsi="Arial"/>
                  <w:sz w:val="18"/>
                  <w:szCs w:val="18"/>
                  <w:color w:val="0000EE"/>
                  <w:w w:val="94"/>
                </w:rPr>
                <w:t>Item 3.</w:t>
              </w:r>
            </w:hyperlink>
          </w:p>
        </w:tc>
        <w:tc>
          <w:tcPr>
            <w:tcW w:w="48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8220" w:type="dxa"/>
            <w:vAlign w:val="bottom"/>
            <w:gridSpan w:val="1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Defaults Upon Senior Securities</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26">
              <w:r>
                <w:rPr>
                  <w:rFonts w:ascii="Arial" w:cs="Arial" w:eastAsia="Arial" w:hAnsi="Arial"/>
                  <w:sz w:val="18"/>
                  <w:szCs w:val="18"/>
                  <w:color w:val="0000EE"/>
                  <w:w w:val="94"/>
                </w:rPr>
                <w:t>Item 4.</w:t>
              </w:r>
            </w:hyperlink>
          </w:p>
        </w:tc>
        <w:tc>
          <w:tcPr>
            <w:tcW w:w="48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17"/>
                <w:szCs w:val="17"/>
                <w:color w:val="auto"/>
              </w:rPr>
            </w:pPr>
          </w:p>
        </w:tc>
        <w:tc>
          <w:tcPr>
            <w:tcW w:w="5900" w:type="dxa"/>
            <w:vAlign w:val="bottom"/>
            <w:gridSpan w:val="10"/>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27">
              <w:r>
                <w:rPr>
                  <w:rFonts w:ascii="Arial" w:cs="Arial" w:eastAsia="Arial" w:hAnsi="Arial"/>
                  <w:sz w:val="18"/>
                  <w:szCs w:val="18"/>
                  <w:color w:val="0000EE"/>
                  <w:w w:val="94"/>
                </w:rPr>
                <w:t>Item 5.</w:t>
              </w:r>
            </w:hyperlink>
          </w:p>
        </w:tc>
        <w:tc>
          <w:tcPr>
            <w:tcW w:w="48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Other Information</w:t>
              </w:r>
            </w:hyperlink>
          </w:p>
        </w:tc>
        <w:tc>
          <w:tcPr>
            <w:tcW w:w="6900" w:type="dxa"/>
            <w:vAlign w:val="bottom"/>
            <w:gridSpan w:val="15"/>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27">
              <w:r>
                <w:rPr>
                  <w:rFonts w:ascii="Arial" w:cs="Arial" w:eastAsia="Arial" w:hAnsi="Arial"/>
                  <w:sz w:val="18"/>
                  <w:szCs w:val="18"/>
                  <w:color w:val="0000EE"/>
                  <w:w w:val="94"/>
                </w:rPr>
                <w:t>Item 6.</w:t>
              </w:r>
            </w:hyperlink>
          </w:p>
        </w:tc>
        <w:tc>
          <w:tcPr>
            <w:tcW w:w="48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8220" w:type="dxa"/>
            <w:vAlign w:val="bottom"/>
            <w:gridSpan w:val="1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020" w:type="dxa"/>
            <w:vAlign w:val="bottom"/>
            <w:gridSpan w:val="5"/>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Signatures</w:t>
              </w:r>
            </w:hyperlink>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37"/>
        </w:trPr>
        <w:tc>
          <w:tcPr>
            <w:tcW w:w="76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Exhibits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48"/>
        </w:trPr>
        <w:tc>
          <w:tcPr>
            <w:tcW w:w="5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The matters discussed in this Quarterly Report contain “forward-looking statements” within the meaning of the Private Securities Litigation Reform Act of 1995. These statements, which are not statements of historical fact, contain estimates, assumptions, projections and/or expectations regarding future events, which may or may not occur. Words such as “aim,” “anticipate,” “assume,” “believe,” “continue,” “could,” “estimate,” “expect,” “foresee,” “guidance,” “intend,” “may,” “might,” “objective,” “plan,” “potential,” “project,” “seek,” “shall,” “should,” “target,” “will,” “would,” or variations thereof, and other expressions that refer to future events and trends, identify forward-looking statements. These forward-looking statements, and financial or other business targets, are subject to certain risks and uncertainties, which could cause our actual results to differ materially from the expected results, performance or achievements expressed or implied by such forward-looking statements.</w:t>
      </w:r>
    </w:p>
    <w:p>
      <w:pPr>
        <w:spacing w:after="0" w:line="189" w:lineRule="exact"/>
        <w:rPr>
          <w:sz w:val="20"/>
          <w:szCs w:val="20"/>
          <w:color w:val="auto"/>
        </w:rPr>
      </w:pPr>
    </w:p>
    <w:p>
      <w:pPr>
        <w:jc w:val="both"/>
        <w:ind w:right="40"/>
        <w:spacing w:after="0" w:line="267" w:lineRule="auto"/>
        <w:rPr>
          <w:sz w:val="20"/>
          <w:szCs w:val="20"/>
          <w:color w:val="auto"/>
        </w:rPr>
      </w:pPr>
      <w:r>
        <w:rPr>
          <w:rFonts w:ascii="Arial" w:cs="Arial" w:eastAsia="Arial" w:hAnsi="Arial"/>
          <w:sz w:val="17"/>
          <w:szCs w:val="17"/>
          <w:color w:val="auto"/>
        </w:rPr>
        <w:t>Certain risks and uncertainties are discussed in more detail under “Risk Factors” and “Management’s Discussion and Analysis of Financial Condition and Results of Operations” in our Annual Report on Form 10-K for the fiscal year ended January 2, 2016, and subsequent quarterly reports on Form 10-Q, and include, but are not limited to, risks and uncertainties relating to the following: fluctuations in demand affecting sales to customers; worldwide and local economic conditions; fluctuations in currency exchange rates and other risks associated with foreign operations, including in emerging markets; the financial condition and inventory strategies of customers; changes in customer preferences; fluctuations in cost and availability of raw materials; our ability to generate sustained productivity improvement; our ability to achieve and sustain targeted cost reductions; the impact of competitive products and pricing; loss of significant contracts or customers; collection of receivables from customers; selling prices; business mix shift; timely development and market acceptance of new products, including sustainable or sustainably-sourced products; investment in development activities and new production facilities; integration of acquisitions and completion of potential dispositions; amounts of future dividends and share repurchases; customer and supplier concentrations; successful implementation of new manufacturing technologies and installation of manufacturing equipment; disruptions in information technology systems, including cyber-attacks or other intrusions to network security; successful installation of new or upgraded information technology systems; data security breaches; volatility of financial markets; impairment of capitalized assets, including goodwill and other intangibles; credit risks; our ability to obtain adequate financing arrangements and maintain access to capital; fluctuations in interest and tax rates; changes in tax laws and regulations, and uncertainties associated with interpretations of such laws and regulations; outcome of tax audits; fluctuations in pension, insurance, and employee benefit costs; the impact of legal and regulatory proceedings, including with respect to environmental, health and safety; changes in governmental laws and regulations; protection and infringement of intellectual property; changes in political conditions; the impact of epidemiological events on the economy and our customers and suppliers; acts of war, terrorism, and natural disasters; and other factors.</w:t>
      </w:r>
    </w:p>
    <w:p>
      <w:pPr>
        <w:spacing w:after="0" w:line="19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 believe that the most significant risk factors that could affect our financial performance in the near-term include: (1) the impacts of economic conditions on underlying demand for our products and foreign currency fluctuations; (2) competitors’ actions, including pricing, expansion in key markets, and product offerings; and (3) the degree to which higher costs can be offset with productivity measures and/or passed on to customers through selling price increases, without a significant loss of volume.</w:t>
      </w:r>
    </w:p>
    <w:p>
      <w:pPr>
        <w:spacing w:after="0" w:line="187"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Our forward-looking statements are made only as of the date hereof. We assume no duty to update these forward-looking statements to reflect new, changed or unanticipated events or circumstances, other than as may be required by law.</w:t>
      </w:r>
    </w:p>
    <w:p>
      <w:pPr>
        <w:spacing w:after="0" w:line="170" w:lineRule="exact"/>
        <w:rPr>
          <w:sz w:val="20"/>
          <w:szCs w:val="20"/>
          <w:color w:val="auto"/>
        </w:rPr>
      </w:pPr>
    </w:p>
    <w:p>
      <w:pPr>
        <w:ind w:left="113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ectPr>
          <w:pgSz w:w="11900" w:h="16838" w:orient="portrait"/>
          <w:cols w:equalWidth="0" w:num="1">
            <w:col w:w="11460"/>
          </w:cols>
          <w:pgMar w:left="240" w:top="108" w:right="199" w:bottom="0" w:gutter="0" w:footer="0" w:header="0"/>
        </w:sectPr>
      </w:pPr>
    </w:p>
    <w:bookmarkStart w:id="2" w:name="page3"/>
    <w:bookmarkEnd w:id="2"/>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Unaudited</w:t>
      </w:r>
      <w:r>
        <w:rPr>
          <w:rFonts w:ascii="Arial" w:cs="Arial" w:eastAsia="Arial" w:hAnsi="Arial"/>
          <w:sz w:val="18"/>
          <w:szCs w:val="18"/>
          <w:b w:val="1"/>
          <w:bCs w:val="1"/>
          <w:color w:val="auto"/>
        </w:rPr>
        <w: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480" w:type="dxa"/>
            <w:vAlign w:val="bottom"/>
            <w:gridSpan w:val="2"/>
          </w:tcPr>
          <w:p>
            <w:pPr>
              <w:spacing w:after="0"/>
              <w:rPr>
                <w:sz w:val="20"/>
                <w:szCs w:val="20"/>
                <w:color w:val="auto"/>
              </w:rPr>
            </w:pPr>
            <w:r>
              <w:rPr>
                <w:rFonts w:ascii="Arial" w:cs="Arial" w:eastAsia="Arial" w:hAnsi="Arial"/>
                <w:sz w:val="14"/>
                <w:szCs w:val="14"/>
                <w:color w:val="auto"/>
              </w:rPr>
              <w:t>(Dollars in millions, except per share amount)</w:t>
            </w:r>
          </w:p>
        </w:tc>
        <w:tc>
          <w:tcPr>
            <w:tcW w:w="22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October 1, 2016</w:t>
            </w:r>
          </w:p>
        </w:tc>
        <w:tc>
          <w:tcPr>
            <w:tcW w:w="17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January 2,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Current assets:</w:t>
            </w:r>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189.4</w:t>
            </w: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60" w:type="dxa"/>
            <w:vAlign w:val="bottom"/>
          </w:tcPr>
          <w:p>
            <w:pPr>
              <w:ind w:left="160"/>
              <w:spacing w:after="0" w:line="201" w:lineRule="exact"/>
              <w:rPr>
                <w:sz w:val="20"/>
                <w:szCs w:val="20"/>
                <w:color w:val="auto"/>
              </w:rPr>
            </w:pPr>
            <w:r>
              <w:rPr>
                <w:rFonts w:ascii="Arial" w:cs="Arial" w:eastAsia="Arial" w:hAnsi="Arial"/>
                <w:sz w:val="18"/>
                <w:szCs w:val="18"/>
                <w:color w:val="auto"/>
              </w:rPr>
              <w:t>Trade accounts receivable, less allowances of $40.6 and $31.5 at October 1, 2016 and</w:t>
            </w: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January 2, 2016, respectively</w:t>
            </w:r>
          </w:p>
        </w:tc>
        <w:tc>
          <w:tcPr>
            <w:tcW w:w="940" w:type="dxa"/>
            <w:vAlign w:val="bottom"/>
          </w:tcPr>
          <w:p>
            <w:pPr>
              <w:spacing w:after="0"/>
              <w:rPr>
                <w:sz w:val="20"/>
                <w:szCs w:val="20"/>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1,069.7</w:t>
            </w:r>
          </w:p>
        </w:tc>
        <w:tc>
          <w:tcPr>
            <w:tcW w:w="8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565.3</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Assets held for sale</w:t>
            </w:r>
          </w:p>
        </w:tc>
        <w:tc>
          <w:tcPr>
            <w:tcW w:w="94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5.9</w:t>
            </w:r>
          </w:p>
        </w:tc>
        <w:tc>
          <w:tcPr>
            <w:tcW w:w="8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9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183.3</w:t>
            </w:r>
          </w:p>
        </w:tc>
        <w:tc>
          <w:tcPr>
            <w:tcW w:w="8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94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2,013.6</w:t>
            </w:r>
          </w:p>
        </w:tc>
        <w:tc>
          <w:tcPr>
            <w:tcW w:w="8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2,685.5</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Accumulated depreciation</w:t>
            </w:r>
          </w:p>
        </w:tc>
        <w:tc>
          <w:tcPr>
            <w:tcW w:w="9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(1,780.1)</w:t>
            </w:r>
          </w:p>
        </w:tc>
        <w:tc>
          <w:tcPr>
            <w:tcW w:w="8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905.4</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Goodwill</w:t>
            </w:r>
          </w:p>
        </w:tc>
        <w:tc>
          <w:tcPr>
            <w:tcW w:w="94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821.6</w:t>
            </w:r>
          </w:p>
        </w:tc>
        <w:tc>
          <w:tcPr>
            <w:tcW w:w="8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 resulting from business acquisitions, net</w:t>
            </w: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70.9</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Non-current deferred income taxes</w:t>
            </w:r>
          </w:p>
        </w:tc>
        <w:tc>
          <w:tcPr>
            <w:tcW w:w="94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390.7</w:t>
            </w:r>
          </w:p>
        </w:tc>
        <w:tc>
          <w:tcPr>
            <w:tcW w:w="8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9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398.2</w:t>
            </w:r>
          </w:p>
        </w:tc>
        <w:tc>
          <w:tcPr>
            <w:tcW w:w="8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406.2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4,600.4</w:t>
            </w: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4,133.7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Short-term borrowings and current portion of long-term debt and capital leases</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587.6</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866.7</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Accrued payroll and employee benefits</w:t>
            </w:r>
          </w:p>
        </w:tc>
        <w:tc>
          <w:tcPr>
            <w:tcW w:w="94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207.8</w:t>
            </w:r>
          </w:p>
        </w:tc>
        <w:tc>
          <w:tcPr>
            <w:tcW w:w="8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9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394.0</w:t>
            </w:r>
          </w:p>
        </w:tc>
        <w:tc>
          <w:tcPr>
            <w:tcW w:w="8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94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2,056.1</w:t>
            </w:r>
          </w:p>
        </w:tc>
        <w:tc>
          <w:tcPr>
            <w:tcW w:w="8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and capital leases</w:t>
            </w: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713.0</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Long-term retirement benefits and other liabilities</w:t>
            </w:r>
          </w:p>
        </w:tc>
        <w:tc>
          <w:tcPr>
            <w:tcW w:w="94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684.5</w:t>
            </w:r>
          </w:p>
        </w:tc>
        <w:tc>
          <w:tcPr>
            <w:tcW w:w="8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and payable income taxes</w:t>
            </w: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104.4</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Commitments and contingencies (see Note 15)</w:t>
            </w:r>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60" w:type="dxa"/>
            <w:vAlign w:val="bottom"/>
          </w:tcPr>
          <w:p>
            <w:pPr>
              <w:ind w:left="160"/>
              <w:spacing w:after="0" w:line="201" w:lineRule="exact"/>
              <w:rPr>
                <w:sz w:val="20"/>
                <w:szCs w:val="20"/>
                <w:color w:val="auto"/>
              </w:rPr>
            </w:pPr>
            <w:r>
              <w:rPr>
                <w:rFonts w:ascii="Arial" w:cs="Arial" w:eastAsia="Arial" w:hAnsi="Arial"/>
                <w:sz w:val="18"/>
                <w:szCs w:val="18"/>
                <w:color w:val="auto"/>
                <w:w w:val="97"/>
              </w:rPr>
              <w:t>Common stock, $1 par value per share, authorized — 400,000,000 shares at October 1, 2016</w:t>
            </w: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w w:val="95"/>
              </w:rPr>
              <w:t>and January 2, 2016; issued — 124,126,624 shares at October 1, 2016 and January 2, 2016;</w:t>
            </w:r>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w w:val="96"/>
              </w:rPr>
              <w:t>outstanding — 89,194,833 shares and 89,967,697 shares at October 1, 2016 and January 2,</w:t>
            </w:r>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2016, respectively</w:t>
            </w:r>
          </w:p>
        </w:tc>
        <w:tc>
          <w:tcPr>
            <w:tcW w:w="940" w:type="dxa"/>
            <w:vAlign w:val="bottom"/>
          </w:tcPr>
          <w:p>
            <w:pPr>
              <w:spacing w:after="0"/>
              <w:rPr>
                <w:sz w:val="20"/>
                <w:szCs w:val="20"/>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124.1</w:t>
            </w:r>
          </w:p>
        </w:tc>
        <w:tc>
          <w:tcPr>
            <w:tcW w:w="8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in excess of par value</w:t>
            </w: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843.1</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94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2,444.1</w:t>
            </w:r>
          </w:p>
        </w:tc>
        <w:tc>
          <w:tcPr>
            <w:tcW w:w="8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2,277.6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Treasury stock at cost, 34,931,791 shares and 34,158,927 shares at October 1, 2016 and</w:t>
            </w:r>
          </w:p>
        </w:tc>
        <w:tc>
          <w:tcPr>
            <w:tcW w:w="9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January 2, 2016, respectively</w:t>
            </w:r>
          </w:p>
        </w:tc>
        <w:tc>
          <w:tcPr>
            <w:tcW w:w="9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(1,699.9)</w:t>
            </w:r>
          </w:p>
        </w:tc>
        <w:tc>
          <w:tcPr>
            <w:tcW w:w="8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Accumulated other comprehensive loss</w:t>
            </w:r>
          </w:p>
        </w:tc>
        <w:tc>
          <w:tcPr>
            <w:tcW w:w="9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(669.0)</w:t>
            </w:r>
          </w:p>
        </w:tc>
        <w:tc>
          <w:tcPr>
            <w:tcW w:w="8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shareholders’ equity</w:t>
            </w:r>
          </w:p>
        </w:tc>
        <w:tc>
          <w:tcPr>
            <w:tcW w:w="9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1,042.4</w:t>
            </w:r>
          </w:p>
        </w:tc>
        <w:tc>
          <w:tcPr>
            <w:tcW w:w="8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965.7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4,600.4</w:t>
            </w: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4,133.7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Unaudited</w:t>
      </w:r>
      <w:r>
        <w:rPr>
          <w:rFonts w:ascii="Arial" w:cs="Arial" w:eastAsia="Arial" w:hAnsi="Arial"/>
          <w:sz w:val="18"/>
          <w:szCs w:val="18"/>
          <w:b w:val="1"/>
          <w:bCs w:val="1"/>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9"/>
              </w:rPr>
              <w:t>Three Months Ended</w:t>
            </w:r>
          </w:p>
        </w:tc>
        <w:tc>
          <w:tcPr>
            <w:tcW w:w="8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Nine Months Ended</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80" w:type="dxa"/>
            <w:vAlign w:val="bottom"/>
            <w:gridSpan w:val="2"/>
          </w:tcPr>
          <w:p>
            <w:pPr>
              <w:spacing w:after="0"/>
              <w:rPr>
                <w:sz w:val="20"/>
                <w:szCs w:val="20"/>
                <w:color w:val="auto"/>
              </w:rPr>
            </w:pPr>
            <w:r>
              <w:rPr>
                <w:rFonts w:ascii="Arial" w:cs="Arial" w:eastAsia="Arial" w:hAnsi="Arial"/>
                <w:sz w:val="14"/>
                <w:szCs w:val="14"/>
                <w:color w:val="auto"/>
              </w:rPr>
              <w:t>(In millions, except per share amounts)</w:t>
            </w:r>
          </w:p>
        </w:tc>
        <w:tc>
          <w:tcPr>
            <w:tcW w:w="178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October 1, 2016</w:t>
            </w:r>
          </w:p>
        </w:tc>
        <w:tc>
          <w:tcPr>
            <w:tcW w:w="16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October 3, 2015</w:t>
            </w:r>
          </w:p>
        </w:tc>
        <w:tc>
          <w:tcPr>
            <w:tcW w:w="140" w:type="dxa"/>
            <w:vAlign w:val="bottom"/>
          </w:tcPr>
          <w:p>
            <w:pPr>
              <w:spacing w:after="0"/>
              <w:rPr>
                <w:sz w:val="18"/>
                <w:szCs w:val="18"/>
                <w:color w:val="auto"/>
              </w:rPr>
            </w:pPr>
          </w:p>
        </w:tc>
        <w:tc>
          <w:tcPr>
            <w:tcW w:w="17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October 1, 2016</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October 3,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6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1,508.7</w:t>
            </w:r>
          </w:p>
        </w:tc>
        <w:tc>
          <w:tcPr>
            <w:tcW w:w="8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1,468.1</w:t>
            </w: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4,535.7</w:t>
            </w:r>
          </w:p>
        </w:tc>
        <w:tc>
          <w:tcPr>
            <w:tcW w:w="7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products sold</w:t>
            </w:r>
          </w:p>
        </w:tc>
        <w:tc>
          <w:tcPr>
            <w:tcW w:w="6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1,091.1</w:t>
            </w:r>
          </w:p>
        </w:tc>
        <w:tc>
          <w:tcPr>
            <w:tcW w:w="8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1,062.2</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3,261.4</w:t>
            </w:r>
          </w:p>
        </w:tc>
        <w:tc>
          <w:tcPr>
            <w:tcW w:w="7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3,258.6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6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417.6</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405.9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1,274.3</w:t>
            </w: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Marketing, general and administrative expense</w:t>
            </w:r>
          </w:p>
        </w:tc>
        <w:tc>
          <w:tcPr>
            <w:tcW w:w="660" w:type="dxa"/>
            <w:vAlign w:val="bottom"/>
          </w:tcPr>
          <w:p>
            <w:pPr>
              <w:spacing w:after="0"/>
              <w:rPr>
                <w:sz w:val="18"/>
                <w:szCs w:val="18"/>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270.3</w:t>
            </w:r>
          </w:p>
        </w:tc>
        <w:tc>
          <w:tcPr>
            <w:tcW w:w="800" w:type="dxa"/>
            <w:vAlign w:val="bottom"/>
          </w:tcPr>
          <w:p>
            <w:pPr>
              <w:spacing w:after="0"/>
              <w:rPr>
                <w:sz w:val="18"/>
                <w:szCs w:val="18"/>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268.1</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817.7</w:t>
            </w:r>
          </w:p>
        </w:tc>
        <w:tc>
          <w:tcPr>
            <w:tcW w:w="78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14.7</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45.4</w:t>
            </w: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expense, net</w:t>
            </w:r>
          </w:p>
        </w:tc>
        <w:tc>
          <w:tcPr>
            <w:tcW w:w="6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4.6</w:t>
            </w:r>
          </w:p>
        </w:tc>
        <w:tc>
          <w:tcPr>
            <w:tcW w:w="8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7.0</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60.4</w:t>
            </w:r>
          </w:p>
        </w:tc>
        <w:tc>
          <w:tcPr>
            <w:tcW w:w="7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continuing operations before taxes</w:t>
            </w:r>
          </w:p>
        </w:tc>
        <w:tc>
          <w:tcPr>
            <w:tcW w:w="6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128.0</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116.1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350.8</w:t>
            </w: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6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38.9</w:t>
            </w:r>
          </w:p>
        </w:tc>
        <w:tc>
          <w:tcPr>
            <w:tcW w:w="8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34.8</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92.1</w:t>
            </w:r>
          </w:p>
        </w:tc>
        <w:tc>
          <w:tcPr>
            <w:tcW w:w="7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6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89.1</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81.3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258.7</w:t>
            </w: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(loss) from discontinued operations</w:t>
            </w:r>
          </w:p>
        </w:tc>
        <w:tc>
          <w:tcPr>
            <w:tcW w:w="6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6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89.1</w:t>
            </w:r>
          </w:p>
        </w:tc>
        <w:tc>
          <w:tcPr>
            <w:tcW w:w="8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81.7</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258.7</w:t>
            </w:r>
          </w:p>
        </w:tc>
        <w:tc>
          <w:tcPr>
            <w:tcW w:w="7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Per share amounts:</w:t>
            </w:r>
          </w:p>
        </w:tc>
        <w:tc>
          <w:tcPr>
            <w:tcW w:w="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1.00</w:t>
            </w: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2.90</w:t>
            </w: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bl>
    <w:p>
      <w:pPr>
        <w:sectPr>
          <w:pgSz w:w="11900" w:h="16870" w:orient="portrait"/>
          <w:cols w:equalWidth="0" w:num="1">
            <w:col w:w="11420"/>
          </w:cols>
          <w:pgMar w:left="240" w:top="121" w:right="23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5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Discontinued operations</w:t>
            </w:r>
          </w:p>
        </w:tc>
        <w:tc>
          <w:tcPr>
            <w:tcW w:w="8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8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1.00</w:t>
            </w:r>
          </w:p>
        </w:tc>
        <w:tc>
          <w:tcPr>
            <w:tcW w:w="7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.89</w:t>
            </w:r>
          </w:p>
        </w:tc>
        <w:tc>
          <w:tcPr>
            <w:tcW w:w="7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2.90</w:t>
            </w:r>
          </w:p>
        </w:tc>
        <w:tc>
          <w:tcPr>
            <w:tcW w:w="7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Net income (loss) per common share, assuming dilution:</w:t>
            </w: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8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.98</w:t>
            </w:r>
          </w:p>
        </w:tc>
        <w:tc>
          <w:tcPr>
            <w:tcW w:w="7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.87</w:t>
            </w:r>
          </w:p>
        </w:tc>
        <w:tc>
          <w:tcPr>
            <w:tcW w:w="7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2.85</w:t>
            </w:r>
          </w:p>
        </w:tc>
        <w:tc>
          <w:tcPr>
            <w:tcW w:w="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Discontinued operations</w:t>
            </w:r>
          </w:p>
        </w:tc>
        <w:tc>
          <w:tcPr>
            <w:tcW w:w="8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.01</w:t>
            </w:r>
          </w:p>
        </w:tc>
        <w:tc>
          <w:tcPr>
            <w:tcW w:w="7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per common share, assuming dilution</w:t>
            </w:r>
          </w:p>
        </w:tc>
        <w:tc>
          <w:tcPr>
            <w:tcW w:w="8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.98</w:t>
            </w:r>
          </w:p>
        </w:tc>
        <w:tc>
          <w:tcPr>
            <w:tcW w:w="7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.88</w:t>
            </w:r>
          </w:p>
        </w:tc>
        <w:tc>
          <w:tcPr>
            <w:tcW w:w="7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2.85</w:t>
            </w:r>
          </w:p>
        </w:tc>
        <w:tc>
          <w:tcPr>
            <w:tcW w:w="7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Dividends per common share</w:t>
            </w: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.41</w:t>
            </w: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.37</w:t>
            </w: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1.19</w:t>
            </w: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Weighted average number of shares outstanding:</w:t>
            </w: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shares</w:t>
            </w:r>
          </w:p>
        </w:tc>
        <w:tc>
          <w:tcPr>
            <w:tcW w:w="8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89.1</w:t>
            </w: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91.5</w:t>
            </w: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89.2</w:t>
            </w: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Common shares, assuming dilution</w:t>
            </w:r>
          </w:p>
        </w:tc>
        <w:tc>
          <w:tcPr>
            <w:tcW w:w="8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90.6</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93.2</w:t>
            </w:r>
          </w:p>
        </w:tc>
        <w:tc>
          <w:tcPr>
            <w:tcW w:w="7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90.9</w:t>
            </w:r>
          </w:p>
        </w:tc>
        <w:tc>
          <w:tcPr>
            <w:tcW w:w="7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ind w:right="4780"/>
        <w:spacing w:after="0" w:line="282" w:lineRule="auto"/>
        <w:rPr>
          <w:sz w:val="20"/>
          <w:szCs w:val="20"/>
          <w:color w:val="auto"/>
        </w:rPr>
      </w:pPr>
      <w:r>
        <w:rPr>
          <w:rFonts w:ascii="Arial" w:cs="Arial" w:eastAsia="Arial" w:hAnsi="Arial"/>
          <w:sz w:val="18"/>
          <w:szCs w:val="18"/>
          <w:b w:val="1"/>
          <w:bCs w:val="1"/>
          <w:color w:val="auto"/>
        </w:rPr>
        <w:t>CONDENSED CONSOLIDATED STATEMENTS OF COMPREHENSIVE INCOME (</w:t>
      </w:r>
      <w:r>
        <w:rPr>
          <w:rFonts w:ascii="Arial" w:cs="Arial" w:eastAsia="Arial" w:hAnsi="Arial"/>
          <w:sz w:val="18"/>
          <w:szCs w:val="18"/>
          <w:b w:val="1"/>
          <w:bCs w:val="1"/>
          <w:i w:val="1"/>
          <w:iCs w:val="1"/>
          <w:color w:val="auto"/>
        </w:rPr>
        <w:t>Unaudited</w:t>
      </w:r>
      <w:r>
        <w:rPr>
          <w:rFonts w:ascii="Arial" w:cs="Arial" w:eastAsia="Arial" w:hAnsi="Arial"/>
          <w:sz w:val="18"/>
          <w:szCs w:val="18"/>
          <w:b w:val="1"/>
          <w:bCs w:val="1"/>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In millions</w:t>
            </w:r>
            <w:r>
              <w:rPr>
                <w:rFonts w:ascii="Arial" w:cs="Arial" w:eastAsia="Arial" w:hAnsi="Arial"/>
                <w:sz w:val="18"/>
                <w:szCs w:val="18"/>
                <w:color w:val="auto"/>
              </w:rPr>
              <w:t>)</w:t>
            </w:r>
          </w:p>
        </w:tc>
        <w:tc>
          <w:tcPr>
            <w:tcW w:w="7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w w:val="97"/>
              </w:rPr>
              <w:t>Three Months Ended</w:t>
            </w:r>
          </w:p>
        </w:tc>
        <w:tc>
          <w:tcPr>
            <w:tcW w:w="6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Nine Months Ended</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20" w:type="dxa"/>
            <w:vAlign w:val="bottom"/>
            <w:tcBorders>
              <w:bottom w:val="single" w:sz="8" w:color="auto"/>
            </w:tcBorders>
            <w:vMerge w:val="continue"/>
          </w:tcPr>
          <w:p>
            <w:pPr>
              <w:spacing w:after="0"/>
              <w:rPr>
                <w:sz w:val="18"/>
                <w:szCs w:val="18"/>
                <w:color w:val="auto"/>
              </w:rPr>
            </w:pPr>
          </w:p>
        </w:tc>
        <w:tc>
          <w:tcPr>
            <w:tcW w:w="184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October 1, 2016</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October 3, 2015</w:t>
            </w:r>
          </w:p>
        </w:tc>
        <w:tc>
          <w:tcPr>
            <w:tcW w:w="2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October 1, 2016</w:t>
            </w:r>
          </w:p>
        </w:tc>
        <w:tc>
          <w:tcPr>
            <w:tcW w:w="15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October 3, 2015</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89.1</w:t>
            </w:r>
          </w:p>
        </w:tc>
        <w:tc>
          <w:tcPr>
            <w:tcW w:w="8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81.7</w:t>
            </w: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258.7</w:t>
            </w:r>
          </w:p>
        </w:tc>
        <w:tc>
          <w:tcPr>
            <w:tcW w:w="8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7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15.5</w:t>
            </w:r>
          </w:p>
        </w:tc>
        <w:tc>
          <w:tcPr>
            <w:tcW w:w="8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(60.5)</w:t>
            </w: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21.1</w:t>
            </w: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Pension and other postretirement benefits</w:t>
            </w:r>
          </w:p>
        </w:tc>
        <w:tc>
          <w:tcPr>
            <w:tcW w:w="700" w:type="dxa"/>
            <w:vAlign w:val="bottom"/>
          </w:tcPr>
          <w:p>
            <w:pPr>
              <w:spacing w:after="0"/>
              <w:rPr>
                <w:sz w:val="18"/>
                <w:szCs w:val="18"/>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4.4</w:t>
            </w:r>
          </w:p>
        </w:tc>
        <w:tc>
          <w:tcPr>
            <w:tcW w:w="8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5.1</w:t>
            </w:r>
          </w:p>
        </w:tc>
        <w:tc>
          <w:tcPr>
            <w:tcW w:w="70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(6.9)</w:t>
            </w:r>
          </w:p>
        </w:tc>
        <w:tc>
          <w:tcPr>
            <w:tcW w:w="80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Cash flow hedges</w:t>
            </w:r>
          </w:p>
        </w:tc>
        <w:tc>
          <w:tcPr>
            <w:tcW w:w="7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8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7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w:t>
            </w:r>
          </w:p>
        </w:tc>
        <w:tc>
          <w:tcPr>
            <w:tcW w:w="8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comprehensive income (loss), net of tax</w:t>
            </w:r>
          </w:p>
        </w:tc>
        <w:tc>
          <w:tcPr>
            <w:tcW w:w="7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19.8</w:t>
            </w:r>
          </w:p>
        </w:tc>
        <w:tc>
          <w:tcPr>
            <w:tcW w:w="8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(55.6)</w:t>
            </w:r>
          </w:p>
        </w:tc>
        <w:tc>
          <w:tcPr>
            <w:tcW w:w="7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14.0</w:t>
            </w:r>
          </w:p>
        </w:tc>
        <w:tc>
          <w:tcPr>
            <w:tcW w:w="8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17"/>
        </w:trPr>
        <w:tc>
          <w:tcPr>
            <w:tcW w:w="4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comprehensive income, net of tax</w:t>
            </w: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108.9</w:t>
            </w:r>
          </w:p>
        </w:tc>
        <w:tc>
          <w:tcPr>
            <w:tcW w:w="8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26.1</w:t>
            </w: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272.7</w:t>
            </w:r>
          </w:p>
        </w:tc>
        <w:tc>
          <w:tcPr>
            <w:tcW w:w="8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Unaudited</w:t>
      </w:r>
      <w:r>
        <w:rPr>
          <w:rFonts w:ascii="Arial" w:cs="Arial" w:eastAsia="Arial" w:hAnsi="Arial"/>
          <w:sz w:val="18"/>
          <w:szCs w:val="18"/>
          <w:b w:val="1"/>
          <w:bCs w:val="1"/>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0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w w:val="99"/>
              </w:rPr>
              <w:t>Nine Months Ended</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80" w:type="dxa"/>
            <w:vAlign w:val="bottom"/>
            <w:gridSpan w:val="2"/>
            <w:vMerge w:val="continue"/>
          </w:tcPr>
          <w:p>
            <w:pPr>
              <w:spacing w:after="0"/>
              <w:rPr>
                <w:sz w:val="18"/>
                <w:szCs w:val="18"/>
                <w:color w:val="auto"/>
              </w:rPr>
            </w:pPr>
          </w:p>
        </w:tc>
        <w:tc>
          <w:tcPr>
            <w:tcW w:w="230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October 1, 2016</w:t>
            </w:r>
          </w:p>
        </w:tc>
        <w:tc>
          <w:tcPr>
            <w:tcW w:w="17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October 3,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0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Net income</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90"/>
              <w:spacing w:after="0"/>
              <w:rPr>
                <w:sz w:val="20"/>
                <w:szCs w:val="20"/>
                <w:color w:val="auto"/>
              </w:rPr>
            </w:pPr>
            <w:r>
              <w:rPr>
                <w:rFonts w:ascii="Arial" w:cs="Arial" w:eastAsia="Arial" w:hAnsi="Arial"/>
                <w:sz w:val="18"/>
                <w:szCs w:val="18"/>
                <w:color w:val="auto"/>
              </w:rPr>
              <w:t>258.7</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1040" w:type="dxa"/>
            <w:vAlign w:val="bottom"/>
          </w:tcPr>
          <w:p>
            <w:pPr>
              <w:spacing w:after="0"/>
              <w:rPr>
                <w:sz w:val="18"/>
                <w:szCs w:val="18"/>
                <w:color w:val="auto"/>
              </w:rPr>
            </w:pPr>
          </w:p>
        </w:tc>
        <w:tc>
          <w:tcPr>
            <w:tcW w:w="1260" w:type="dxa"/>
            <w:vAlign w:val="bottom"/>
          </w:tcPr>
          <w:p>
            <w:pPr>
              <w:jc w:val="right"/>
              <w:ind w:right="390"/>
              <w:spacing w:after="0"/>
              <w:rPr>
                <w:sz w:val="20"/>
                <w:szCs w:val="20"/>
                <w:color w:val="auto"/>
              </w:rPr>
            </w:pPr>
            <w:r>
              <w:rPr>
                <w:rFonts w:ascii="Arial" w:cs="Arial" w:eastAsia="Arial" w:hAnsi="Arial"/>
                <w:sz w:val="18"/>
                <w:szCs w:val="18"/>
                <w:color w:val="auto"/>
              </w:rPr>
              <w:t>88.8</w:t>
            </w:r>
          </w:p>
        </w:tc>
        <w:tc>
          <w:tcPr>
            <w:tcW w:w="94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w:t>
            </w:r>
          </w:p>
        </w:tc>
        <w:tc>
          <w:tcPr>
            <w:tcW w:w="10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46.7</w:t>
            </w: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Provision for doubtful accounts and sales returns</w:t>
            </w:r>
          </w:p>
        </w:tc>
        <w:tc>
          <w:tcPr>
            <w:tcW w:w="1040" w:type="dxa"/>
            <w:vAlign w:val="bottom"/>
          </w:tcPr>
          <w:p>
            <w:pPr>
              <w:spacing w:after="0"/>
              <w:rPr>
                <w:sz w:val="18"/>
                <w:szCs w:val="18"/>
                <w:color w:val="auto"/>
              </w:rPr>
            </w:pPr>
          </w:p>
        </w:tc>
        <w:tc>
          <w:tcPr>
            <w:tcW w:w="1260" w:type="dxa"/>
            <w:vAlign w:val="bottom"/>
          </w:tcPr>
          <w:p>
            <w:pPr>
              <w:jc w:val="right"/>
              <w:ind w:right="390"/>
              <w:spacing w:after="0"/>
              <w:rPr>
                <w:sz w:val="20"/>
                <w:szCs w:val="20"/>
                <w:color w:val="auto"/>
              </w:rPr>
            </w:pPr>
            <w:r>
              <w:rPr>
                <w:rFonts w:ascii="Arial" w:cs="Arial" w:eastAsia="Arial" w:hAnsi="Arial"/>
                <w:sz w:val="18"/>
                <w:szCs w:val="18"/>
                <w:color w:val="auto"/>
              </w:rPr>
              <w:t>33.8</w:t>
            </w:r>
          </w:p>
        </w:tc>
        <w:tc>
          <w:tcPr>
            <w:tcW w:w="94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losses from asset impairments and sales/disposals of assets</w:t>
            </w:r>
          </w:p>
        </w:tc>
        <w:tc>
          <w:tcPr>
            <w:tcW w:w="10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3.8</w:t>
            </w: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spacing w:after="0"/>
              <w:rPr>
                <w:sz w:val="18"/>
                <w:szCs w:val="18"/>
                <w:color w:val="auto"/>
              </w:rPr>
            </w:pPr>
          </w:p>
        </w:tc>
        <w:tc>
          <w:tcPr>
            <w:tcW w:w="1260" w:type="dxa"/>
            <w:vAlign w:val="bottom"/>
          </w:tcPr>
          <w:p>
            <w:pPr>
              <w:jc w:val="right"/>
              <w:ind w:right="390"/>
              <w:spacing w:after="0"/>
              <w:rPr>
                <w:sz w:val="20"/>
                <w:szCs w:val="20"/>
                <w:color w:val="auto"/>
              </w:rPr>
            </w:pPr>
            <w:r>
              <w:rPr>
                <w:rFonts w:ascii="Arial" w:cs="Arial" w:eastAsia="Arial" w:hAnsi="Arial"/>
                <w:sz w:val="18"/>
                <w:szCs w:val="18"/>
                <w:color w:val="auto"/>
              </w:rPr>
              <w:t>20.1</w:t>
            </w:r>
          </w:p>
        </w:tc>
        <w:tc>
          <w:tcPr>
            <w:tcW w:w="94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from settlement of pension obligations</w:t>
            </w:r>
          </w:p>
        </w:tc>
        <w:tc>
          <w:tcPr>
            <w:tcW w:w="10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41.4</w:t>
            </w: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Other non-cash expense and loss</w:t>
            </w:r>
          </w:p>
        </w:tc>
        <w:tc>
          <w:tcPr>
            <w:tcW w:w="1040" w:type="dxa"/>
            <w:vAlign w:val="bottom"/>
          </w:tcPr>
          <w:p>
            <w:pPr>
              <w:spacing w:after="0"/>
              <w:rPr>
                <w:sz w:val="18"/>
                <w:szCs w:val="18"/>
                <w:color w:val="auto"/>
              </w:rPr>
            </w:pPr>
          </w:p>
        </w:tc>
        <w:tc>
          <w:tcPr>
            <w:tcW w:w="1260" w:type="dxa"/>
            <w:vAlign w:val="bottom"/>
          </w:tcPr>
          <w:p>
            <w:pPr>
              <w:jc w:val="right"/>
              <w:ind w:right="390"/>
              <w:spacing w:after="0"/>
              <w:rPr>
                <w:sz w:val="20"/>
                <w:szCs w:val="20"/>
                <w:color w:val="auto"/>
              </w:rPr>
            </w:pPr>
            <w:r>
              <w:rPr>
                <w:rFonts w:ascii="Arial" w:cs="Arial" w:eastAsia="Arial" w:hAnsi="Arial"/>
                <w:sz w:val="18"/>
                <w:szCs w:val="18"/>
                <w:color w:val="auto"/>
              </w:rPr>
              <w:t>34.7</w:t>
            </w:r>
          </w:p>
        </w:tc>
        <w:tc>
          <w:tcPr>
            <w:tcW w:w="94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Changes in assets and liabilities and other adjustments</w:t>
            </w:r>
          </w:p>
        </w:tc>
        <w:tc>
          <w:tcPr>
            <w:tcW w:w="10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(162.3)</w:t>
            </w:r>
          </w:p>
        </w:tc>
        <w:tc>
          <w:tcPr>
            <w:tcW w:w="9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10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365.7</w:t>
            </w:r>
          </w:p>
        </w:tc>
        <w:tc>
          <w:tcPr>
            <w:tcW w:w="9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plant and equipment</w:t>
            </w:r>
          </w:p>
        </w:tc>
        <w:tc>
          <w:tcPr>
            <w:tcW w:w="10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(104.9)</w:t>
            </w: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Purchases of software and other deferred charges</w:t>
            </w:r>
          </w:p>
        </w:tc>
        <w:tc>
          <w:tcPr>
            <w:tcW w:w="1040" w:type="dxa"/>
            <w:vAlign w:val="bottom"/>
          </w:tcPr>
          <w:p>
            <w:pPr>
              <w:spacing w:after="0"/>
              <w:rPr>
                <w:sz w:val="18"/>
                <w:szCs w:val="18"/>
                <w:color w:val="auto"/>
              </w:rPr>
            </w:pP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(16.6)</w:t>
            </w:r>
          </w:p>
        </w:tc>
        <w:tc>
          <w:tcPr>
            <w:tcW w:w="9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property, plant and equipment</w:t>
            </w:r>
          </w:p>
        </w:tc>
        <w:tc>
          <w:tcPr>
            <w:tcW w:w="10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4.3</w:t>
            </w: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Purchases of investments, net</w:t>
            </w:r>
          </w:p>
        </w:tc>
        <w:tc>
          <w:tcPr>
            <w:tcW w:w="1040" w:type="dxa"/>
            <w:vAlign w:val="bottom"/>
          </w:tcPr>
          <w:p>
            <w:pPr>
              <w:spacing w:after="0"/>
              <w:rPr>
                <w:sz w:val="18"/>
                <w:szCs w:val="18"/>
                <w:color w:val="auto"/>
              </w:rPr>
            </w:pP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9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Payments for acquisitions, net of cash acquired</w:t>
            </w:r>
          </w:p>
        </w:tc>
        <w:tc>
          <w:tcPr>
            <w:tcW w:w="10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(227.5)</w:t>
            </w: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(345.5)</w:t>
            </w:r>
          </w:p>
        </w:tc>
        <w:tc>
          <w:tcPr>
            <w:tcW w:w="9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0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Net increase (decrease) in borrowings (maturities of three months or less)</w:t>
            </w:r>
          </w:p>
        </w:tc>
        <w:tc>
          <w:tcPr>
            <w:tcW w:w="1040" w:type="dxa"/>
            <w:vAlign w:val="bottom"/>
          </w:tcPr>
          <w:p>
            <w:pPr>
              <w:spacing w:after="0"/>
              <w:rPr>
                <w:sz w:val="18"/>
                <w:szCs w:val="18"/>
                <w:color w:val="auto"/>
              </w:rPr>
            </w:pPr>
          </w:p>
        </w:tc>
        <w:tc>
          <w:tcPr>
            <w:tcW w:w="1260" w:type="dxa"/>
            <w:vAlign w:val="bottom"/>
          </w:tcPr>
          <w:p>
            <w:pPr>
              <w:jc w:val="right"/>
              <w:ind w:right="390"/>
              <w:spacing w:after="0"/>
              <w:rPr>
                <w:sz w:val="20"/>
                <w:szCs w:val="20"/>
                <w:color w:val="auto"/>
              </w:rPr>
            </w:pPr>
            <w:r>
              <w:rPr>
                <w:rFonts w:ascii="Arial" w:cs="Arial" w:eastAsia="Arial" w:hAnsi="Arial"/>
                <w:sz w:val="18"/>
                <w:szCs w:val="18"/>
                <w:color w:val="auto"/>
              </w:rPr>
              <w:t>242.0</w:t>
            </w:r>
          </w:p>
        </w:tc>
        <w:tc>
          <w:tcPr>
            <w:tcW w:w="9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Payments of debt (maturities greater than three months)</w:t>
            </w:r>
          </w:p>
        </w:tc>
        <w:tc>
          <w:tcPr>
            <w:tcW w:w="10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(1.9)</w:t>
            </w: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Dividends paid</w:t>
            </w:r>
          </w:p>
        </w:tc>
        <w:tc>
          <w:tcPr>
            <w:tcW w:w="1040" w:type="dxa"/>
            <w:vAlign w:val="bottom"/>
          </w:tcPr>
          <w:p>
            <w:pPr>
              <w:spacing w:after="0"/>
              <w:rPr>
                <w:sz w:val="18"/>
                <w:szCs w:val="18"/>
                <w:color w:val="auto"/>
              </w:rPr>
            </w:pP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(106.2)</w:t>
            </w:r>
          </w:p>
        </w:tc>
        <w:tc>
          <w:tcPr>
            <w:tcW w:w="9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3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Share repurchases</w:t>
            </w:r>
          </w:p>
        </w:tc>
        <w:tc>
          <w:tcPr>
            <w:tcW w:w="24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(181.5)</w:t>
            </w:r>
          </w:p>
        </w:tc>
        <w:tc>
          <w:tcPr>
            <w:tcW w:w="8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Proceeds from exercises of stock options, net</w:t>
            </w:r>
          </w:p>
        </w:tc>
        <w:tc>
          <w:tcPr>
            <w:tcW w:w="2440" w:type="dxa"/>
            <w:vAlign w:val="bottom"/>
          </w:tcPr>
          <w:p>
            <w:pPr>
              <w:spacing w:after="0"/>
              <w:rPr>
                <w:sz w:val="18"/>
                <w:szCs w:val="18"/>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color w:val="auto"/>
              </w:rPr>
              <w:t>63.4</w:t>
            </w:r>
          </w:p>
        </w:tc>
        <w:tc>
          <w:tcPr>
            <w:tcW w:w="84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4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(4.4)</w:t>
            </w:r>
          </w:p>
        </w:tc>
        <w:tc>
          <w:tcPr>
            <w:tcW w:w="8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(used in) financing activities</w:t>
            </w:r>
          </w:p>
        </w:tc>
        <w:tc>
          <w:tcPr>
            <w:tcW w:w="24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11.4</w:t>
            </w:r>
          </w:p>
        </w:tc>
        <w:tc>
          <w:tcPr>
            <w:tcW w:w="8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foreign currency translation on cash balances</w:t>
            </w:r>
          </w:p>
        </w:tc>
        <w:tc>
          <w:tcPr>
            <w:tcW w:w="24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(1.0)</w:t>
            </w:r>
          </w:p>
        </w:tc>
        <w:tc>
          <w:tcPr>
            <w:tcW w:w="8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24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30.6</w:t>
            </w:r>
          </w:p>
        </w:tc>
        <w:tc>
          <w:tcPr>
            <w:tcW w:w="8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year</w:t>
            </w:r>
          </w:p>
        </w:tc>
        <w:tc>
          <w:tcPr>
            <w:tcW w:w="24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158.8</w:t>
            </w:r>
          </w:p>
        </w:tc>
        <w:tc>
          <w:tcPr>
            <w:tcW w:w="8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189.4</w:t>
            </w:r>
          </w:p>
        </w:tc>
        <w:tc>
          <w:tcPr>
            <w:tcW w:w="8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unaudited Condensed Consolidated Financial Statements and notes in this Quarterly Report on Form 10-Q are presented as permitted by Article 10 of Regulation S-X and do not contain certain information included in the audited Consolidated Financial Statements and notes thereto in our 2015 Annual Report on Form 10-K, which should be read in conjunction with this Quarterly Report on Form 10-Q. The accompanying unaudited Condensed Consolidated Financial Statements include normal recurring adjustments necessary for a fair statement of our interim results. Interim results of operations are not necessarily indicative of future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Periods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third quarters of 2016 and 2015 consisted of thirteen-week periods ending October 1, 2016 and October 3, 2015, respectively. The nine months ended October 1, 2016 and October 3, 2015 each consisted of thirty-nine-week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Period Financial Statement Revision</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the fourth quarter of 2015, we identified certain liquid short-term bank drafts with maturities greater than three months that were improperly classified as cash and cash equivalents instead of other current assets, which resulted in an overstatement of operating cash flows, and tax effects related to certain foreign pension plans that were not properly accounted for in our consolidated financial statements. We assessed the materiality of these errors on our financial statements for prior periods in accordance with United States Securities and Exchange Commission (“SEC”) Staff Accounting Bulletin (“SAB”) No. 99, </w:t>
      </w:r>
      <w:r>
        <w:rPr>
          <w:rFonts w:ascii="Arial" w:cs="Arial" w:eastAsia="Arial" w:hAnsi="Arial"/>
          <w:sz w:val="17"/>
          <w:szCs w:val="17"/>
          <w:i w:val="1"/>
          <w:iCs w:val="1"/>
          <w:color w:val="auto"/>
        </w:rPr>
        <w:t>Materiality</w:t>
      </w:r>
      <w:r>
        <w:rPr>
          <w:rFonts w:ascii="Arial" w:cs="Arial" w:eastAsia="Arial" w:hAnsi="Arial"/>
          <w:sz w:val="17"/>
          <w:szCs w:val="17"/>
          <w:color w:val="auto"/>
        </w:rPr>
        <w:t>, codified in Accounting Standards Codification (“ASC”) 250,</w:t>
      </w:r>
      <w:r>
        <w:rPr>
          <w:rFonts w:ascii="Arial" w:cs="Arial" w:eastAsia="Arial" w:hAnsi="Arial"/>
          <w:sz w:val="17"/>
          <w:szCs w:val="17"/>
          <w:i w:val="1"/>
          <w:iCs w:val="1"/>
          <w:color w:val="auto"/>
        </w:rPr>
        <w:t xml:space="preserve"> Presentation of Financial Statements</w:t>
      </w:r>
      <w:r>
        <w:rPr>
          <w:rFonts w:ascii="Arial" w:cs="Arial" w:eastAsia="Arial" w:hAnsi="Arial"/>
          <w:sz w:val="17"/>
          <w:szCs w:val="17"/>
          <w:color w:val="auto"/>
        </w:rPr>
        <w:t>, and concluded that they were not material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any prior annual or interim periods. Consequently, in accordance with ASC 250 (SAB No. 108, </w:t>
      </w:r>
      <w:r>
        <w:rPr>
          <w:rFonts w:ascii="Arial" w:cs="Arial" w:eastAsia="Arial" w:hAnsi="Arial"/>
          <w:sz w:val="17"/>
          <w:szCs w:val="17"/>
          <w:i w:val="1"/>
          <w:iCs w:val="1"/>
          <w:color w:val="auto"/>
        </w:rPr>
        <w:t>Considering the Effects of Prior Year Misstatements when</w:t>
      </w:r>
      <w:r>
        <w:rPr>
          <w:rFonts w:ascii="Arial" w:cs="Arial" w:eastAsia="Arial" w:hAnsi="Arial"/>
          <w:sz w:val="17"/>
          <w:szCs w:val="17"/>
          <w:color w:val="auto"/>
        </w:rPr>
        <w:t xml:space="preserve"> </w:t>
      </w:r>
      <w:r>
        <w:rPr>
          <w:rFonts w:ascii="Arial" w:cs="Arial" w:eastAsia="Arial" w:hAnsi="Arial"/>
          <w:sz w:val="17"/>
          <w:szCs w:val="17"/>
          <w:i w:val="1"/>
          <w:iCs w:val="1"/>
          <w:color w:val="auto"/>
        </w:rPr>
        <w:t>Quantifying Misstatements in Current Year Financial Statements</w:t>
      </w:r>
      <w:r>
        <w:rPr>
          <w:rFonts w:ascii="Arial" w:cs="Arial" w:eastAsia="Arial" w:hAnsi="Arial"/>
          <w:sz w:val="17"/>
          <w:szCs w:val="17"/>
          <w:color w:val="auto"/>
        </w:rPr>
        <w:t>), we corrected these errors for all prior periods presented by revising the unaudited</w:t>
      </w:r>
      <w:r>
        <w:rPr>
          <w:rFonts w:ascii="Arial" w:cs="Arial" w:eastAsia="Arial" w:hAnsi="Arial"/>
          <w:sz w:val="17"/>
          <w:szCs w:val="17"/>
          <w:i w:val="1"/>
          <w:iCs w:val="1"/>
          <w:color w:val="auto"/>
        </w:rPr>
        <w:t xml:space="preserve"> </w:t>
      </w:r>
      <w:r>
        <w:rPr>
          <w:rFonts w:ascii="Arial" w:cs="Arial" w:eastAsia="Arial" w:hAnsi="Arial"/>
          <w:sz w:val="17"/>
          <w:szCs w:val="17"/>
          <w:color w:val="auto"/>
        </w:rPr>
        <w:t>Condensed Consolidated Financial Statements and other financial information included 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effects of the revision on our unaudited Condensed Consolidated Statements of Cash Flows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rPr>
              <w:t>Nine Months Ended October 3, 2015</w:t>
            </w:r>
          </w:p>
        </w:tc>
        <w:tc>
          <w:tcPr>
            <w:tcW w:w="840" w:type="dxa"/>
            <w:vAlign w:val="bottom"/>
            <w:tcBorders>
              <w:bottom w:val="single" w:sz="8" w:color="auto"/>
            </w:tcBorders>
          </w:tcPr>
          <w:p>
            <w:pPr>
              <w:spacing w:after="0"/>
              <w:rPr>
                <w:sz w:val="20"/>
                <w:szCs w:val="20"/>
                <w:color w:val="auto"/>
              </w:rPr>
            </w:pPr>
          </w:p>
        </w:tc>
      </w:tr>
      <w:tr>
        <w:trPr>
          <w:trHeight w:val="191"/>
        </w:trPr>
        <w:tc>
          <w:tcPr>
            <w:tcW w:w="6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tcPr>
          <w:p>
            <w:pPr>
              <w:jc w:val="right"/>
              <w:ind w:right="290"/>
              <w:spacing w:after="0" w:line="191" w:lineRule="exact"/>
              <w:rPr>
                <w:sz w:val="20"/>
                <w:szCs w:val="20"/>
                <w:color w:val="auto"/>
              </w:rPr>
            </w:pPr>
            <w:r>
              <w:rPr>
                <w:rFonts w:ascii="Arial" w:cs="Arial" w:eastAsia="Arial" w:hAnsi="Arial"/>
                <w:sz w:val="18"/>
                <w:szCs w:val="18"/>
                <w:b w:val="1"/>
                <w:bCs w:val="1"/>
                <w:color w:val="auto"/>
              </w:rPr>
              <w:t>As</w:t>
            </w:r>
          </w:p>
        </w:tc>
        <w:tc>
          <w:tcPr>
            <w:tcW w:w="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6"/>
        </w:trPr>
        <w:tc>
          <w:tcPr>
            <w:tcW w:w="6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b w:val="1"/>
                <w:bCs w:val="1"/>
                <w:color w:val="auto"/>
                <w:w w:val="90"/>
              </w:rPr>
              <w:t>Previously</w:t>
            </w: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As</w:t>
            </w:r>
          </w:p>
        </w:tc>
      </w:tr>
      <w:tr>
        <w:trPr>
          <w:trHeight w:val="234"/>
        </w:trPr>
        <w:tc>
          <w:tcPr>
            <w:tcW w:w="6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Reported</w:t>
            </w:r>
          </w:p>
        </w:tc>
        <w:tc>
          <w:tcPr>
            <w:tcW w:w="162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rPr>
              <w:t>Adjustment</w:t>
            </w:r>
          </w:p>
        </w:tc>
        <w:tc>
          <w:tcPr>
            <w:tcW w:w="5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Revised</w:t>
            </w: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290.3</w:t>
            </w:r>
          </w:p>
        </w:tc>
        <w:tc>
          <w:tcPr>
            <w:tcW w:w="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(8.1)</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282.2</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560" w:type="dxa"/>
            <w:vAlign w:val="bottom"/>
          </w:tcPr>
          <w:p>
            <w:pPr>
              <w:spacing w:after="0"/>
              <w:rPr>
                <w:sz w:val="18"/>
                <w:szCs w:val="18"/>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(55.3)</w:t>
            </w:r>
          </w:p>
        </w:tc>
        <w:tc>
          <w:tcPr>
            <w:tcW w:w="64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(8.1)</w:t>
            </w: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(63.4)</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5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227.0</w:t>
            </w: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(19.8)</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207.2</w:t>
            </w:r>
          </w:p>
        </w:tc>
      </w:tr>
      <w:tr>
        <w:trPr>
          <w:trHeight w:val="223"/>
        </w:trPr>
        <w:tc>
          <w:tcPr>
            <w:tcW w:w="6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end of period</w:t>
            </w:r>
          </w:p>
        </w:tc>
        <w:tc>
          <w:tcPr>
            <w:tcW w:w="5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171.7</w:t>
            </w:r>
          </w:p>
        </w:tc>
        <w:tc>
          <w:tcPr>
            <w:tcW w:w="6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(27.9)</w:t>
            </w: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Product Line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May 2015, we sold certain assets and transferred certain liabilities associated with a product line in our Retail Branding and Information Solutions (“RBIS”) reportable segment for $1.5 million. The pre-tax loss from the sale, when combined with exit costs related to the sale, totaled $8.5 million. In the first quarter of 2015, we recorded an impairment charge of approximately $2 million related to certain long-lived assets of this product line, as well as $.6 million of other costs related to this sale. This loss and these costs were included in “Other expense, net” in the unaudited Condensed Consolidated Statements of Income.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Income (loss) from discontinued operations during the third quarter and nine months ended October 3, 2015 included tax benefits (expense) related to the completion of certain tax return filings related to the sale of our former Office and Consumer Products (“OCP”) and Designed and Engineered Solutions (“DES”) businesses. We continue to be subject to certain indemnification obligations under the terms of the purchase agreement. In addition, the tax liability associated with the sale remains subject to the completion of tax return filings in certain foreign jurisdictions where we formerly operated the OCP and DES businesses.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August 1, 2016, we completed the acquisition of the European business of MACtac (“Mactac”) from Platinum Equity through the purchase of Evergreen Holding V, LLC. Mactac manufactures pressure-sensitive materials that complement our existing graphics portfolio and has been included in our Pressure-sensitive Materials segment. The total consideration for this acquisition, net of cash received, was approximately $222 million, which we funded primarily through existing credit facilities. The purchase price is subject to certain adjustments in accordance with the terms of the purchase agreement</w:t>
      </w:r>
    </w:p>
    <w:p>
      <w:pPr>
        <w:sectPr>
          <w:pgSz w:w="11900" w:h="16838" w:orient="portrait"/>
          <w:cols w:equalWidth="0" w:num="1">
            <w:col w:w="11420"/>
          </w:cols>
          <w:pgMar w:left="240" w:top="140" w:right="239" w:bottom="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Due to the time required to complete our assessment, the final valuation of certain acquired assets and liabilities, including property, plant and equipment, intangible assets, taxes, and environmental and asset retirement obligations, is currently pending.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This acquisition was not material to our condensed consolidated financial statements.</w:t>
            </w:r>
          </w:p>
        </w:tc>
        <w:tc>
          <w:tcPr>
            <w:tcW w:w="1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7200" w:type="dxa"/>
            <w:vAlign w:val="bottom"/>
          </w:tcPr>
          <w:p>
            <w:pPr>
              <w:spacing w:after="0"/>
              <w:rPr>
                <w:sz w:val="20"/>
                <w:szCs w:val="20"/>
                <w:color w:val="auto"/>
              </w:rPr>
            </w:pPr>
            <w:r>
              <w:rPr>
                <w:rFonts w:ascii="Arial" w:cs="Arial" w:eastAsia="Arial" w:hAnsi="Arial"/>
                <w:sz w:val="18"/>
                <w:szCs w:val="18"/>
                <w:b w:val="1"/>
                <w:bCs w:val="1"/>
                <w:color w:val="auto"/>
              </w:rPr>
              <w:t>Note 3. Inventories</w:t>
            </w: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32"/>
        </w:trPr>
        <w:tc>
          <w:tcPr>
            <w:tcW w:w="7200" w:type="dxa"/>
            <w:vAlign w:val="bottom"/>
          </w:tcPr>
          <w:p>
            <w:pPr>
              <w:spacing w:after="0"/>
              <w:rPr>
                <w:sz w:val="20"/>
                <w:szCs w:val="20"/>
                <w:color w:val="auto"/>
              </w:rPr>
            </w:pPr>
            <w:r>
              <w:rPr>
                <w:rFonts w:ascii="Arial" w:cs="Arial" w:eastAsia="Arial" w:hAnsi="Arial"/>
                <w:sz w:val="18"/>
                <w:szCs w:val="18"/>
                <w:color w:val="auto"/>
              </w:rPr>
              <w:t>Net inventories consisted of:</w:t>
            </w: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32"/>
        </w:trPr>
        <w:tc>
          <w:tcPr>
            <w:tcW w:w="7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56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rPr>
              <w:t>October 1, 2016</w:t>
            </w:r>
          </w:p>
        </w:tc>
        <w:tc>
          <w:tcPr>
            <w:tcW w:w="16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January 2, 2016</w:t>
            </w: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207.8</w:t>
            </w:r>
          </w:p>
        </w:tc>
        <w:tc>
          <w:tcPr>
            <w:tcW w:w="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180.5</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Work-in-progress</w:t>
            </w:r>
          </w:p>
        </w:tc>
        <w:tc>
          <w:tcPr>
            <w:tcW w:w="150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172.1</w:t>
            </w:r>
          </w:p>
        </w:tc>
        <w:tc>
          <w:tcPr>
            <w:tcW w:w="8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143.0</w:t>
            </w:r>
          </w:p>
        </w:tc>
      </w:tr>
      <w:tr>
        <w:trPr>
          <w:trHeight w:val="216"/>
        </w:trPr>
        <w:tc>
          <w:tcPr>
            <w:tcW w:w="7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185.4</w:t>
            </w:r>
          </w:p>
        </w:tc>
        <w:tc>
          <w:tcPr>
            <w:tcW w:w="8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155.2</w:t>
            </w:r>
          </w:p>
        </w:tc>
      </w:tr>
      <w:tr>
        <w:trPr>
          <w:trHeight w:val="217"/>
        </w:trPr>
        <w:tc>
          <w:tcPr>
            <w:tcW w:w="7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Inventories, net</w:t>
            </w:r>
          </w:p>
        </w:tc>
        <w:tc>
          <w:tcPr>
            <w:tcW w:w="15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565.3</w:t>
            </w: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478.7</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Other Intangibles Resulting from Business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net carrying amount of goodwill for the nine months ended October 1, 2016, by reportable segment,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8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Retail Branding</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350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Pressure-sensitive</w:t>
            </w:r>
          </w:p>
        </w:tc>
        <w:tc>
          <w:tcPr>
            <w:tcW w:w="198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and Information</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4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Materials</w:t>
            </w:r>
          </w:p>
        </w:tc>
        <w:tc>
          <w:tcPr>
            <w:tcW w:w="6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Solutions</w:t>
            </w:r>
          </w:p>
        </w:tc>
        <w:tc>
          <w:tcPr>
            <w:tcW w:w="8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Goodwill as of January 2, 2016</w:t>
            </w:r>
          </w:p>
        </w:tc>
        <w:tc>
          <w:tcPr>
            <w:tcW w:w="2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277.9</w:t>
            </w:r>
          </w:p>
        </w:tc>
        <w:tc>
          <w:tcPr>
            <w:tcW w:w="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408.3</w:t>
            </w:r>
          </w:p>
        </w:tc>
        <w:tc>
          <w:tcPr>
            <w:tcW w:w="8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686.2</w:t>
            </w:r>
          </w:p>
        </w:tc>
      </w:tr>
      <w:tr>
        <w:trPr>
          <w:trHeight w:val="216"/>
        </w:trPr>
        <w:tc>
          <w:tcPr>
            <w:tcW w:w="4180" w:type="dxa"/>
            <w:vAlign w:val="bottom"/>
          </w:tcPr>
          <w:p>
            <w:pPr>
              <w:spacing w:after="0" w:line="216" w:lineRule="exact"/>
              <w:rPr>
                <w:sz w:val="20"/>
                <w:szCs w:val="20"/>
                <w:color w:val="auto"/>
              </w:rPr>
            </w:pPr>
            <w:r>
              <w:rPr>
                <w:rFonts w:ascii="Arial" w:cs="Arial" w:eastAsia="Arial" w:hAnsi="Arial"/>
                <w:sz w:val="18"/>
                <w:szCs w:val="18"/>
                <w:color w:val="auto"/>
              </w:rPr>
              <w:t>Acquired during current period</w:t>
            </w:r>
            <w:r>
              <w:rPr>
                <w:rFonts w:ascii="Arial" w:cs="Arial" w:eastAsia="Arial" w:hAnsi="Arial"/>
                <w:sz w:val="23"/>
                <w:szCs w:val="23"/>
                <w:color w:val="auto"/>
                <w:vertAlign w:val="superscript"/>
              </w:rPr>
              <w:t>(1)</w:t>
            </w:r>
          </w:p>
        </w:tc>
        <w:tc>
          <w:tcPr>
            <w:tcW w:w="2180" w:type="dxa"/>
            <w:vAlign w:val="bottom"/>
          </w:tcPr>
          <w:p>
            <w:pPr>
              <w:spacing w:after="0"/>
              <w:rPr>
                <w:sz w:val="18"/>
                <w:szCs w:val="18"/>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125.0</w:t>
            </w:r>
          </w:p>
        </w:tc>
        <w:tc>
          <w:tcPr>
            <w:tcW w:w="680" w:type="dxa"/>
            <w:vAlign w:val="bottom"/>
          </w:tcPr>
          <w:p>
            <w:pPr>
              <w:spacing w:after="0"/>
              <w:rPr>
                <w:sz w:val="18"/>
                <w:szCs w:val="18"/>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125.0</w:t>
            </w:r>
          </w:p>
        </w:tc>
      </w:tr>
      <w:tr>
        <w:trPr>
          <w:trHeight w:val="216"/>
        </w:trPr>
        <w:tc>
          <w:tcPr>
            <w:tcW w:w="4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2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7.2</w:t>
            </w:r>
          </w:p>
        </w:tc>
        <w:tc>
          <w:tcPr>
            <w:tcW w:w="6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3.2</w:t>
            </w:r>
          </w:p>
        </w:tc>
        <w:tc>
          <w:tcPr>
            <w:tcW w:w="8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r>
      <w:tr>
        <w:trPr>
          <w:trHeight w:val="217"/>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Goodwill as of October 1, 2016</w:t>
            </w:r>
          </w:p>
        </w:tc>
        <w:tc>
          <w:tcPr>
            <w:tcW w:w="2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410.1</w:t>
            </w: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411.5</w:t>
            </w: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821.6</w:t>
            </w:r>
          </w:p>
        </w:tc>
      </w:tr>
    </w:tbl>
    <w:p>
      <w:pPr>
        <w:spacing w:after="0" w:line="191" w:lineRule="exact"/>
        <w:rPr>
          <w:sz w:val="20"/>
          <w:szCs w:val="20"/>
          <w:color w:val="auto"/>
        </w:rPr>
      </w:pPr>
    </w:p>
    <w:p>
      <w:pPr>
        <w:ind w:left="180" w:hanging="172"/>
        <w:spacing w:after="0"/>
        <w:tabs>
          <w:tab w:leader="none" w:pos="180"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Goodwill acquired during the current period primarily related to the Mactac acquisition.</w:t>
      </w:r>
    </w:p>
    <w:p>
      <w:pPr>
        <w:spacing w:after="0" w:line="202" w:lineRule="exact"/>
        <w:rPr>
          <w:sz w:val="20"/>
          <w:szCs w:val="20"/>
          <w:color w:val="auto"/>
        </w:rPr>
      </w:pPr>
    </w:p>
    <w:p>
      <w:pPr>
        <w:ind w:left="40" w:right="20"/>
        <w:spacing w:after="0" w:line="277" w:lineRule="auto"/>
        <w:rPr>
          <w:sz w:val="20"/>
          <w:szCs w:val="20"/>
          <w:color w:val="auto"/>
        </w:rPr>
      </w:pPr>
      <w:r>
        <w:rPr>
          <w:rFonts w:ascii="Arial" w:cs="Arial" w:eastAsia="Arial" w:hAnsi="Arial"/>
          <w:sz w:val="18"/>
          <w:szCs w:val="18"/>
          <w:color w:val="auto"/>
        </w:rPr>
        <w:t>The carrying amounts of goodwill at October 1, 2016 and January 2, 2016 were net of accumulated impairment losses of $820 million, which were included in our RBIS reportable segment.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was no goodwill associated with our Vancive Medical Technologies reportable segment.</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the Mactac acquisition, we recognized an estimated $120 million of preliminary goodwill based on our expectation of synergies and other benefits of combining our businesses. These synergies and benefits include use of our existing commercial infrastructure to expand sales of products of the acquired business in a cost-efficient manner. The amount of goodwill recognized is not expected to be deductible for tax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Intangibles Resulting from Business Acquisitions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connection with the Mactac acquisition, we acquired approximately $39 million of identifiable intangible assets, which includes finite-lived and indefinite-lived intangible assets. Identifiable intangible assets consist of customer relationships, trade names and trademarks, and patents and other acquired technology. The table below summarizes the preliminary amounts and weighted average useful lives, if applicable, of these intangible assets: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b w:val="1"/>
                <w:bCs w:val="1"/>
                <w:color w:val="auto"/>
              </w:rPr>
              <w:t>Weighted-average</w:t>
            </w:r>
          </w:p>
        </w:tc>
      </w:tr>
      <w:tr>
        <w:trPr>
          <w:trHeight w:val="216"/>
        </w:trPr>
        <w:tc>
          <w:tcPr>
            <w:tcW w:w="53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b w:val="1"/>
                <w:bCs w:val="1"/>
                <w:color w:val="auto"/>
              </w:rPr>
              <w:t>amortization</w:t>
            </w:r>
          </w:p>
        </w:tc>
      </w:tr>
      <w:tr>
        <w:trPr>
          <w:trHeight w:val="216"/>
        </w:trPr>
        <w:tc>
          <w:tcPr>
            <w:tcW w:w="53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1800" w:type="dxa"/>
            <w:vAlign w:val="bottom"/>
          </w:tcPr>
          <w:p>
            <w:pPr>
              <w:jc w:val="right"/>
              <w:ind w:right="30"/>
              <w:spacing w:after="0"/>
              <w:rPr>
                <w:sz w:val="20"/>
                <w:szCs w:val="20"/>
                <w:color w:val="auto"/>
              </w:rPr>
            </w:pPr>
            <w:r>
              <w:rPr>
                <w:rFonts w:ascii="Arial" w:cs="Arial" w:eastAsia="Arial" w:hAnsi="Arial"/>
                <w:sz w:val="18"/>
                <w:szCs w:val="18"/>
                <w:b w:val="1"/>
                <w:bCs w:val="1"/>
                <w:color w:val="auto"/>
              </w:rPr>
              <w:t>period</w:t>
            </w:r>
          </w:p>
        </w:tc>
      </w:tr>
      <w:tr>
        <w:trPr>
          <w:trHeight w:val="234"/>
        </w:trPr>
        <w:tc>
          <w:tcPr>
            <w:tcW w:w="53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(in millions)</w:t>
            </w:r>
          </w:p>
        </w:tc>
        <w:tc>
          <w:tcPr>
            <w:tcW w:w="1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(in years)</w:t>
            </w: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22.8</w:t>
            </w:r>
          </w:p>
        </w:tc>
        <w:tc>
          <w:tcPr>
            <w:tcW w:w="1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Patents and other acquired technology</w:t>
            </w:r>
          </w:p>
        </w:tc>
        <w:tc>
          <w:tcPr>
            <w:tcW w:w="2860" w:type="dxa"/>
            <w:vAlign w:val="bottom"/>
          </w:tcPr>
          <w:p>
            <w:pPr>
              <w:spacing w:after="0"/>
              <w:rPr>
                <w:sz w:val="18"/>
                <w:szCs w:val="18"/>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2.4</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23"/>
        </w:trPr>
        <w:tc>
          <w:tcPr>
            <w:tcW w:w="5380" w:type="dxa"/>
            <w:vAlign w:val="bottom"/>
            <w:tcBorders>
              <w:bottom w:val="single" w:sz="8" w:color="auto"/>
            </w:tcBorders>
            <w:shd w:val="clear" w:color="auto" w:fill="CCEEFF"/>
          </w:tcPr>
          <w:p>
            <w:pPr>
              <w:spacing w:after="0" w:line="216" w:lineRule="exact"/>
              <w:rPr>
                <w:sz w:val="20"/>
                <w:szCs w:val="20"/>
                <w:color w:val="auto"/>
              </w:rPr>
            </w:pPr>
            <w:r>
              <w:rPr>
                <w:rFonts w:ascii="Arial" w:cs="Arial" w:eastAsia="Arial" w:hAnsi="Arial"/>
                <w:sz w:val="18"/>
                <w:szCs w:val="18"/>
                <w:color w:val="auto"/>
              </w:rPr>
              <w:t>Trade names and trademarks</w:t>
            </w:r>
            <w:r>
              <w:rPr>
                <w:rFonts w:ascii="Arial" w:cs="Arial" w:eastAsia="Arial" w:hAnsi="Arial"/>
                <w:sz w:val="23"/>
                <w:szCs w:val="23"/>
                <w:color w:val="auto"/>
                <w:vertAlign w:val="superscript"/>
              </w:rPr>
              <w:t>(1)</w:t>
            </w:r>
          </w:p>
        </w:tc>
        <w:tc>
          <w:tcPr>
            <w:tcW w:w="28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14.2</w:t>
            </w:r>
          </w:p>
        </w:tc>
        <w:tc>
          <w:tcPr>
            <w:tcW w:w="1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ind w:left="180" w:hanging="172"/>
        <w:spacing w:after="0" w:line="227" w:lineRule="auto"/>
        <w:tabs>
          <w:tab w:leader="none" w:pos="203"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Acquired trade names and trademarks associated with the Mactac acquisition were not subject to amortization as they were classified as indefinite-lived intangible assets.</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Refer to Note 2, “Acquisitions,” to the unaudited Condensed Consolidated Financial Statements for more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 and Capital Leases</w:t>
      </w:r>
    </w:p>
    <w:p>
      <w:pPr>
        <w:sectPr>
          <w:pgSz w:w="11900" w:h="16838" w:orient="portrait"/>
          <w:cols w:equalWidth="0" w:num="1">
            <w:col w:w="11420"/>
          </w:cols>
          <w:pgMar w:left="240" w:top="341" w:right="239" w:bottom="104" w:gutter="0" w:footer="0" w:header="0"/>
        </w:sectPr>
      </w:pPr>
    </w:p>
    <w:bookmarkStart w:id="6" w:name="page7"/>
    <w:bookmarkEnd w:id="6"/>
    <w:p>
      <w:pPr>
        <w:jc w:val="both"/>
        <w:spacing w:after="0" w:line="257" w:lineRule="auto"/>
        <w:rPr>
          <w:sz w:val="20"/>
          <w:szCs w:val="20"/>
          <w:color w:val="auto"/>
        </w:rPr>
      </w:pPr>
      <w:r>
        <w:rPr>
          <w:rFonts w:ascii="Arial" w:cs="Arial" w:eastAsia="Arial" w:hAnsi="Arial"/>
          <w:sz w:val="18"/>
          <w:szCs w:val="18"/>
          <w:color w:val="auto"/>
        </w:rPr>
        <w:t>The estimated fair value of our long-term debt is primarily based on the credit spread above U.S. Treasury securities on notes with similar rates, credit ratings, and remaining maturities. The fair value of short-term borrowings, which includes commercial paper issuances and short-term lines of credit, approximates carrying value given the short duration of these obligations. The fair value of our total debt was $1.35 billion at October 1, 2016 and $1.08 billion at January 2, 2016. Fair value amounts were determined based primarily on Level 2 inputs, which are inputs other than quoted prices in active markets that are either directly or indirectly observable.</w:t>
      </w:r>
    </w:p>
    <w:p>
      <w:pPr>
        <w:spacing w:after="0" w:line="18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$700 million revolving credit facility (the “Revolver”) contains financial covenants requiring that we maintain specified ratios of total debt and interest expense in relation to certain measures of income. As of October 1, 2016 and January 2, 2016, we were in compliance with our financial covenants.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2016, we entered into an agreement with three commercial paper dealers to establish a Euro-Commercial Paper Program pursuant to which we may issue unsecured commercial paper notes up to a maximum aggregate amount outstanding of $500 million. Proceeds from issuances under this program may be used for general corporate purposes. The maturities of the notes may vary, but may not exceed 364 days from the date of issuance. Our payment obligations with respect to any notes issued under this program would be backed by the Revolver. There are no financial covenants under this program. As of October 1, 2016, $210.3 million was outstanding under this program.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reclassified approximately $250 million of senior notes due on October 1, 2017 from long-term debt to current portion of long-term debt.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Pension and Other Postretirement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We sponsor a number of defined benefit plans, the accrual of benefits under some of which has been frozen, covering eligible employees in the U.S. and certain other countries. Benefits payable to an employee are based primarily on years of service and the employee’s compensation during the course of his or her employment with us.</w:t>
      </w:r>
    </w:p>
    <w:p>
      <w:pPr>
        <w:spacing w:after="0" w:line="19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are also obligated to pay unfunded termination indemnity benefits to certain employees outside of the U.S., which are subject to applicable agreements, laws and regulations. We have not incurred significant costs related to these benefits, and therefore, no related costs are included in the disclosures below.</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December 2015, we offered eligible former employees who were vested participants in the Avery Dennison Pension Plan (“ADPP”), a U.S. pension plan, the opportunity to receive their benefits immediately as either a lump-sum payment or an annuity, rather than waiting until they are retirement eligible under the terms of the plan. In the second quarter of 2016, approximately $70 million of pension obligations related to this plan were settled out of existing plan assets and a non-cash pre-tax settlement charge of $41.4 million was recorded in “Other expense, net” in the unaudited Condensed Consolidated Statements of Income. This settlement required us to remeasure the remaining net pension obligations of the ADPP. As a result, approximately $72 million of additional net pension obligations with a corresponding increase in actuarial losses recorded in “Accumulated other comprehensive loss” was recognized primarily due to lower discount rates that were in effect when the plan was remeasured.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components of net periodic benefit cost (credit), which was recorded in income from continuing operations, for our defined benefit plans: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w w:val="86"/>
              </w:rPr>
              <w:t>Pension Benefits</w:t>
            </w:r>
          </w:p>
        </w:tc>
        <w:tc>
          <w:tcPr>
            <w:tcW w:w="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r>
      <w:tr>
        <w:trPr>
          <w:trHeight w:val="210"/>
        </w:trPr>
        <w:tc>
          <w:tcPr>
            <w:tcW w:w="3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w w:val="98"/>
              </w:rPr>
              <w:t>Three Months Ended</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Nine Months Ended</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w w:val="92"/>
              </w:rPr>
              <w:t>October 1, 2016</w:t>
            </w: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w w:val="92"/>
              </w:rPr>
              <w:t>October 3, 2015</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w w:val="92"/>
              </w:rPr>
              <w:t>October 1, 2016</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w w:val="90"/>
              </w:rPr>
              <w:t>October 3, 2015</w:t>
            </w:r>
          </w:p>
        </w:tc>
      </w:tr>
      <w:tr>
        <w:trPr>
          <w:trHeight w:val="210"/>
        </w:trPr>
        <w:tc>
          <w:tcPr>
            <w:tcW w:w="3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U.S.</w:t>
            </w: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Int’l</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U.S.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Int’l</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U.S.</w:t>
            </w: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Int’l</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U.S.</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Int’l</w:t>
            </w: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18"/>
                <w:szCs w:val="18"/>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8.1</w:t>
            </w:r>
          </w:p>
        </w:tc>
        <w:tc>
          <w:tcPr>
            <w:tcW w:w="380" w:type="dxa"/>
            <w:vAlign w:val="bottom"/>
          </w:tcPr>
          <w:p>
            <w:pPr>
              <w:spacing w:after="0"/>
              <w:rPr>
                <w:sz w:val="18"/>
                <w:szCs w:val="18"/>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8"/>
                <w:szCs w:val="18"/>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26.4</w:t>
            </w:r>
          </w:p>
        </w:tc>
        <w:tc>
          <w:tcPr>
            <w:tcW w:w="340" w:type="dxa"/>
            <w:vAlign w:val="bottom"/>
          </w:tcPr>
          <w:p>
            <w:pPr>
              <w:spacing w:after="0"/>
              <w:rPr>
                <w:sz w:val="18"/>
                <w:szCs w:val="18"/>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12.4</w:t>
            </w:r>
          </w:p>
        </w:tc>
        <w:tc>
          <w:tcPr>
            <w:tcW w:w="260" w:type="dxa"/>
            <w:vAlign w:val="bottom"/>
          </w:tcPr>
          <w:p>
            <w:pPr>
              <w:spacing w:after="0"/>
              <w:rPr>
                <w:sz w:val="18"/>
                <w:szCs w:val="18"/>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32.5</w:t>
            </w:r>
          </w:p>
        </w:tc>
        <w:tc>
          <w:tcPr>
            <w:tcW w:w="32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13.1</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Actuarial loss</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26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(10.4)</w:t>
            </w:r>
          </w:p>
        </w:tc>
        <w:tc>
          <w:tcPr>
            <w:tcW w:w="380" w:type="dxa"/>
            <w:vAlign w:val="bottom"/>
          </w:tcPr>
          <w:p>
            <w:pPr>
              <w:spacing w:after="0"/>
              <w:rPr>
                <w:sz w:val="18"/>
                <w:szCs w:val="18"/>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(32.3)</w:t>
            </w:r>
          </w:p>
        </w:tc>
        <w:tc>
          <w:tcPr>
            <w:tcW w:w="340" w:type="dxa"/>
            <w:vAlign w:val="bottom"/>
          </w:tcPr>
          <w:p>
            <w:pPr>
              <w:spacing w:after="0"/>
              <w:rPr>
                <w:sz w:val="18"/>
                <w:szCs w:val="18"/>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(16.1)</w:t>
            </w:r>
          </w:p>
        </w:tc>
        <w:tc>
          <w:tcPr>
            <w:tcW w:w="26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(38.6)</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4.9</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14.1</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15.4</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Amortization of prior service cost (credit)</w:t>
            </w:r>
          </w:p>
        </w:tc>
        <w:tc>
          <w:tcPr>
            <w:tcW w:w="260" w:type="dxa"/>
            <w:vAlign w:val="bottom"/>
          </w:tcPr>
          <w:p>
            <w:pPr>
              <w:spacing w:after="0"/>
              <w:rPr>
                <w:sz w:val="18"/>
                <w:szCs w:val="18"/>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340" w:type="dxa"/>
            <w:vAlign w:val="bottom"/>
            <w:tcBorders>
              <w:bottom w:val="single" w:sz="8" w:color="auto"/>
            </w:tcBorders>
            <w:shd w:val="clear" w:color="auto" w:fill="CCEEFF"/>
          </w:tcPr>
          <w:p>
            <w:pPr>
              <w:spacing w:after="0" w:line="216" w:lineRule="exact"/>
              <w:rPr>
                <w:sz w:val="20"/>
                <w:szCs w:val="20"/>
                <w:color w:val="auto"/>
              </w:rPr>
            </w:pPr>
            <w:r>
              <w:rPr>
                <w:rFonts w:ascii="Arial" w:cs="Arial" w:eastAsia="Arial" w:hAnsi="Arial"/>
                <w:sz w:val="18"/>
                <w:szCs w:val="18"/>
                <w:color w:val="auto"/>
              </w:rPr>
              <w:t>Recognized loss on settlements</w:t>
            </w:r>
            <w:r>
              <w:rPr>
                <w:rFonts w:ascii="Arial" w:cs="Arial" w:eastAsia="Arial" w:hAnsi="Arial"/>
                <w:sz w:val="23"/>
                <w:szCs w:val="23"/>
                <w:color w:val="auto"/>
                <w:vertAlign w:val="superscript"/>
              </w:rPr>
              <w:t>(1)</w:t>
            </w: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41.4</w:t>
            </w:r>
          </w:p>
        </w:tc>
        <w:tc>
          <w:tcPr>
            <w:tcW w:w="3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17"/>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3.7</w:t>
            </w: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53.2</w:t>
            </w:r>
          </w:p>
        </w:tc>
        <w:tc>
          <w:tcPr>
            <w:tcW w:w="3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10.4</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18.1</w:t>
            </w:r>
          </w:p>
        </w:tc>
      </w:tr>
    </w:tbl>
    <w:p>
      <w:pPr>
        <w:spacing w:after="0" w:line="202" w:lineRule="exact"/>
        <w:rPr>
          <w:sz w:val="20"/>
          <w:szCs w:val="20"/>
          <w:color w:val="auto"/>
        </w:rPr>
      </w:pPr>
    </w:p>
    <w:p>
      <w:pPr>
        <w:jc w:val="both"/>
        <w:ind w:left="180" w:hanging="132"/>
        <w:spacing w:after="0" w:line="277" w:lineRule="auto"/>
        <w:rPr>
          <w:sz w:val="20"/>
          <w:szCs w:val="20"/>
          <w:color w:val="auto"/>
        </w:rPr>
      </w:pPr>
      <w:r>
        <w:rPr>
          <w:rFonts w:ascii="Arial" w:cs="Arial" w:eastAsia="Arial" w:hAnsi="Arial"/>
          <w:sz w:val="20"/>
          <w:szCs w:val="20"/>
          <w:color w:val="auto"/>
          <w:vertAlign w:val="superscript"/>
        </w:rPr>
        <w:t>(1)</w:t>
      </w:r>
      <w:r>
        <w:rPr>
          <w:rFonts w:ascii="Arial" w:cs="Arial" w:eastAsia="Arial" w:hAnsi="Arial"/>
          <w:sz w:val="16"/>
          <w:szCs w:val="16"/>
          <w:color w:val="auto"/>
        </w:rPr>
        <w:t>In 2016, we recognized a loss on settlements related to our U.S. pension plan as a result of making the lump-sum pension payments described above; in 2015, we recognized a loss on settlements related to pension plans in Germany and France as a result of the sale of a product line in our RBIS reportable segment. These losses on settlements were recorded in “Other expense, net” in the unaudited Condensed Consolidated Statements of Income.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5"/>
          </w:tcPr>
          <w:p>
            <w:pPr>
              <w:jc w:val="right"/>
              <w:ind w:right="470"/>
              <w:spacing w:after="0"/>
              <w:rPr>
                <w:sz w:val="20"/>
                <w:szCs w:val="20"/>
                <w:color w:val="auto"/>
              </w:rPr>
            </w:pPr>
            <w:r>
              <w:rPr>
                <w:rFonts w:ascii="Arial" w:cs="Arial" w:eastAsia="Arial" w:hAnsi="Arial"/>
                <w:sz w:val="18"/>
                <w:szCs w:val="18"/>
                <w:b w:val="1"/>
                <w:bCs w:val="1"/>
                <w:color w:val="auto"/>
                <w:w w:val="98"/>
              </w:rPr>
              <w:t>U.S. Postretirement Health Benefits</w:t>
            </w:r>
          </w:p>
        </w:tc>
        <w:tc>
          <w:tcPr>
            <w:tcW w:w="9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r>
      <w:tr>
        <w:trPr>
          <w:trHeight w:val="210"/>
        </w:trPr>
        <w:tc>
          <w:tcPr>
            <w:tcW w:w="44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w w:val="97"/>
              </w:rPr>
              <w:t>Three Months Ended</w:t>
            </w:r>
          </w:p>
        </w:tc>
        <w:tc>
          <w:tcPr>
            <w:tcW w:w="5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w w:val="98"/>
              </w:rPr>
              <w:t>Nine Months Ended</w:t>
            </w:r>
          </w:p>
        </w:tc>
        <w:tc>
          <w:tcPr>
            <w:tcW w:w="720" w:type="dxa"/>
            <w:vAlign w:val="bottom"/>
            <w:tcBorders>
              <w:bottom w:val="single" w:sz="8" w:color="auto"/>
            </w:tcBorders>
          </w:tcPr>
          <w:p>
            <w:pPr>
              <w:spacing w:after="0"/>
              <w:rPr>
                <w:sz w:val="18"/>
                <w:szCs w:val="18"/>
                <w:color w:val="auto"/>
              </w:rPr>
            </w:pPr>
          </w:p>
        </w:tc>
      </w:tr>
      <w:tr>
        <w:trPr>
          <w:trHeight w:val="210"/>
        </w:trPr>
        <w:tc>
          <w:tcPr>
            <w:tcW w:w="4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78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rPr>
              <w:t>October 1, 2016</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October 3, 2015</w:t>
            </w:r>
          </w:p>
        </w:tc>
        <w:tc>
          <w:tcPr>
            <w:tcW w:w="2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rPr>
              <w:t>October 1, 2016</w:t>
            </w:r>
          </w:p>
        </w:tc>
        <w:tc>
          <w:tcPr>
            <w:tcW w:w="16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October 3, 2015</w:t>
            </w: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w:t>
            </w: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680" w:type="dxa"/>
            <w:vAlign w:val="bottom"/>
          </w:tcPr>
          <w:p>
            <w:pPr>
              <w:spacing w:after="0"/>
              <w:rPr>
                <w:sz w:val="18"/>
                <w:szCs w:val="18"/>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.5</w:t>
            </w:r>
          </w:p>
        </w:tc>
        <w:tc>
          <w:tcPr>
            <w:tcW w:w="9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740" w:type="dxa"/>
            <w:vAlign w:val="bottom"/>
          </w:tcPr>
          <w:p>
            <w:pPr>
              <w:spacing w:after="0"/>
              <w:rPr>
                <w:sz w:val="18"/>
                <w:szCs w:val="18"/>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1.3</w:t>
            </w:r>
          </w:p>
        </w:tc>
        <w:tc>
          <w:tcPr>
            <w:tcW w:w="90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1.6</w:t>
            </w:r>
          </w:p>
        </w:tc>
      </w:tr>
      <w:tr>
        <w:trPr>
          <w:trHeight w:val="216"/>
        </w:trPr>
        <w:tc>
          <w:tcPr>
            <w:tcW w:w="4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6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(.9)</w:t>
            </w:r>
          </w:p>
        </w:tc>
        <w:tc>
          <w:tcPr>
            <w:tcW w:w="9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7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(2.5)</w:t>
            </w:r>
          </w:p>
        </w:tc>
        <w:tc>
          <w:tcPr>
            <w:tcW w:w="9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7"/>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periodic benefit credit</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w:t>
            </w: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w:t>
            </w: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w:t>
            </w: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Research and Development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expense from continuing operations was $22.4 million and $67.4 million for the three and nine months ended October 1, 2016, respectively, and $22.2 million and $70.6 million for the three and nine months ended October 3, 2015, respectively. This expense was included in “Marketing, general and administrative expense” in the unaudited Condensed Consolidated Statements of Income.</w:t>
      </w:r>
    </w:p>
    <w:p>
      <w:pPr>
        <w:sectPr>
          <w:pgSz w:w="11900" w:h="16838" w:orient="portrait"/>
          <w:cols w:equalWidth="0" w:num="1">
            <w:col w:w="11420"/>
          </w:cols>
          <w:pgMar w:left="240" w:top="125" w:right="239" w:bottom="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8. Long-Term Incentive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Stock-based compensation expense from continuing operations was $6 million and $20.1 million for the three and nine months ended October 1, 2016, respectively, and $5.2 million and $18.4 million for the three and nine months ended October 3, 2015, respectively. This expense was included in “Marketing, general and administrative expense” in the unaudited Condensed Consolidated Statements of Income.</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October 1, 2016, we had approximately $44 million of unrecognized compensation expense from continuing operations related to unvested stock-based awards, which is expected to be recognized over the remaining weighted-average period of approximately two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Awards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Compensation expense from continuing operations related to long-term incentive units was $7 million and $21.7 million for the three and nine months ended October 1, 2016, respectively, and $1.4 million and $16.7 million for the three and nine months ended October 3, 2015, respectively. This expense was included in “Marketing, general and administrative expense” in the unaudited Condensed Consolidated Statements of Income.</w:t>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Cost Reduction 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2015/2016 Actions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nine months ended October 1, 2016, we recorded $15 million in restructuring charges, net of reversals, related to restructuring actions initiated during the third quarter of 2015 that we expect to continue through 2016 (“2015/2016 Actions”). These charges consisted of severance and related costs for the reduction of approximately 310 positions, lease cancellation costs, and asset impairment charges.</w:t>
      </w:r>
    </w:p>
    <w:p>
      <w:pPr>
        <w:spacing w:after="0" w:line="19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During fiscal year 2015, we recorded $26.1 million in restructuring charges, net of reversals, related to our 2015/2016 Actions. These charges consisted of severance and related costs for the reduction of approximately 430 positions, lease cancellation costs, and asset impairment charges.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employees impacted by our 2015/2016 Actions taken through October 1, 2016 remained employed with us as of such date. We expect charges and payments related to these actions to be substantially completed in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2014/2015 Actions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fiscal year 2015, we recorded $33.4 million in restructuring charges, net of reversals, related to restructuring actions we initiated in 2014 that continued through the second quarter of 2015 (“2014/2015 Actions”). These charges consisted of severance and related costs for the reduction of approximately 605 positions, lease cancellation costs, and asset impairment charges.</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Approximately 25 employees impacted by our 2014/2015 Actions remained employed with us as of October 1, 2016. We expect charges and payments related to these actions to be substantially completed in 2016.</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Accruals for severance and related costs and lease cancellation costs were included in “Other current liabilities” in the unaudited Condensed Consolidated Balance Sheets. Asset impairment charges were based on the estimated market value of the assets, less selling costs, if applicable. Restructuring charges were included in “Other expense, net” in the unaudited Condensed Consolidated Statements of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October 1, 2016, restructuring charges and payments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9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Accrual at</w:t>
            </w:r>
          </w:p>
        </w:tc>
        <w:tc>
          <w:tcPr>
            <w:tcW w:w="500" w:type="dxa"/>
            <w:vAlign w:val="bottom"/>
          </w:tcPr>
          <w:p>
            <w:pPr>
              <w:spacing w:after="0"/>
              <w:rPr>
                <w:sz w:val="18"/>
                <w:szCs w:val="18"/>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b w:val="1"/>
                <w:bCs w:val="1"/>
                <w:color w:val="auto"/>
                <w:w w:val="86"/>
              </w:rPr>
              <w:t>Charges</w:t>
            </w: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Foreign</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Accrual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9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January 2,</w:t>
            </w:r>
          </w:p>
        </w:tc>
        <w:tc>
          <w:tcPr>
            <w:tcW w:w="150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(Reversals),</w:t>
            </w:r>
          </w:p>
        </w:tc>
        <w:tc>
          <w:tcPr>
            <w:tcW w:w="500" w:type="dxa"/>
            <w:vAlign w:val="bottom"/>
          </w:tcPr>
          <w:p>
            <w:pPr>
              <w:spacing w:after="0"/>
              <w:rPr>
                <w:sz w:val="18"/>
                <w:szCs w:val="18"/>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b w:val="1"/>
                <w:bCs w:val="1"/>
                <w:color w:val="auto"/>
              </w:rPr>
              <w:t>Cash</w:t>
            </w:r>
          </w:p>
        </w:tc>
        <w:tc>
          <w:tcPr>
            <w:tcW w:w="1380" w:type="dxa"/>
            <w:vAlign w:val="bottom"/>
            <w:gridSpan w:val="2"/>
          </w:tcPr>
          <w:p>
            <w:pPr>
              <w:ind w:left="400"/>
              <w:spacing w:after="0"/>
              <w:rPr>
                <w:sz w:val="20"/>
                <w:szCs w:val="20"/>
                <w:color w:val="auto"/>
              </w:rPr>
            </w:pPr>
            <w:r>
              <w:rPr>
                <w:rFonts w:ascii="Arial" w:cs="Arial" w:eastAsia="Arial" w:hAnsi="Arial"/>
                <w:sz w:val="18"/>
                <w:szCs w:val="18"/>
                <w:b w:val="1"/>
                <w:bCs w:val="1"/>
                <w:color w:val="auto"/>
              </w:rPr>
              <w:t>Non-cash</w:t>
            </w:r>
          </w:p>
        </w:tc>
        <w:tc>
          <w:tcPr>
            <w:tcW w:w="13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Currency</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October 1,</w:t>
            </w:r>
          </w:p>
        </w:tc>
        <w:tc>
          <w:tcPr>
            <w:tcW w:w="0" w:type="dxa"/>
            <w:vAlign w:val="bottom"/>
          </w:tcPr>
          <w:p>
            <w:pPr>
              <w:spacing w:after="0"/>
              <w:rPr>
                <w:sz w:val="1"/>
                <w:szCs w:val="1"/>
                <w:color w:val="auto"/>
              </w:rPr>
            </w:pPr>
          </w:p>
        </w:tc>
      </w:tr>
      <w:tr>
        <w:trPr>
          <w:trHeight w:val="234"/>
        </w:trPr>
        <w:tc>
          <w:tcPr>
            <w:tcW w:w="28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16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500" w:type="dxa"/>
            <w:vAlign w:val="bottom"/>
          </w:tcPr>
          <w:p>
            <w:pPr>
              <w:spacing w:after="0"/>
              <w:rPr>
                <w:sz w:val="20"/>
                <w:szCs w:val="20"/>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b w:val="1"/>
                <w:bCs w:val="1"/>
                <w:color w:val="auto"/>
              </w:rPr>
              <w:t>net</w:t>
            </w:r>
          </w:p>
        </w:tc>
        <w:tc>
          <w:tcPr>
            <w:tcW w:w="1280" w:type="dxa"/>
            <w:vAlign w:val="bottom"/>
            <w:gridSpan w:val="2"/>
          </w:tcPr>
          <w:p>
            <w:pPr>
              <w:ind w:left="280"/>
              <w:spacing w:after="0"/>
              <w:rPr>
                <w:sz w:val="20"/>
                <w:szCs w:val="20"/>
                <w:color w:val="auto"/>
              </w:rPr>
            </w:pPr>
            <w:r>
              <w:rPr>
                <w:rFonts w:ascii="Arial" w:cs="Arial" w:eastAsia="Arial" w:hAnsi="Arial"/>
                <w:sz w:val="18"/>
                <w:szCs w:val="18"/>
                <w:b w:val="1"/>
                <w:bCs w:val="1"/>
                <w:color w:val="auto"/>
              </w:rPr>
              <w:t>Payments</w:t>
            </w:r>
          </w:p>
        </w:tc>
        <w:tc>
          <w:tcPr>
            <w:tcW w:w="13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Impairment</w:t>
            </w:r>
          </w:p>
        </w:tc>
        <w:tc>
          <w:tcPr>
            <w:tcW w:w="13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Translation</w:t>
            </w:r>
          </w:p>
        </w:tc>
        <w:tc>
          <w:tcPr>
            <w:tcW w:w="58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2015/2016 Actions</w:t>
            </w:r>
          </w:p>
        </w:tc>
        <w:tc>
          <w:tcPr>
            <w:tcW w:w="1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Severance and related costs</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8.4</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11.1</w:t>
            </w:r>
          </w:p>
        </w:tc>
        <w:tc>
          <w:tcPr>
            <w:tcW w:w="500" w:type="dxa"/>
            <w:vAlign w:val="bottom"/>
          </w:tcPr>
          <w:p>
            <w:pPr>
              <w:ind w:left="2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(18.8)</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.2</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Asset impairment charges</w:t>
            </w:r>
          </w:p>
        </w:tc>
        <w:tc>
          <w:tcPr>
            <w:tcW w:w="1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2.9</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(2.9)</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Lease cancellation costs</w:t>
            </w:r>
          </w:p>
        </w:tc>
        <w:tc>
          <w:tcPr>
            <w:tcW w:w="1160" w:type="dxa"/>
            <w:vAlign w:val="bottom"/>
          </w:tcPr>
          <w:p>
            <w:pPr>
              <w:spacing w:after="0"/>
              <w:rPr>
                <w:sz w:val="18"/>
                <w:szCs w:val="18"/>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18"/>
                <w:szCs w:val="18"/>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660" w:type="dxa"/>
            <w:vAlign w:val="bottom"/>
          </w:tcPr>
          <w:p>
            <w:pPr>
              <w:spacing w:after="0"/>
              <w:rPr>
                <w:sz w:val="18"/>
                <w:szCs w:val="18"/>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b w:val="1"/>
                <w:bCs w:val="1"/>
                <w:color w:val="auto"/>
              </w:rPr>
              <w:t>2014/2015 Actions</w:t>
            </w:r>
          </w:p>
        </w:tc>
        <w:tc>
          <w:tcPr>
            <w:tcW w:w="1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Severance and related costs</w:t>
            </w:r>
          </w:p>
        </w:tc>
        <w:tc>
          <w:tcPr>
            <w:tcW w:w="1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(3.3)</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Prior actions</w:t>
            </w:r>
          </w:p>
        </w:tc>
        <w:tc>
          <w:tcPr>
            <w:tcW w:w="1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Severance and related costs</w:t>
            </w:r>
          </w:p>
        </w:tc>
        <w:tc>
          <w:tcPr>
            <w:tcW w:w="1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w:t>
            </w: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14.1</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14.6</w:t>
            </w:r>
          </w:p>
        </w:tc>
        <w:tc>
          <w:tcPr>
            <w:tcW w:w="5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(22.9)</w:t>
            </w:r>
          </w:p>
        </w:tc>
        <w:tc>
          <w:tcPr>
            <w:tcW w:w="6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(2.9)</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w:t>
            </w:r>
          </w:p>
        </w:tc>
        <w:tc>
          <w:tcPr>
            <w:tcW w:w="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total amount of restructuring charges incurred by reportable segment and Corporate:</w:t>
      </w:r>
    </w:p>
    <w:p>
      <w:pPr>
        <w:sectPr>
          <w:pgSz w:w="11900" w:h="16838" w:orient="portrait"/>
          <w:cols w:equalWidth="0" w:num="1">
            <w:col w:w="11420"/>
          </w:cols>
          <w:pgMar w:left="240" w:top="337" w:right="239" w:bottom="0" w:gutter="0" w:footer="0" w:header="0"/>
        </w:sectPr>
      </w:pPr>
    </w:p>
    <w:bookmarkStart w:id="8" w:name="page9"/>
    <w:bookmarkEnd w:id="8"/>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w w:val="96"/>
              </w:rPr>
              <w:t>Three Months Ended</w:t>
            </w:r>
          </w:p>
        </w:tc>
        <w:tc>
          <w:tcPr>
            <w:tcW w:w="5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w w:val="98"/>
              </w:rPr>
              <w:t>Nine Months Ended</w:t>
            </w:r>
          </w:p>
        </w:tc>
        <w:tc>
          <w:tcPr>
            <w:tcW w:w="660" w:type="dxa"/>
            <w:vAlign w:val="bottom"/>
            <w:tcBorders>
              <w:bottom w:val="single" w:sz="8" w:color="auto"/>
            </w:tcBorders>
          </w:tcPr>
          <w:p>
            <w:pPr>
              <w:spacing w:after="0"/>
              <w:rPr>
                <w:sz w:val="20"/>
                <w:szCs w:val="20"/>
                <w:color w:val="auto"/>
              </w:rPr>
            </w:pPr>
          </w:p>
        </w:tc>
      </w:tr>
      <w:tr>
        <w:trPr>
          <w:trHeight w:val="210"/>
        </w:trPr>
        <w:tc>
          <w:tcPr>
            <w:tcW w:w="4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78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October 1, 2016</w:t>
            </w:r>
          </w:p>
        </w:tc>
        <w:tc>
          <w:tcPr>
            <w:tcW w:w="150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w w:val="89"/>
              </w:rPr>
              <w:t>October 3, 2015</w:t>
            </w: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October 1, 2016</w:t>
            </w:r>
          </w:p>
        </w:tc>
        <w:tc>
          <w:tcPr>
            <w:tcW w:w="15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October 3, 2015</w:t>
            </w:r>
          </w:p>
        </w:tc>
      </w:tr>
      <w:tr>
        <w:trPr>
          <w:trHeight w:val="191"/>
        </w:trPr>
        <w:tc>
          <w:tcPr>
            <w:tcW w:w="456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Restructuring charges by reportable segment and</w:t>
            </w:r>
          </w:p>
        </w:tc>
        <w:tc>
          <w:tcPr>
            <w:tcW w:w="7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34"/>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Corporate</w:t>
            </w:r>
          </w:p>
        </w:tc>
        <w:tc>
          <w:tcPr>
            <w:tcW w:w="7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Pressure-sensitive Materials</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.7</w:t>
            </w: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7.5</w:t>
            </w: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15.5</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Retail Branding and Information Solutions</w:t>
            </w: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1.5</w:t>
            </w:r>
          </w:p>
        </w:tc>
        <w:tc>
          <w:tcPr>
            <w:tcW w:w="9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w:t>
            </w: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6.6</w:t>
            </w: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Vancive Medical Technologies</w:t>
            </w:r>
          </w:p>
        </w:tc>
        <w:tc>
          <w:tcPr>
            <w:tcW w:w="72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.4</w:t>
            </w:r>
          </w:p>
        </w:tc>
        <w:tc>
          <w:tcPr>
            <w:tcW w:w="98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700" w:type="dxa"/>
            <w:vAlign w:val="bottom"/>
          </w:tcPr>
          <w:p>
            <w:pPr>
              <w:spacing w:after="0"/>
              <w:rPr>
                <w:sz w:val="18"/>
                <w:szCs w:val="18"/>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90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16"/>
        </w:trPr>
        <w:tc>
          <w:tcPr>
            <w:tcW w:w="4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Corporate</w:t>
            </w:r>
          </w:p>
        </w:tc>
        <w:tc>
          <w:tcPr>
            <w:tcW w:w="7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7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17"/>
        </w:trPr>
        <w:tc>
          <w:tcPr>
            <w:tcW w:w="45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2.6</w:t>
            </w: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6.6</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14.6</w:t>
            </w: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Financial Instruments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enter into foreign exchange hedge contracts to reduce our risk from exchange rate fluctuations associated with receivables, payables, loans and firm commitments denominated in certain foreign currencies that arise primarily as a result of our operations outside the U.S. We enter into interest rate contracts to help manage our exposure to certain interest rate fluctuations. We also enter into futures contracts to hedge certain price fluctuations for a portion of our anticipated domestic purchases of natural gas. The maximum length of time for which we hedge our exposure to the variability in future cash flows for forecasted transactions is 36 months.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October 1, 2016, the aggregate U.S. dollar equivalent notional value of our outstanding commodity contracts and foreign exchange contracts was $2.3 million and $1.5 billion, respectively.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recognize all derivative instruments as either assets or liabilities at fair value in the unaudited Condensed Consolidated Balance Sheets. We designate commodity forward contracts on forecasted purchases of commodities and foreign exchange contracts on forecasted transactions as cash flow hedges and designate foreign exchange contracts on existing balance sheet items as fair value hedges.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fair value and balance sheet locations of derivatives as of October 1,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0" w:type="dxa"/>
            <w:vAlign w:val="bottom"/>
            <w:tcBorders>
              <w:bottom w:val="single" w:sz="8" w:color="auto"/>
            </w:tcBorders>
          </w:tcPr>
          <w:p>
            <w:pPr>
              <w:ind w:left="1780"/>
              <w:spacing w:after="0"/>
              <w:rPr>
                <w:sz w:val="20"/>
                <w:szCs w:val="20"/>
                <w:color w:val="auto"/>
              </w:rPr>
            </w:pPr>
            <w:r>
              <w:rPr>
                <w:rFonts w:ascii="Arial" w:cs="Arial" w:eastAsia="Arial" w:hAnsi="Arial"/>
                <w:sz w:val="18"/>
                <w:szCs w:val="18"/>
                <w:b w:val="1"/>
                <w:bCs w:val="1"/>
                <w:color w:val="auto"/>
              </w:rPr>
              <w:t>Asset</w:t>
            </w: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20" w:type="dxa"/>
            <w:vAlign w:val="bottom"/>
            <w:tcBorders>
              <w:bottom w:val="single" w:sz="8" w:color="auto"/>
            </w:tcBorders>
          </w:tcPr>
          <w:p>
            <w:pPr>
              <w:ind w:left="1620"/>
              <w:spacing w:after="0"/>
              <w:rPr>
                <w:sz w:val="20"/>
                <w:szCs w:val="20"/>
                <w:color w:val="auto"/>
              </w:rPr>
            </w:pPr>
            <w:r>
              <w:rPr>
                <w:rFonts w:ascii="Arial" w:cs="Arial" w:eastAsia="Arial" w:hAnsi="Arial"/>
                <w:sz w:val="18"/>
                <w:szCs w:val="18"/>
                <w:b w:val="1"/>
                <w:bCs w:val="1"/>
                <w:color w:val="auto"/>
              </w:rPr>
              <w:t>Liability</w:t>
            </w: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10"/>
        </w:trPr>
        <w:tc>
          <w:tcPr>
            <w:tcW w:w="2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5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Sheet Location</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Fair Value</w:t>
            </w:r>
          </w:p>
        </w:tc>
        <w:tc>
          <w:tcPr>
            <w:tcW w:w="2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Sheet Location</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5"/>
              </w:rPr>
              <w:t>Fair Value</w:t>
            </w:r>
          </w:p>
        </w:tc>
      </w:tr>
      <w:tr>
        <w:trPr>
          <w:trHeight w:val="21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3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Other current assets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r>
      <w:tr>
        <w:trPr>
          <w:trHeight w:val="216"/>
        </w:trPr>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Commodity contracts</w:t>
            </w:r>
          </w:p>
        </w:tc>
        <w:tc>
          <w:tcPr>
            <w:tcW w:w="31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Other current assets</w:t>
            </w: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.1</w:t>
            </w:r>
          </w:p>
        </w:tc>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current liabilities</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17"/>
        </w:trPr>
        <w:tc>
          <w:tcPr>
            <w:tcW w:w="25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26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26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fair value and balance sheet locations of derivatives as of January 2,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0" w:type="dxa"/>
            <w:vAlign w:val="bottom"/>
            <w:tcBorders>
              <w:bottom w:val="single" w:sz="8" w:color="auto"/>
            </w:tcBorders>
          </w:tcPr>
          <w:p>
            <w:pPr>
              <w:ind w:left="1780"/>
              <w:spacing w:after="0"/>
              <w:rPr>
                <w:sz w:val="20"/>
                <w:szCs w:val="20"/>
                <w:color w:val="auto"/>
              </w:rPr>
            </w:pPr>
            <w:r>
              <w:rPr>
                <w:rFonts w:ascii="Arial" w:cs="Arial" w:eastAsia="Arial" w:hAnsi="Arial"/>
                <w:sz w:val="18"/>
                <w:szCs w:val="18"/>
                <w:b w:val="1"/>
                <w:bCs w:val="1"/>
                <w:color w:val="auto"/>
              </w:rPr>
              <w:t>Asset</w:t>
            </w: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20" w:type="dxa"/>
            <w:vAlign w:val="bottom"/>
            <w:tcBorders>
              <w:bottom w:val="single" w:sz="8" w:color="auto"/>
            </w:tcBorders>
          </w:tcPr>
          <w:p>
            <w:pPr>
              <w:ind w:left="1620"/>
              <w:spacing w:after="0"/>
              <w:rPr>
                <w:sz w:val="20"/>
                <w:szCs w:val="20"/>
                <w:color w:val="auto"/>
              </w:rPr>
            </w:pPr>
            <w:r>
              <w:rPr>
                <w:rFonts w:ascii="Arial" w:cs="Arial" w:eastAsia="Arial" w:hAnsi="Arial"/>
                <w:sz w:val="18"/>
                <w:szCs w:val="18"/>
                <w:b w:val="1"/>
                <w:bCs w:val="1"/>
                <w:color w:val="auto"/>
              </w:rPr>
              <w:t>Liability</w:t>
            </w: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10"/>
        </w:trPr>
        <w:tc>
          <w:tcPr>
            <w:tcW w:w="2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5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Sheet Location</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Fair Value</w:t>
            </w:r>
          </w:p>
        </w:tc>
        <w:tc>
          <w:tcPr>
            <w:tcW w:w="2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Sheet Location</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5"/>
              </w:rPr>
              <w:t>Fair Value</w:t>
            </w:r>
          </w:p>
        </w:tc>
      </w:tr>
      <w:tr>
        <w:trPr>
          <w:trHeight w:val="21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3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Other current assets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r>
      <w:tr>
        <w:trPr>
          <w:trHeight w:val="216"/>
        </w:trPr>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Commodity contracts</w:t>
            </w:r>
          </w:p>
        </w:tc>
        <w:tc>
          <w:tcPr>
            <w:tcW w:w="31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Other current assets</w:t>
            </w: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current liabilities</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r>
      <w:tr>
        <w:trPr>
          <w:trHeight w:val="217"/>
        </w:trPr>
        <w:tc>
          <w:tcPr>
            <w:tcW w:w="25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26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26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 derivative instruments that are designated and qualify as fair value hedges, the gain or loss on the derivative and the offsetting loss or gain on the hedged item attributable to the hedged risk are recognized in current earnings, resulting in no material net impact to income.</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provides the components of net gains (losses) recognized in income related to fair value hedge contracts. The corresponding gains or losses on the underlying hedged items approximated the net gains (losses) on these fair value hedge contracts.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p>
        </w:tc>
        <w:tc>
          <w:tcPr>
            <w:tcW w:w="264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Location of Net Gains</w:t>
            </w:r>
          </w:p>
        </w:tc>
        <w:tc>
          <w:tcPr>
            <w:tcW w:w="7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1"/>
              </w:rPr>
              <w:t>Nine Months Ended</w:t>
            </w: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340" w:type="dxa"/>
            <w:vAlign w:val="bottom"/>
          </w:tcPr>
          <w:p>
            <w:pPr>
              <w:spacing w:after="0"/>
              <w:rPr>
                <w:sz w:val="16"/>
                <w:szCs w:val="16"/>
                <w:color w:val="auto"/>
              </w:rPr>
            </w:pPr>
          </w:p>
        </w:tc>
        <w:tc>
          <w:tcPr>
            <w:tcW w:w="264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6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(Losses) in Income</w:t>
            </w:r>
          </w:p>
        </w:tc>
        <w:tc>
          <w:tcPr>
            <w:tcW w:w="180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October 1, 2016</w:t>
            </w: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October 3, 2015</w:t>
            </w:r>
          </w:p>
        </w:tc>
        <w:tc>
          <w:tcPr>
            <w:tcW w:w="16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October 1, 2016</w:t>
            </w:r>
          </w:p>
        </w:tc>
        <w:tc>
          <w:tcPr>
            <w:tcW w:w="14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6"/>
              </w:rPr>
              <w:t>October 3, 2015</w:t>
            </w:r>
          </w:p>
        </w:tc>
        <w:tc>
          <w:tcPr>
            <w:tcW w:w="0" w:type="dxa"/>
            <w:vAlign w:val="bottom"/>
          </w:tcPr>
          <w:p>
            <w:pPr>
              <w:spacing w:after="0"/>
              <w:rPr>
                <w:sz w:val="1"/>
                <w:szCs w:val="1"/>
                <w:color w:val="auto"/>
              </w:rPr>
            </w:pPr>
          </w:p>
        </w:tc>
      </w:tr>
      <w:tr>
        <w:trPr>
          <w:trHeight w:val="210"/>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products sold</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96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7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2"/>
        </w:trPr>
        <w:tc>
          <w:tcPr>
            <w:tcW w:w="2340" w:type="dxa"/>
            <w:vAlign w:val="bottom"/>
          </w:tcPr>
          <w:p>
            <w:pPr>
              <w:spacing w:after="0" w:line="201" w:lineRule="exact"/>
              <w:rPr>
                <w:sz w:val="20"/>
                <w:szCs w:val="20"/>
                <w:color w:val="auto"/>
              </w:rPr>
            </w:pPr>
            <w:r>
              <w:rPr>
                <w:rFonts w:ascii="Arial" w:cs="Arial" w:eastAsia="Arial" w:hAnsi="Arial"/>
                <w:sz w:val="18"/>
                <w:szCs w:val="18"/>
                <w:color w:val="auto"/>
              </w:rPr>
              <w:t>Foreign exchange contracts</w:t>
            </w:r>
          </w:p>
        </w:tc>
        <w:tc>
          <w:tcPr>
            <w:tcW w:w="2640" w:type="dxa"/>
            <w:vAlign w:val="bottom"/>
          </w:tcPr>
          <w:p>
            <w:pPr>
              <w:ind w:left="360"/>
              <w:spacing w:after="0" w:line="201" w:lineRule="exact"/>
              <w:rPr>
                <w:sz w:val="20"/>
                <w:szCs w:val="20"/>
                <w:color w:val="auto"/>
              </w:rPr>
            </w:pPr>
            <w:r>
              <w:rPr>
                <w:rFonts w:ascii="Arial" w:cs="Arial" w:eastAsia="Arial" w:hAnsi="Arial"/>
                <w:sz w:val="18"/>
                <w:szCs w:val="18"/>
                <w:color w:val="auto"/>
              </w:rPr>
              <w:t>Marketing, general and</w:t>
            </w: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administrative expense</w:t>
            </w:r>
          </w:p>
        </w:tc>
        <w:tc>
          <w:tcPr>
            <w:tcW w:w="7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(2.8)</w:t>
            </w:r>
          </w:p>
        </w:tc>
        <w:tc>
          <w:tcPr>
            <w:tcW w:w="9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(19.9)</w:t>
            </w:r>
          </w:p>
        </w:tc>
        <w:tc>
          <w:tcPr>
            <w:tcW w:w="6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7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7"/>
        </w:trPr>
        <w:tc>
          <w:tcPr>
            <w:tcW w:w="2340" w:type="dxa"/>
            <w:vAlign w:val="bottom"/>
            <w:tcBorders>
              <w:bottom w:val="single" w:sz="8" w:color="auto"/>
            </w:tcBorders>
            <w:shd w:val="clear" w:color="auto" w:fill="CCEEFF"/>
          </w:tcPr>
          <w:p>
            <w:pPr>
              <w:spacing w:after="0"/>
              <w:rPr>
                <w:sz w:val="18"/>
                <w:szCs w:val="18"/>
                <w:color w:val="auto"/>
              </w:rPr>
            </w:pPr>
          </w:p>
        </w:tc>
        <w:tc>
          <w:tcPr>
            <w:tcW w:w="26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(3.0)</w:t>
            </w:r>
          </w:p>
        </w:tc>
        <w:tc>
          <w:tcPr>
            <w:tcW w:w="960" w:type="dxa"/>
            <w:vAlign w:val="bottom"/>
            <w:tcBorders>
              <w:bottom w:val="single" w:sz="8" w:color="auto"/>
            </w:tcBorders>
            <w:shd w:val="clear" w:color="auto" w:fill="CCEEFF"/>
          </w:tcPr>
          <w:p>
            <w:pPr>
              <w:jc w:val="center"/>
              <w:ind w:left="5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7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derivative instruments that are designated and qualify as cash flow hedges, the effective portion of the gain or loss on the derivative is reported as a component of “Accumulated other comprehensive loss” and reclassified into earnings in the same period(s) during which the hedged transaction impacts earnings. Gains and losses on the derivative, representing either hedge ineffectiveness or hedge components excluded from the assessment of effectiveness, are recognized in current earnings.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Gains (losses) recognized in “Accumulated other comprehensive loss” (effective portion) on derivatives related to cash flow hedge contracts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w w:val="98"/>
              </w:rPr>
              <w:t>Three Months Ended</w:t>
            </w:r>
          </w:p>
        </w:tc>
        <w:tc>
          <w:tcPr>
            <w:tcW w:w="6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w w:val="98"/>
              </w:rPr>
              <w:t>Nine Months Ended</w:t>
            </w:r>
          </w:p>
        </w:tc>
        <w:tc>
          <w:tcPr>
            <w:tcW w:w="680" w:type="dxa"/>
            <w:vAlign w:val="bottom"/>
            <w:tcBorders>
              <w:bottom w:val="single" w:sz="8" w:color="auto"/>
            </w:tcBorders>
          </w:tcPr>
          <w:p>
            <w:pPr>
              <w:spacing w:after="0"/>
              <w:rPr>
                <w:sz w:val="20"/>
                <w:szCs w:val="20"/>
                <w:color w:val="auto"/>
              </w:rPr>
            </w:pPr>
          </w:p>
        </w:tc>
      </w:tr>
      <w:tr>
        <w:trPr>
          <w:trHeight w:val="210"/>
        </w:trPr>
        <w:tc>
          <w:tcPr>
            <w:tcW w:w="4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96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October 1, 2016</w:t>
            </w: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October 3, 2015</w:t>
            </w:r>
          </w:p>
        </w:tc>
        <w:tc>
          <w:tcPr>
            <w:tcW w:w="2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October 1, 2016</w:t>
            </w:r>
          </w:p>
        </w:tc>
        <w:tc>
          <w:tcPr>
            <w:tcW w:w="16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October 3, 2015</w:t>
            </w: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(1.3)</w:t>
            </w:r>
          </w:p>
        </w:tc>
        <w:tc>
          <w:tcPr>
            <w:tcW w:w="9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(3.1)</w:t>
            </w: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Commodity contracts</w:t>
            </w:r>
          </w:p>
        </w:tc>
        <w:tc>
          <w:tcPr>
            <w:tcW w:w="780" w:type="dxa"/>
            <w:vAlign w:val="bottom"/>
          </w:tcPr>
          <w:p>
            <w:pPr>
              <w:spacing w:after="0"/>
              <w:rPr>
                <w:sz w:val="20"/>
                <w:szCs w:val="20"/>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(.2)</w:t>
            </w:r>
          </w:p>
        </w:tc>
        <w:tc>
          <w:tcPr>
            <w:tcW w:w="9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820" w:type="dxa"/>
            <w:vAlign w:val="bottom"/>
          </w:tcPr>
          <w:p>
            <w:pPr>
              <w:spacing w:after="0"/>
              <w:rPr>
                <w:sz w:val="20"/>
                <w:szCs w:val="20"/>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.1</w:t>
            </w:r>
          </w:p>
        </w:tc>
        <w:tc>
          <w:tcPr>
            <w:tcW w:w="9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r>
    </w:tbl>
    <w:p>
      <w:pPr>
        <w:sectPr>
          <w:pgSz w:w="11900" w:h="16925" w:orient="portrait"/>
          <w:cols w:equalWidth="0" w:num="1">
            <w:col w:w="11420"/>
          </w:cols>
          <w:pgMar w:left="240" w:top="121" w:right="239" w:bottom="0" w:gutter="0" w:footer="0" w:header="0"/>
        </w:sectPr>
      </w:pPr>
    </w:p>
    <w:bookmarkStart w:id="9" w:name="page10"/>
    <w:bookmarkEnd w:id="9"/>
    <w:p>
      <w:pPr>
        <w:ind w:left="4640"/>
        <w:spacing w:after="0"/>
        <w:tabs>
          <w:tab w:leader="none" w:pos="5380" w:val="left"/>
          <w:tab w:leader="none" w:pos="6520" w:val="left"/>
          <w:tab w:leader="none" w:pos="7320" w:val="left"/>
          <w:tab w:leader="none" w:pos="8400" w:val="left"/>
          <w:tab w:leader="none" w:pos="9120" w:val="left"/>
          <w:tab w:leader="none" w:pos="10280" w:val="left"/>
          <w:tab w:leader="none" w:pos="11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amount of gain or loss recognized in income related to the ineffective portion of, and the amount excluded from, effectiveness testing for cash flow hedges and derivatives not designated as hedging instruments was not material for the three and nine months ended October 1, 2016 and October 3, 2015, respectively.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October 1, 2016, we expected a net loss of approximately $2 million to be reclassified from “Accumulated other comprehensive loss” to earnings within the next 12 months. See Note 13, “Comprehensive Income,” for more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Taxes Based on Income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income from continuing operations before taxes, provision for income taxes from continuing operations, and effective tax rate: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c>
          <w:tcPr>
            <w:tcW w:w="6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Nine Months Ended</w:t>
            </w:r>
          </w:p>
        </w:tc>
        <w:tc>
          <w:tcPr>
            <w:tcW w:w="840" w:type="dxa"/>
            <w:vAlign w:val="bottom"/>
            <w:tcBorders>
              <w:bottom w:val="single" w:sz="8" w:color="auto"/>
            </w:tcBorders>
          </w:tcPr>
          <w:p>
            <w:pPr>
              <w:spacing w:after="0"/>
              <w:rPr>
                <w:sz w:val="20"/>
                <w:szCs w:val="20"/>
                <w:color w:val="auto"/>
              </w:rPr>
            </w:pPr>
          </w:p>
        </w:tc>
      </w:tr>
      <w:tr>
        <w:trPr>
          <w:trHeight w:val="210"/>
        </w:trPr>
        <w:tc>
          <w:tcPr>
            <w:tcW w:w="4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94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October 1, 2016</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October 3, 2015</w:t>
            </w:r>
          </w:p>
        </w:tc>
        <w:tc>
          <w:tcPr>
            <w:tcW w:w="3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October 1, 2016</w:t>
            </w:r>
          </w:p>
        </w:tc>
        <w:tc>
          <w:tcPr>
            <w:tcW w:w="16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October 3, 2015</w:t>
            </w: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taxes</w:t>
            </w: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128.0</w:t>
            </w:r>
          </w:p>
        </w:tc>
        <w:tc>
          <w:tcPr>
            <w:tcW w:w="8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116.1</w:t>
            </w:r>
          </w:p>
        </w:tc>
        <w:tc>
          <w:tcPr>
            <w:tcW w:w="7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350.8</w:t>
            </w:r>
          </w:p>
        </w:tc>
        <w:tc>
          <w:tcPr>
            <w:tcW w:w="8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317.4</w:t>
            </w:r>
          </w:p>
        </w:tc>
      </w:tr>
      <w:tr>
        <w:trPr>
          <w:trHeight w:val="216"/>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7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38.9</w:t>
            </w:r>
          </w:p>
        </w:tc>
        <w:tc>
          <w:tcPr>
            <w:tcW w:w="8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34.8</w:t>
            </w:r>
          </w:p>
        </w:tc>
        <w:tc>
          <w:tcPr>
            <w:tcW w:w="7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92.1</w:t>
            </w:r>
          </w:p>
        </w:tc>
        <w:tc>
          <w:tcPr>
            <w:tcW w:w="8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99.5</w:t>
            </w:r>
          </w:p>
        </w:tc>
      </w:tr>
      <w:tr>
        <w:trPr>
          <w:trHeight w:val="217"/>
        </w:trPr>
        <w:tc>
          <w:tcPr>
            <w:tcW w:w="4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7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30.4%</w:t>
            </w:r>
          </w:p>
        </w:tc>
        <w:tc>
          <w:tcPr>
            <w:tcW w:w="8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w:t>
            </w:r>
          </w:p>
        </w:tc>
        <w:tc>
          <w:tcPr>
            <w:tcW w:w="7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26.3%</w:t>
            </w:r>
          </w:p>
        </w:tc>
        <w:tc>
          <w:tcPr>
            <w:tcW w:w="8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effective tax rate for continuing operations for the three and nine months ended October 1, 2016 reflected the impact of favorable geographic mixture of pretax income and included the following: $4.8 million and $3.1 million of tax expense, respectively, resulting from return to provision adjustments pursuant to the completion of the 2015 U.S. federal tax return; $1 million and $7.1 million of tax benefit, respectively, from our change in judgment about tax filing positions in certain foreign jurisdictions as a result of new information gained from our interactions with tax authorities; and $17.7 million and $26.9 million of tax expense, respectively, associated with the tax cost to repatriate non-permanently reinvested earnings of certain foreign subsidiaries. The effective tax rate for the three and nine months ended October 1, 2016 also included $11.1 million of tax benefit resulting from effective settlements of tax examinations in various foreign jurisdictions. Included in the $11.1 million of tax benefit is an effective settlement for certain members of a consolidated tax group under examination. Additionally, the effective tax rate for the nine months ended October 1, 2016 included $6.7 million of tax benefit from the release of valuation allowances against certain deferred tax assets in a foreign jurisdiction associated with a structural simplification approved by the tax authority and $3.3 million of tax benefit due to decreases in certain tax reserves as a result of closing tax years.</w:t>
      </w:r>
    </w:p>
    <w:p>
      <w:pPr>
        <w:spacing w:after="0" w:line="178"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effective tax rate for the nine months ended October 1, 2016 compared to the effective tax rate for the nine months ended October 3, 2015 was impacted by favorable effective settlements in various foreign jurisdictions, favorable geographic mixture of pretax income, and a tax benefit from the release of valuation allowances against deferred tax assets.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effective tax rate for continuing operations for the three and nine months ended October 3, 2015 included $4.2 million of tax benefit resulting from return to provision adjustments pursuant to the completion of the 2014 U.S. federal tax return and $.9 million of tax benefit from a favorable foreign tax law change. Additionally, the effective tax rate for the nine months ended October 3, 2015 included $1.6 million of net tax benefit related to changes in the effective tax rates in certain foreign municipalities; $4.2 million of tax benefit due to decreases in certain tax reserves as a result of closing tax years; and $5.4 million of tax expense associated with the tax cost to repatriate non-permanently reinvested 2015 earnings of certain foreign subsidiaries.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amount of income taxes we pay is subject to ongoing audits by taxing jurisdictions around the world. Our estimate of the potential outcome of any uncertain tax issue is subject to our assessment of the relevant risks, facts, and circumstances existing at the time. We believe that we have adequately provided for reasonably foreseeable outcomes related to these matters. However, our future results may include favorable or unfavorable adjustments to our estimated tax liabilities in the period the assessments are made or resolved, which may impact our effective tax rate. With some exceptions, we and our subsidiaries are no longer subject to income tax examinations by tax authorities for years prior to 2006.</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reasonably possible that, during the next 12 months, we may realize a decrease in our uncertain tax positions, including interest and penalties, of approximately $26 million, primarily as a result of audit settlements and closing tax years.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r>
              <w:rPr>
                <w:rFonts w:ascii="Arial" w:cs="Arial" w:eastAsia="Arial" w:hAnsi="Arial"/>
                <w:sz w:val="18"/>
                <w:szCs w:val="18"/>
                <w:b w:val="1"/>
                <w:bCs w:val="1"/>
                <w:color w:val="auto"/>
              </w:rPr>
              <w:t>Note 12. Net Income Per Common Share</w:t>
            </w:r>
          </w:p>
        </w:tc>
        <w:tc>
          <w:tcPr>
            <w:tcW w:w="6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32"/>
        </w:trPr>
        <w:tc>
          <w:tcPr>
            <w:tcW w:w="4420" w:type="dxa"/>
            <w:vAlign w:val="bottom"/>
          </w:tcPr>
          <w:p>
            <w:pPr>
              <w:spacing w:after="0"/>
              <w:rPr>
                <w:sz w:val="20"/>
                <w:szCs w:val="20"/>
                <w:color w:val="auto"/>
              </w:rPr>
            </w:pPr>
            <w:r>
              <w:rPr>
                <w:rFonts w:ascii="Arial" w:cs="Arial" w:eastAsia="Arial" w:hAnsi="Arial"/>
                <w:sz w:val="18"/>
                <w:szCs w:val="18"/>
                <w:color w:val="auto"/>
                <w:w w:val="96"/>
              </w:rPr>
              <w:t>Net income per common share was computed as follows:</w:t>
            </w: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32"/>
        </w:trPr>
        <w:tc>
          <w:tcPr>
            <w:tcW w:w="44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c>
          <w:tcPr>
            <w:tcW w:w="7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Nine Months Ended</w:t>
            </w:r>
          </w:p>
        </w:tc>
        <w:tc>
          <w:tcPr>
            <w:tcW w:w="720" w:type="dxa"/>
            <w:vAlign w:val="bottom"/>
            <w:tcBorders>
              <w:bottom w:val="single" w:sz="8" w:color="auto"/>
            </w:tcBorders>
          </w:tcPr>
          <w:p>
            <w:pPr>
              <w:spacing w:after="0"/>
              <w:rPr>
                <w:sz w:val="24"/>
                <w:szCs w:val="24"/>
                <w:color w:val="auto"/>
              </w:rPr>
            </w:pPr>
          </w:p>
        </w:tc>
      </w:tr>
      <w:tr>
        <w:trPr>
          <w:trHeight w:val="210"/>
        </w:trPr>
        <w:tc>
          <w:tcPr>
            <w:tcW w:w="4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 except per share amounts)</w:t>
            </w:r>
          </w:p>
        </w:tc>
        <w:tc>
          <w:tcPr>
            <w:tcW w:w="178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October 1, 2016</w:t>
            </w:r>
          </w:p>
        </w:tc>
        <w:tc>
          <w:tcPr>
            <w:tcW w:w="16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October 3, 2015</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October 1, 2016</w:t>
            </w:r>
          </w:p>
        </w:tc>
        <w:tc>
          <w:tcPr>
            <w:tcW w:w="16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October 3, 2015</w:t>
            </w: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 Income from continuing operations</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89.1</w:t>
            </w:r>
          </w:p>
        </w:tc>
        <w:tc>
          <w:tcPr>
            <w:tcW w:w="9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81.3</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258.7</w:t>
            </w:r>
          </w:p>
        </w:tc>
        <w:tc>
          <w:tcPr>
            <w:tcW w:w="8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217.9</w:t>
            </w:r>
          </w:p>
        </w:tc>
      </w:tr>
      <w:tr>
        <w:trPr>
          <w:trHeight w:val="216"/>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 Income (loss) from discontinued operations</w:t>
            </w:r>
          </w:p>
        </w:tc>
        <w:tc>
          <w:tcPr>
            <w:tcW w:w="6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10"/>
        </w:trPr>
        <w:tc>
          <w:tcPr>
            <w:tcW w:w="4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 Net income available to common shareholders</w:t>
            </w:r>
          </w:p>
        </w:tc>
        <w:tc>
          <w:tcPr>
            <w:tcW w:w="6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89.1</w:t>
            </w:r>
          </w:p>
        </w:tc>
        <w:tc>
          <w:tcPr>
            <w:tcW w:w="92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81.7</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258.7</w:t>
            </w:r>
          </w:p>
        </w:tc>
        <w:tc>
          <w:tcPr>
            <w:tcW w:w="8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217.3</w:t>
            </w:r>
          </w:p>
        </w:tc>
      </w:tr>
      <w:tr>
        <w:trPr>
          <w:trHeight w:val="195"/>
        </w:trPr>
        <w:tc>
          <w:tcPr>
            <w:tcW w:w="4420" w:type="dxa"/>
            <w:vAlign w:val="bottom"/>
          </w:tcPr>
          <w:p>
            <w:pPr>
              <w:spacing w:after="0" w:line="195" w:lineRule="exact"/>
              <w:rPr>
                <w:sz w:val="20"/>
                <w:szCs w:val="20"/>
                <w:color w:val="auto"/>
              </w:rPr>
            </w:pPr>
            <w:r>
              <w:rPr>
                <w:rFonts w:ascii="Arial" w:cs="Arial" w:eastAsia="Arial" w:hAnsi="Arial"/>
                <w:sz w:val="18"/>
                <w:szCs w:val="18"/>
                <w:color w:val="auto"/>
              </w:rPr>
              <w:t>(D) Weighted average number of common shares</w:t>
            </w:r>
          </w:p>
        </w:tc>
        <w:tc>
          <w:tcPr>
            <w:tcW w:w="6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0"/>
        </w:trPr>
        <w:tc>
          <w:tcPr>
            <w:tcW w:w="442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620" w:type="dxa"/>
            <w:vAlign w:val="bottom"/>
          </w:tcPr>
          <w:p>
            <w:pPr>
              <w:spacing w:after="0"/>
              <w:rPr>
                <w:sz w:val="20"/>
                <w:szCs w:val="20"/>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89.1</w:t>
            </w:r>
          </w:p>
        </w:tc>
        <w:tc>
          <w:tcPr>
            <w:tcW w:w="92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91.5</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89.2</w:t>
            </w:r>
          </w:p>
        </w:tc>
        <w:tc>
          <w:tcPr>
            <w:tcW w:w="88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91.1</w:t>
            </w:r>
          </w:p>
        </w:tc>
      </w:tr>
      <w:tr>
        <w:trPr>
          <w:trHeight w:val="202"/>
        </w:trPr>
        <w:tc>
          <w:tcPr>
            <w:tcW w:w="442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9"/>
              </w:rPr>
              <w:t>Dilutive shares (additional common shares issuable</w:t>
            </w:r>
          </w:p>
        </w:tc>
        <w:tc>
          <w:tcPr>
            <w:tcW w:w="6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44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under stock-based awards)</w:t>
            </w:r>
          </w:p>
        </w:tc>
        <w:tc>
          <w:tcPr>
            <w:tcW w:w="6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1.5</w:t>
            </w:r>
          </w:p>
        </w:tc>
        <w:tc>
          <w:tcPr>
            <w:tcW w:w="9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1.7</w:t>
            </w:r>
          </w:p>
        </w:tc>
        <w:tc>
          <w:tcPr>
            <w:tcW w:w="8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195"/>
        </w:trPr>
        <w:tc>
          <w:tcPr>
            <w:tcW w:w="4420" w:type="dxa"/>
            <w:vAlign w:val="bottom"/>
          </w:tcPr>
          <w:p>
            <w:pPr>
              <w:spacing w:after="0" w:line="195" w:lineRule="exact"/>
              <w:rPr>
                <w:sz w:val="20"/>
                <w:szCs w:val="20"/>
                <w:color w:val="auto"/>
              </w:rPr>
            </w:pPr>
            <w:r>
              <w:rPr>
                <w:rFonts w:ascii="Arial" w:cs="Arial" w:eastAsia="Arial" w:hAnsi="Arial"/>
                <w:sz w:val="18"/>
                <w:szCs w:val="18"/>
                <w:color w:val="auto"/>
              </w:rPr>
              <w:t>(E) Weighted average number of common shares</w:t>
            </w:r>
          </w:p>
        </w:tc>
        <w:tc>
          <w:tcPr>
            <w:tcW w:w="6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0"/>
        </w:trPr>
        <w:tc>
          <w:tcPr>
            <w:tcW w:w="44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outstanding, assuming dilution</w:t>
            </w:r>
          </w:p>
        </w:tc>
        <w:tc>
          <w:tcPr>
            <w:tcW w:w="6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90.6</w:t>
            </w:r>
          </w:p>
        </w:tc>
        <w:tc>
          <w:tcPr>
            <w:tcW w:w="9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93.2</w:t>
            </w: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90.9</w:t>
            </w:r>
          </w:p>
        </w:tc>
        <w:tc>
          <w:tcPr>
            <w:tcW w:w="8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92.9</w:t>
            </w: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Continuing operations (A) ÷ (D)</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1.00</w:t>
            </w:r>
          </w:p>
        </w:tc>
        <w:tc>
          <w:tcPr>
            <w:tcW w:w="9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18"/>
                <w:szCs w:val="18"/>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2.90</w:t>
            </w: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2.39</w:t>
            </w:r>
          </w:p>
        </w:tc>
      </w:tr>
      <w:tr>
        <w:trPr>
          <w:trHeight w:val="216"/>
        </w:trPr>
        <w:tc>
          <w:tcPr>
            <w:tcW w:w="44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 (B) ÷ (D)</w:t>
            </w:r>
          </w:p>
        </w:tc>
        <w:tc>
          <w:tcPr>
            <w:tcW w:w="6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420"/>
          </w:cols>
          <w:pgMar w:left="240" w:top="139"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per common share (C) ÷ (D)</w:t>
            </w: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1.00</w:t>
            </w: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.89</w:t>
            </w: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2.90</w:t>
            </w: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w:t>
            </w: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income (loss) per common share, assuming dilution:</w:t>
            </w: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Continuing operations (A) ÷ (E)</w:t>
            </w: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.98</w:t>
            </w:r>
          </w:p>
        </w:tc>
        <w:tc>
          <w:tcPr>
            <w:tcW w:w="8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.87</w:t>
            </w: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2.85</w:t>
            </w: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2.35</w:t>
            </w:r>
          </w:p>
        </w:tc>
      </w:tr>
      <w:tr>
        <w:trPr>
          <w:trHeight w:val="216"/>
        </w:trPr>
        <w:tc>
          <w:tcPr>
            <w:tcW w:w="44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 (B) ÷ (E)</w:t>
            </w:r>
          </w:p>
        </w:tc>
        <w:tc>
          <w:tcPr>
            <w:tcW w:w="8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.01</w:t>
            </w:r>
          </w:p>
        </w:tc>
        <w:tc>
          <w:tcPr>
            <w:tcW w:w="8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195"/>
        </w:trPr>
        <w:tc>
          <w:tcPr>
            <w:tcW w:w="4420" w:type="dxa"/>
            <w:vAlign w:val="bottom"/>
          </w:tcPr>
          <w:p>
            <w:pPr>
              <w:spacing w:after="0" w:line="195" w:lineRule="exact"/>
              <w:rPr>
                <w:sz w:val="20"/>
                <w:szCs w:val="20"/>
                <w:color w:val="auto"/>
              </w:rPr>
            </w:pPr>
            <w:r>
              <w:rPr>
                <w:rFonts w:ascii="Arial" w:cs="Arial" w:eastAsia="Arial" w:hAnsi="Arial"/>
                <w:sz w:val="18"/>
                <w:szCs w:val="18"/>
                <w:color w:val="auto"/>
                <w:w w:val="99"/>
              </w:rPr>
              <w:t>Net income per common share, assuming dilution (C) ÷</w:t>
            </w: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7"/>
        </w:trPr>
        <w:tc>
          <w:tcPr>
            <w:tcW w:w="44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(E)</w:t>
            </w: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.98</w:t>
            </w: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.88</w:t>
            </w: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2.85</w:t>
            </w: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2.34</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stock-based compensation awards were not included in the computation of net income per common share, assuming dilution, because they would not have had a dilutive effect. Stock-based compensation awards excluded from the computation totaled approximately .1 million shares and .2 million shares for the three and nine months ended October 1, 2016, respectively, and approximately .5 million and 1 million shares for the three and nine months ended October 3, 2015, respectively.</w:t>
      </w:r>
    </w:p>
    <w:p>
      <w:pPr>
        <w:spacing w:after="0" w:line="18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“Accumulated other comprehensive loss” (net of tax) for the nine months ended October 1, 2016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Pension and</w:t>
            </w: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Foreign</w:t>
            </w:r>
          </w:p>
        </w:tc>
        <w:tc>
          <w:tcPr>
            <w:tcW w:w="6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Other</w:t>
            </w: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Currency</w:t>
            </w:r>
          </w:p>
        </w:tc>
        <w:tc>
          <w:tcPr>
            <w:tcW w:w="17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Postretirement</w:t>
            </w:r>
          </w:p>
        </w:tc>
        <w:tc>
          <w:tcPr>
            <w:tcW w:w="420" w:type="dxa"/>
            <w:vAlign w:val="bottom"/>
          </w:tcPr>
          <w:p>
            <w:pPr>
              <w:spacing w:after="0"/>
              <w:rPr>
                <w:sz w:val="18"/>
                <w:szCs w:val="18"/>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b w:val="1"/>
                <w:bCs w:val="1"/>
                <w:color w:val="auto"/>
                <w:w w:val="91"/>
              </w:rPr>
              <w:t>Cash Flow</w:t>
            </w: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4"/>
        </w:trPr>
        <w:tc>
          <w:tcPr>
            <w:tcW w:w="5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6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Translation</w:t>
            </w:r>
          </w:p>
        </w:tc>
        <w:tc>
          <w:tcPr>
            <w:tcW w:w="6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Benefits</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Hedges</w:t>
            </w:r>
          </w:p>
        </w:tc>
        <w:tc>
          <w:tcPr>
            <w:tcW w:w="6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2, 2016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(158.9)</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(521.6)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(2.5)</w:t>
            </w: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(683.0)</w:t>
            </w:r>
          </w:p>
        </w:tc>
      </w:tr>
      <w:tr>
        <w:trPr>
          <w:trHeight w:val="202"/>
        </w:trPr>
        <w:tc>
          <w:tcPr>
            <w:tcW w:w="5040" w:type="dxa"/>
            <w:vAlign w:val="bottom"/>
          </w:tcPr>
          <w:p>
            <w:pPr>
              <w:spacing w:after="0" w:line="201" w:lineRule="exact"/>
              <w:rPr>
                <w:sz w:val="20"/>
                <w:szCs w:val="20"/>
                <w:color w:val="auto"/>
              </w:rPr>
            </w:pPr>
            <w:r>
              <w:rPr>
                <w:rFonts w:ascii="Arial" w:cs="Arial" w:eastAsia="Arial" w:hAnsi="Arial"/>
                <w:sz w:val="18"/>
                <w:szCs w:val="18"/>
                <w:color w:val="auto"/>
                <w:w w:val="98"/>
              </w:rPr>
              <w:t>Other comprehensive income (loss) before reclassifications, net</w:t>
            </w:r>
          </w:p>
        </w:tc>
        <w:tc>
          <w:tcPr>
            <w:tcW w:w="540" w:type="dxa"/>
            <w:vAlign w:val="bottom"/>
          </w:tcPr>
          <w:p>
            <w:pPr>
              <w:spacing w:after="0"/>
              <w:rPr>
                <w:sz w:val="17"/>
                <w:szCs w:val="17"/>
                <w:color w:val="auto"/>
              </w:rPr>
            </w:pPr>
          </w:p>
        </w:tc>
        <w:tc>
          <w:tcPr>
            <w:tcW w:w="1080" w:type="dxa"/>
            <w:vAlign w:val="bottom"/>
          </w:tcPr>
          <w:p>
            <w:pPr>
              <w:jc w:val="right"/>
              <w:ind w:right="190"/>
              <w:spacing w:after="0" w:line="201" w:lineRule="exact"/>
              <w:rPr>
                <w:sz w:val="20"/>
                <w:szCs w:val="20"/>
                <w:color w:val="auto"/>
              </w:rPr>
            </w:pPr>
            <w:r>
              <w:rPr>
                <w:rFonts w:ascii="Arial" w:cs="Arial" w:eastAsia="Arial" w:hAnsi="Arial"/>
                <w:sz w:val="18"/>
                <w:szCs w:val="18"/>
                <w:color w:val="auto"/>
              </w:rPr>
              <w:t>21.1</w:t>
            </w: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of tax</w:t>
            </w:r>
          </w:p>
        </w:tc>
        <w:tc>
          <w:tcPr>
            <w:tcW w:w="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(46.7)</w:t>
            </w:r>
          </w:p>
        </w:tc>
        <w:tc>
          <w:tcPr>
            <w:tcW w:w="420" w:type="dxa"/>
            <w:vAlign w:val="bottom"/>
          </w:tcPr>
          <w:p>
            <w:pPr>
              <w:spacing w:after="0"/>
              <w:rPr>
                <w:sz w:val="20"/>
                <w:szCs w:val="20"/>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(2.2)</w:t>
            </w:r>
          </w:p>
        </w:tc>
        <w:tc>
          <w:tcPr>
            <w:tcW w:w="6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216"/>
        </w:trPr>
        <w:tc>
          <w:tcPr>
            <w:tcW w:w="5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Reclassifications to net income, net of tax</w:t>
            </w:r>
          </w:p>
        </w:tc>
        <w:tc>
          <w:tcPr>
            <w:tcW w:w="5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39.8</w:t>
            </w:r>
          </w:p>
        </w:tc>
        <w:tc>
          <w:tcPr>
            <w:tcW w:w="4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2.0</w:t>
            </w:r>
          </w:p>
        </w:tc>
        <w:tc>
          <w:tcPr>
            <w:tcW w:w="6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41.8</w:t>
            </w:r>
          </w:p>
        </w:tc>
      </w:tr>
      <w:tr>
        <w:trPr>
          <w:trHeight w:val="210"/>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Net current-period other comprehensive income (loss), net of tax</w:t>
            </w:r>
          </w:p>
        </w:tc>
        <w:tc>
          <w:tcPr>
            <w:tcW w:w="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21.1</w:t>
            </w:r>
          </w:p>
        </w:tc>
        <w:tc>
          <w:tcPr>
            <w:tcW w:w="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(6.9)</w:t>
            </w: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w:t>
            </w:r>
          </w:p>
        </w:tc>
        <w:tc>
          <w:tcPr>
            <w:tcW w:w="6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w:t>
            </w:r>
          </w:p>
        </w:tc>
      </w:tr>
      <w:tr>
        <w:trPr>
          <w:trHeight w:val="217"/>
        </w:trPr>
        <w:tc>
          <w:tcPr>
            <w:tcW w:w="5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October 1, 2016</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(137.8)</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(528.5)</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(2.7)</w:t>
            </w:r>
          </w:p>
        </w:tc>
        <w:tc>
          <w:tcPr>
            <w:tcW w:w="6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“Accumulated other comprehensive loss” (net of tax) for the nine months ended October 3, 2015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Pension and</w:t>
            </w: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auto"/>
              </w:rPr>
              <w:t>Foreign</w:t>
            </w:r>
          </w:p>
        </w:tc>
        <w:tc>
          <w:tcPr>
            <w:tcW w:w="6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Other</w:t>
            </w: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Currency</w:t>
            </w:r>
          </w:p>
        </w:tc>
        <w:tc>
          <w:tcPr>
            <w:tcW w:w="17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Postretirement</w:t>
            </w:r>
          </w:p>
        </w:tc>
        <w:tc>
          <w:tcPr>
            <w:tcW w:w="420" w:type="dxa"/>
            <w:vAlign w:val="bottom"/>
          </w:tcPr>
          <w:p>
            <w:pPr>
              <w:spacing w:after="0"/>
              <w:rPr>
                <w:sz w:val="18"/>
                <w:szCs w:val="18"/>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b w:val="1"/>
                <w:bCs w:val="1"/>
                <w:color w:val="auto"/>
                <w:w w:val="91"/>
              </w:rPr>
              <w:t>Cash Flow</w:t>
            </w: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4"/>
        </w:trPr>
        <w:tc>
          <w:tcPr>
            <w:tcW w:w="5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6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Translation</w:t>
            </w:r>
          </w:p>
        </w:tc>
        <w:tc>
          <w:tcPr>
            <w:tcW w:w="6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Benefits</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Hedges</w:t>
            </w:r>
          </w:p>
        </w:tc>
        <w:tc>
          <w:tcPr>
            <w:tcW w:w="6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 2015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(19.9)</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(525.6)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(545.5)</w:t>
            </w:r>
          </w:p>
        </w:tc>
      </w:tr>
      <w:tr>
        <w:trPr>
          <w:trHeight w:val="202"/>
        </w:trPr>
        <w:tc>
          <w:tcPr>
            <w:tcW w:w="5040" w:type="dxa"/>
            <w:vAlign w:val="bottom"/>
          </w:tcPr>
          <w:p>
            <w:pPr>
              <w:spacing w:after="0" w:line="201" w:lineRule="exact"/>
              <w:rPr>
                <w:sz w:val="20"/>
                <w:szCs w:val="20"/>
                <w:color w:val="auto"/>
              </w:rPr>
            </w:pPr>
            <w:r>
              <w:rPr>
                <w:rFonts w:ascii="Arial" w:cs="Arial" w:eastAsia="Arial" w:hAnsi="Arial"/>
                <w:sz w:val="18"/>
                <w:szCs w:val="18"/>
                <w:color w:val="auto"/>
                <w:w w:val="98"/>
              </w:rPr>
              <w:t>Other comprehensive (loss) income before reclassifications, net</w:t>
            </w: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of tax</w:t>
            </w:r>
          </w:p>
        </w:tc>
        <w:tc>
          <w:tcPr>
            <w:tcW w:w="520" w:type="dxa"/>
            <w:vAlign w:val="bottom"/>
          </w:tcPr>
          <w:p>
            <w:pPr>
              <w:spacing w:after="0"/>
              <w:rPr>
                <w:sz w:val="20"/>
                <w:szCs w:val="20"/>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(129.6)</w:t>
            </w:r>
          </w:p>
        </w:tc>
        <w:tc>
          <w:tcPr>
            <w:tcW w:w="620" w:type="dxa"/>
            <w:vAlign w:val="bottom"/>
          </w:tcPr>
          <w:p>
            <w:pPr>
              <w:spacing w:after="0"/>
              <w:rPr>
                <w:sz w:val="20"/>
                <w:szCs w:val="20"/>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20"/>
                <w:szCs w:val="20"/>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(129.5)</w:t>
            </w:r>
          </w:p>
        </w:tc>
      </w:tr>
      <w:tr>
        <w:trPr>
          <w:trHeight w:val="216"/>
        </w:trPr>
        <w:tc>
          <w:tcPr>
            <w:tcW w:w="5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Reclassifications to net income, net of tax</w:t>
            </w:r>
          </w:p>
        </w:tc>
        <w:tc>
          <w:tcPr>
            <w:tcW w:w="5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18.2</w:t>
            </w:r>
          </w:p>
        </w:tc>
        <w:tc>
          <w:tcPr>
            <w:tcW w:w="4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(1.4)</w:t>
            </w:r>
          </w:p>
        </w:tc>
        <w:tc>
          <w:tcPr>
            <w:tcW w:w="6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r>
      <w:tr>
        <w:trPr>
          <w:trHeight w:val="210"/>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Net current-period other comprehensive (loss) income, net of tax</w:t>
            </w:r>
          </w:p>
        </w:tc>
        <w:tc>
          <w:tcPr>
            <w:tcW w:w="5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(129.6)</w:t>
            </w:r>
          </w:p>
        </w:tc>
        <w:tc>
          <w:tcPr>
            <w:tcW w:w="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17.7</w:t>
            </w: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c>
          <w:tcPr>
            <w:tcW w:w="6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w:t>
            </w:r>
          </w:p>
        </w:tc>
      </w:tr>
      <w:tr>
        <w:trPr>
          <w:trHeight w:val="217"/>
        </w:trPr>
        <w:tc>
          <w:tcPr>
            <w:tcW w:w="5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October 3, 2015</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(149.5)</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(507.9)</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(.8)</w:t>
            </w:r>
          </w:p>
        </w:tc>
        <w:tc>
          <w:tcPr>
            <w:tcW w:w="6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amounts reclassified from “Accumulated other comprehensive loss” to increase (decrease) income from continuing operations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900" w:type="dxa"/>
            <w:vAlign w:val="bottom"/>
            <w:gridSpan w:val="6"/>
          </w:tcPr>
          <w:p>
            <w:pPr>
              <w:jc w:val="right"/>
              <w:spacing w:after="0"/>
              <w:rPr>
                <w:sz w:val="20"/>
                <w:szCs w:val="20"/>
                <w:color w:val="auto"/>
              </w:rPr>
            </w:pPr>
            <w:r>
              <w:rPr>
                <w:rFonts w:ascii="Arial" w:cs="Arial" w:eastAsia="Arial" w:hAnsi="Arial"/>
                <w:sz w:val="18"/>
                <w:szCs w:val="18"/>
                <w:b w:val="1"/>
                <w:bCs w:val="1"/>
                <w:color w:val="auto"/>
              </w:rPr>
              <w:t>Amounts Reclassified from Accumulated</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5"/>
          </w:tcPr>
          <w:p>
            <w:pPr>
              <w:jc w:val="right"/>
              <w:ind w:right="470"/>
              <w:spacing w:after="0"/>
              <w:rPr>
                <w:sz w:val="20"/>
                <w:szCs w:val="20"/>
                <w:color w:val="auto"/>
              </w:rPr>
            </w:pPr>
            <w:r>
              <w:rPr>
                <w:rFonts w:ascii="Arial" w:cs="Arial" w:eastAsia="Arial" w:hAnsi="Arial"/>
                <w:sz w:val="18"/>
                <w:szCs w:val="18"/>
                <w:b w:val="1"/>
                <w:bCs w:val="1"/>
                <w:color w:val="auto"/>
              </w:rPr>
              <w:t>Other Comprehensive Loss</w:t>
            </w:r>
          </w:p>
        </w:tc>
        <w:tc>
          <w:tcPr>
            <w:tcW w:w="7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2"/>
              </w:rPr>
              <w:t>Three Months Ended</w:t>
            </w:r>
          </w:p>
        </w:tc>
        <w:tc>
          <w:tcPr>
            <w:tcW w:w="4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Nine Months Ended</w:t>
            </w:r>
          </w:p>
        </w:tc>
        <w:tc>
          <w:tcPr>
            <w:tcW w:w="4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Affected Line Item</w:t>
            </w:r>
          </w:p>
        </w:tc>
        <w:tc>
          <w:tcPr>
            <w:tcW w:w="0" w:type="dxa"/>
            <w:vAlign w:val="bottom"/>
          </w:tcPr>
          <w:p>
            <w:pPr>
              <w:spacing w:after="0"/>
              <w:rPr>
                <w:sz w:val="1"/>
                <w:szCs w:val="1"/>
                <w:color w:val="auto"/>
              </w:rPr>
            </w:pPr>
          </w:p>
        </w:tc>
      </w:tr>
      <w:tr>
        <w:trPr>
          <w:trHeight w:val="178"/>
        </w:trPr>
        <w:tc>
          <w:tcPr>
            <w:tcW w:w="3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tcPr>
          <w:p>
            <w:pPr>
              <w:ind w:left="100"/>
              <w:spacing w:after="0"/>
              <w:rPr>
                <w:sz w:val="20"/>
                <w:szCs w:val="20"/>
                <w:color w:val="auto"/>
              </w:rPr>
            </w:pPr>
            <w:r>
              <w:rPr>
                <w:rFonts w:ascii="Arial" w:cs="Arial" w:eastAsia="Arial" w:hAnsi="Arial"/>
                <w:sz w:val="18"/>
                <w:szCs w:val="18"/>
                <w:b w:val="1"/>
                <w:bCs w:val="1"/>
                <w:color w:val="auto"/>
              </w:rPr>
              <w:t>in the Statements</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tcPr>
          <w:p>
            <w:pPr>
              <w:ind w:left="100"/>
              <w:spacing w:after="0"/>
              <w:rPr>
                <w:sz w:val="20"/>
                <w:szCs w:val="20"/>
                <w:color w:val="auto"/>
              </w:rPr>
            </w:pPr>
            <w:r>
              <w:rPr>
                <w:rFonts w:ascii="Arial" w:cs="Arial" w:eastAsia="Arial" w:hAnsi="Arial"/>
                <w:sz w:val="18"/>
                <w:szCs w:val="18"/>
                <w:b w:val="1"/>
                <w:bCs w:val="1"/>
                <w:color w:val="auto"/>
              </w:rPr>
              <w:t>Where Net Income</w:t>
            </w:r>
          </w:p>
        </w:tc>
        <w:tc>
          <w:tcPr>
            <w:tcW w:w="0" w:type="dxa"/>
            <w:vAlign w:val="bottom"/>
          </w:tcPr>
          <w:p>
            <w:pPr>
              <w:spacing w:after="0"/>
              <w:rPr>
                <w:sz w:val="1"/>
                <w:szCs w:val="1"/>
                <w:color w:val="auto"/>
              </w:rPr>
            </w:pPr>
          </w:p>
        </w:tc>
      </w:tr>
      <w:tr>
        <w:trPr>
          <w:trHeight w:val="234"/>
        </w:trPr>
        <w:tc>
          <w:tcPr>
            <w:tcW w:w="3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5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6"/>
              </w:rPr>
              <w:t>October 1, 2016</w:t>
            </w:r>
          </w:p>
        </w:tc>
        <w:tc>
          <w:tcPr>
            <w:tcW w:w="15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w w:val="98"/>
              </w:rPr>
              <w:t>October 3, 2015</w:t>
            </w:r>
          </w:p>
        </w:tc>
        <w:tc>
          <w:tcPr>
            <w:tcW w:w="14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3"/>
              </w:rPr>
              <w:t>October 1, 2016</w:t>
            </w:r>
          </w:p>
        </w:tc>
        <w:tc>
          <w:tcPr>
            <w:tcW w:w="14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w w:val="92"/>
              </w:rPr>
              <w:t>October 3, 2015</w:t>
            </w:r>
          </w:p>
        </w:tc>
        <w:tc>
          <w:tcPr>
            <w:tcW w:w="24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is Presented</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180"/>
              <w:spacing w:after="0"/>
              <w:rPr>
                <w:sz w:val="20"/>
                <w:szCs w:val="20"/>
                <w:color w:val="auto"/>
              </w:rPr>
            </w:pPr>
            <w:r>
              <w:rPr>
                <w:rFonts w:ascii="Arial" w:cs="Arial" w:eastAsia="Arial" w:hAnsi="Arial"/>
                <w:sz w:val="18"/>
                <w:szCs w:val="18"/>
                <w:color w:val="auto"/>
              </w:rPr>
              <w:t>Foreign exchange contracts</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7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2480" w:type="dxa"/>
            <w:vAlign w:val="bottom"/>
          </w:tcPr>
          <w:p>
            <w:pPr>
              <w:ind w:left="10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Commodity contracts</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2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16"/>
        </w:trPr>
        <w:tc>
          <w:tcPr>
            <w:tcW w:w="30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Interest rate contracts</w:t>
            </w: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9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w:t>
            </w: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7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w:t>
            </w:r>
          </w:p>
        </w:tc>
        <w:tc>
          <w:tcPr>
            <w:tcW w:w="24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16"/>
        </w:trPr>
        <w:tc>
          <w:tcPr>
            <w:tcW w:w="30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w:t>
            </w:r>
          </w:p>
        </w:tc>
        <w:tc>
          <w:tcPr>
            <w:tcW w:w="9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w:t>
            </w: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w:t>
            </w:r>
          </w:p>
        </w:tc>
        <w:tc>
          <w:tcPr>
            <w:tcW w:w="7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w:t>
            </w:r>
          </w:p>
        </w:tc>
        <w:tc>
          <w:tcPr>
            <w:tcW w:w="24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10"/>
        </w:trPr>
        <w:tc>
          <w:tcPr>
            <w:tcW w:w="30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9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7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auto"/>
            </w:tcBorders>
            <w:shd w:val="clear" w:color="auto" w:fill="CCEEFF"/>
          </w:tcPr>
          <w:p>
            <w:pPr>
              <w:spacing w:after="0"/>
              <w:rPr>
                <w:sz w:val="18"/>
                <w:szCs w:val="18"/>
                <w:color w:val="auto"/>
              </w:rPr>
            </w:pPr>
          </w:p>
        </w:tc>
        <w:tc>
          <w:tcPr>
            <w:tcW w:w="24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195"/>
        </w:trPr>
        <w:tc>
          <w:tcPr>
            <w:tcW w:w="3020" w:type="dxa"/>
            <w:vAlign w:val="bottom"/>
          </w:tcPr>
          <w:p>
            <w:pPr>
              <w:spacing w:after="0" w:line="195" w:lineRule="exact"/>
              <w:rPr>
                <w:sz w:val="20"/>
                <w:szCs w:val="20"/>
                <w:color w:val="auto"/>
              </w:rPr>
            </w:pPr>
            <w:r>
              <w:rPr>
                <w:rFonts w:ascii="Arial" w:cs="Arial" w:eastAsia="Arial" w:hAnsi="Arial"/>
                <w:sz w:val="18"/>
                <w:szCs w:val="18"/>
                <w:color w:val="auto"/>
              </w:rPr>
              <w:t>Pension and other postretirement</w:t>
            </w: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180"/>
              <w:spacing w:after="0" w:line="231" w:lineRule="exact"/>
              <w:rPr>
                <w:sz w:val="20"/>
                <w:szCs w:val="20"/>
                <w:color w:val="auto"/>
              </w:rPr>
            </w:pPr>
            <w:r>
              <w:rPr>
                <w:rFonts w:ascii="Arial" w:cs="Arial" w:eastAsia="Arial" w:hAnsi="Arial"/>
                <w:sz w:val="18"/>
                <w:szCs w:val="18"/>
                <w:color w:val="auto"/>
              </w:rPr>
              <w:t>benefits</w:t>
            </w:r>
            <w:r>
              <w:rPr>
                <w:rFonts w:ascii="Arial" w:cs="Arial" w:eastAsia="Arial" w:hAnsi="Arial"/>
                <w:sz w:val="23"/>
                <w:szCs w:val="23"/>
                <w:color w:val="auto"/>
                <w:vertAlign w:val="superscript"/>
              </w:rPr>
              <w:t>(1)</w:t>
            </w:r>
          </w:p>
        </w:tc>
        <w:tc>
          <w:tcPr>
            <w:tcW w:w="58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90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5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(60.3)</w:t>
            </w:r>
          </w:p>
        </w:tc>
        <w:tc>
          <w:tcPr>
            <w:tcW w:w="78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(26.3)</w:t>
            </w: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c>
          <w:tcPr>
            <w:tcW w:w="9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20.5</w:t>
            </w:r>
          </w:p>
        </w:tc>
        <w:tc>
          <w:tcPr>
            <w:tcW w:w="7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80" w:type="dxa"/>
            <w:vAlign w:val="bottom"/>
            <w:tcBorders>
              <w:bottom w:val="single" w:sz="8" w:color="auto"/>
            </w:tcBorders>
            <w:shd w:val="clear" w:color="auto" w:fill="CCEEFF"/>
          </w:tcPr>
          <w:p>
            <w:pPr>
              <w:spacing w:after="0"/>
              <w:rPr>
                <w:sz w:val="18"/>
                <w:szCs w:val="18"/>
                <w:color w:val="auto"/>
              </w:rPr>
            </w:pPr>
          </w:p>
        </w:tc>
        <w:tc>
          <w:tcPr>
            <w:tcW w:w="24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10"/>
        </w:trPr>
        <w:tc>
          <w:tcPr>
            <w:tcW w:w="30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w:t>
            </w:r>
          </w:p>
        </w:tc>
        <w:tc>
          <w:tcPr>
            <w:tcW w:w="9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(5.1)</w:t>
            </w: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7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(18.2)</w:t>
            </w:r>
          </w:p>
        </w:tc>
        <w:tc>
          <w:tcPr>
            <w:tcW w:w="24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17"/>
        </w:trPr>
        <w:tc>
          <w:tcPr>
            <w:tcW w:w="3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reclassifications for the period</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9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7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w:t>
            </w:r>
          </w:p>
        </w:tc>
        <w:tc>
          <w:tcPr>
            <w:tcW w:w="24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Total, net of tax</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See Note 6, “Pension and Other Postretirement Benefits,” for more information.</w:t>
      </w:r>
    </w:p>
    <w:p>
      <w:pPr>
        <w:sectPr>
          <w:pgSz w:w="11900" w:h="16838" w:orient="portrait"/>
          <w:cols w:equalWidth="0" w:num="1">
            <w:col w:w="11420"/>
          </w:cols>
          <w:pgMar w:left="240" w:top="125" w:right="239" w:bottom="244" w:gutter="0" w:footer="0" w:header="0"/>
        </w:sectPr>
      </w:pPr>
    </w:p>
    <w:p>
      <w:pPr>
        <w:spacing w:after="0" w:line="225"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244"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33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00" w:type="dxa"/>
            <w:vAlign w:val="bottom"/>
            <w:gridSpan w:val="4"/>
          </w:tcPr>
          <w:p>
            <w:pPr>
              <w:ind w:left="200"/>
              <w:spacing w:after="0"/>
              <w:rPr>
                <w:sz w:val="20"/>
                <w:szCs w:val="20"/>
                <w:color w:val="auto"/>
              </w:rPr>
            </w:pPr>
            <w:r>
              <w:rPr>
                <w:rFonts w:ascii="Arial" w:cs="Arial" w:eastAsia="Arial" w:hAnsi="Arial"/>
                <w:sz w:val="18"/>
                <w:szCs w:val="18"/>
                <w:color w:val="auto"/>
                <w:w w:val="91"/>
              </w:rPr>
              <w:t>Avery Dennison Corporation</w:t>
            </w:r>
          </w:p>
        </w:tc>
        <w:tc>
          <w:tcPr>
            <w:tcW w:w="0" w:type="dxa"/>
            <w:vAlign w:val="bottom"/>
          </w:tcPr>
          <w:p>
            <w:pPr>
              <w:spacing w:after="0"/>
              <w:rPr>
                <w:sz w:val="1"/>
                <w:szCs w:val="1"/>
                <w:color w:val="auto"/>
              </w:rPr>
            </w:pPr>
          </w:p>
        </w:tc>
      </w:tr>
      <w:tr>
        <w:trPr>
          <w:trHeight w:val="432"/>
        </w:trPr>
        <w:tc>
          <w:tcPr>
            <w:tcW w:w="9920" w:type="dxa"/>
            <w:vAlign w:val="bottom"/>
            <w:gridSpan w:val="15"/>
          </w:tcPr>
          <w:p>
            <w:pPr>
              <w:spacing w:after="0"/>
              <w:rPr>
                <w:sz w:val="20"/>
                <w:szCs w:val="20"/>
                <w:color w:val="auto"/>
              </w:rPr>
            </w:pPr>
            <w:r>
              <w:rPr>
                <w:rFonts w:ascii="Arial" w:cs="Arial" w:eastAsia="Arial" w:hAnsi="Arial"/>
                <w:sz w:val="18"/>
                <w:szCs w:val="18"/>
                <w:color w:val="auto"/>
                <w:w w:val="95"/>
              </w:rPr>
              <w:t xml:space="preserve">The following table sets forth the income tax expense (benefit) allocated to each component of other comprehensive </w:t>
            </w:r>
            <w:r>
              <w:rPr>
                <w:rFonts w:ascii="Arial" w:cs="Arial" w:eastAsia="Arial" w:hAnsi="Arial"/>
                <w:sz w:val="17"/>
                <w:szCs w:val="17"/>
                <w:color w:val="auto"/>
                <w:w w:val="95"/>
              </w:rPr>
              <w:t>income (loss)</w:t>
            </w:r>
            <w:r>
              <w:rPr>
                <w:rFonts w:ascii="Arial" w:cs="Arial" w:eastAsia="Arial" w:hAnsi="Arial"/>
                <w:sz w:val="18"/>
                <w:szCs w:val="18"/>
                <w:color w:val="auto"/>
                <w:w w:val="95"/>
              </w:rPr>
              <w:t>:</w:t>
            </w: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00" w:type="dxa"/>
            <w:vAlign w:val="bottom"/>
            <w:gridSpan w:val="4"/>
          </w:tcPr>
          <w:p>
            <w:pPr>
              <w:ind w:left="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10"/>
        </w:trPr>
        <w:tc>
          <w:tcPr>
            <w:tcW w:w="3320" w:type="dxa"/>
            <w:vAlign w:val="bottom"/>
            <w:gridSpan w:val="3"/>
          </w:tcPr>
          <w:p>
            <w:pPr>
              <w:spacing w:after="0"/>
              <w:rPr>
                <w:sz w:val="20"/>
                <w:szCs w:val="20"/>
                <w:color w:val="auto"/>
              </w:rPr>
            </w:pPr>
            <w:r>
              <w:rPr>
                <w:rFonts w:ascii="Arial" w:cs="Arial" w:eastAsia="Arial" w:hAnsi="Arial"/>
                <w:sz w:val="14"/>
                <w:szCs w:val="14"/>
                <w:color w:val="auto"/>
              </w:rPr>
              <w:t>(In millions)</w:t>
            </w: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October 1, 2016</w:t>
            </w:r>
          </w:p>
        </w:tc>
        <w:tc>
          <w:tcPr>
            <w:tcW w:w="14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October 3, 2015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0"/>
              </w:rPr>
              <w:t>October 1, 2016</w:t>
            </w:r>
          </w:p>
        </w:tc>
        <w:tc>
          <w:tcPr>
            <w:tcW w:w="150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October 3, 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8"/>
              </w:rPr>
              <w:t>Pension and other postretirement benefits</w:t>
            </w:r>
          </w:p>
        </w:tc>
        <w:tc>
          <w:tcPr>
            <w:tcW w:w="1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760" w:type="dxa"/>
            <w:vAlign w:val="bottom"/>
            <w:tcBorders>
              <w:top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flow hedges</w:t>
            </w:r>
          </w:p>
        </w:tc>
        <w:tc>
          <w:tcPr>
            <w:tcW w:w="1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20" w:type="dxa"/>
            <w:vAlign w:val="bottom"/>
            <w:gridSpan w:val="3"/>
            <w:shd w:val="clear" w:color="auto" w:fill="CCEEFF"/>
          </w:tcPr>
          <w:p>
            <w:pPr>
              <w:spacing w:after="0" w:line="195" w:lineRule="exact"/>
              <w:rPr>
                <w:sz w:val="20"/>
                <w:szCs w:val="20"/>
                <w:color w:val="auto"/>
              </w:rPr>
            </w:pPr>
            <w:r>
              <w:rPr>
                <w:rFonts w:ascii="Arial" w:cs="Arial" w:eastAsia="Arial" w:hAnsi="Arial"/>
                <w:sz w:val="18"/>
                <w:szCs w:val="18"/>
                <w:color w:val="auto"/>
                <w:w w:val="93"/>
              </w:rPr>
              <w:t>Income tax expense (benefit) related to components of other</w:t>
            </w: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0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color w:val="auto"/>
              </w:rPr>
              <w:t>comprehensive income (loss)</w:t>
            </w:r>
          </w:p>
        </w:tc>
        <w:tc>
          <w:tcPr>
            <w:tcW w:w="1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4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760" w:type="dxa"/>
            <w:vAlign w:val="bottom"/>
            <w:tcBorders>
              <w:bottom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00" w:type="dxa"/>
            <w:vAlign w:val="bottom"/>
            <w:gridSpan w:val="2"/>
          </w:tcPr>
          <w:p>
            <w:pPr>
              <w:ind w:left="20"/>
              <w:spacing w:after="0"/>
              <w:rPr>
                <w:sz w:val="20"/>
                <w:szCs w:val="20"/>
                <w:color w:val="auto"/>
              </w:rPr>
            </w:pPr>
            <w:r>
              <w:rPr>
                <w:rFonts w:ascii="Arial" w:cs="Arial" w:eastAsia="Arial" w:hAnsi="Arial"/>
                <w:sz w:val="18"/>
                <w:szCs w:val="18"/>
                <w:b w:val="1"/>
                <w:bCs w:val="1"/>
                <w:color w:val="auto"/>
              </w:rPr>
              <w:t>Note 14. Fair Value Measurements</w:t>
            </w: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3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Recurring Fair Value Measurements</w:t>
            </w: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920" w:type="dxa"/>
            <w:vAlign w:val="bottom"/>
            <w:gridSpan w:val="15"/>
          </w:tcPr>
          <w:p>
            <w:pPr>
              <w:spacing w:after="0"/>
              <w:rPr>
                <w:sz w:val="20"/>
                <w:szCs w:val="20"/>
                <w:color w:val="auto"/>
              </w:rPr>
            </w:pPr>
            <w:r>
              <w:rPr>
                <w:rFonts w:ascii="Arial" w:cs="Arial" w:eastAsia="Arial" w:hAnsi="Arial"/>
                <w:sz w:val="18"/>
                <w:szCs w:val="18"/>
                <w:color w:val="auto"/>
                <w:w w:val="97"/>
              </w:rPr>
              <w:t>The following table provides the assets and liabilities carried at fair value, measured on a recurring basis, as of October 1, 2016:</w:t>
            </w: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8"/>
                <w:szCs w:val="18"/>
                <w:b w:val="1"/>
                <w:bCs w:val="1"/>
                <w:color w:val="auto"/>
                <w:w w:val="89"/>
              </w:rPr>
              <w:t>Fair Value Measurements Using</w:t>
            </w:r>
          </w:p>
        </w:tc>
        <w:tc>
          <w:tcPr>
            <w:tcW w:w="5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89"/>
              </w:rPr>
              <w:t>Quoted Prices in</w:t>
            </w:r>
          </w:p>
        </w:tc>
        <w:tc>
          <w:tcPr>
            <w:tcW w:w="340" w:type="dxa"/>
            <w:vAlign w:val="bottom"/>
          </w:tcPr>
          <w:p>
            <w:pPr>
              <w:spacing w:after="0"/>
              <w:rPr>
                <w:sz w:val="16"/>
                <w:szCs w:val="16"/>
                <w:color w:val="auto"/>
              </w:rPr>
            </w:pPr>
          </w:p>
        </w:tc>
        <w:tc>
          <w:tcPr>
            <w:tcW w:w="1660" w:type="dxa"/>
            <w:vAlign w:val="bottom"/>
            <w:gridSpan w:val="4"/>
          </w:tcPr>
          <w:p>
            <w:pPr>
              <w:jc w:val="right"/>
              <w:spacing w:after="0" w:line="191" w:lineRule="exact"/>
              <w:rPr>
                <w:sz w:val="20"/>
                <w:szCs w:val="20"/>
                <w:color w:val="auto"/>
              </w:rPr>
            </w:pPr>
            <w:r>
              <w:rPr>
                <w:rFonts w:ascii="Arial" w:cs="Arial" w:eastAsia="Arial" w:hAnsi="Arial"/>
                <w:sz w:val="18"/>
                <w:szCs w:val="18"/>
                <w:b w:val="1"/>
                <w:bCs w:val="1"/>
                <w:color w:val="auto"/>
              </w:rPr>
              <w:t>Significant Other</w:t>
            </w:r>
          </w:p>
        </w:tc>
        <w:tc>
          <w:tcPr>
            <w:tcW w:w="780" w:type="dxa"/>
            <w:vAlign w:val="bottom"/>
          </w:tcPr>
          <w:p>
            <w:pPr>
              <w:spacing w:after="0"/>
              <w:rPr>
                <w:sz w:val="16"/>
                <w:szCs w:val="16"/>
                <w:color w:val="auto"/>
              </w:rPr>
            </w:pPr>
          </w:p>
        </w:tc>
        <w:tc>
          <w:tcPr>
            <w:tcW w:w="1500" w:type="dxa"/>
            <w:vAlign w:val="bottom"/>
            <w:gridSpan w:val="2"/>
          </w:tcPr>
          <w:p>
            <w:pPr>
              <w:jc w:val="right"/>
              <w:ind w:right="10"/>
              <w:spacing w:after="0" w:line="191" w:lineRule="exact"/>
              <w:rPr>
                <w:sz w:val="20"/>
                <w:szCs w:val="20"/>
                <w:color w:val="auto"/>
              </w:rPr>
            </w:pPr>
            <w:r>
              <w:rPr>
                <w:rFonts w:ascii="Arial" w:cs="Arial" w:eastAsia="Arial" w:hAnsi="Arial"/>
                <w:sz w:val="18"/>
                <w:szCs w:val="18"/>
                <w:b w:val="1"/>
                <w:bCs w:val="1"/>
                <w:color w:val="auto"/>
                <w:w w:val="95"/>
              </w:rPr>
              <w:t>Significant Other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Active Markets</w:t>
            </w:r>
          </w:p>
        </w:tc>
        <w:tc>
          <w:tcPr>
            <w:tcW w:w="340" w:type="dxa"/>
            <w:vAlign w:val="bottom"/>
          </w:tcPr>
          <w:p>
            <w:pPr>
              <w:spacing w:after="0"/>
              <w:rPr>
                <w:sz w:val="18"/>
                <w:szCs w:val="18"/>
                <w:color w:val="auto"/>
              </w:rPr>
            </w:pPr>
          </w:p>
        </w:tc>
        <w:tc>
          <w:tcPr>
            <w:tcW w:w="1660" w:type="dxa"/>
            <w:vAlign w:val="bottom"/>
            <w:gridSpan w:val="4"/>
          </w:tcPr>
          <w:p>
            <w:pPr>
              <w:jc w:val="right"/>
              <w:spacing w:after="0"/>
              <w:rPr>
                <w:sz w:val="20"/>
                <w:szCs w:val="20"/>
                <w:color w:val="auto"/>
              </w:rPr>
            </w:pPr>
            <w:r>
              <w:rPr>
                <w:rFonts w:ascii="Arial" w:cs="Arial" w:eastAsia="Arial" w:hAnsi="Arial"/>
                <w:sz w:val="18"/>
                <w:szCs w:val="18"/>
                <w:b w:val="1"/>
                <w:bCs w:val="1"/>
                <w:color w:val="auto"/>
              </w:rPr>
              <w:t>Observable Inputs</w:t>
            </w:r>
          </w:p>
        </w:tc>
        <w:tc>
          <w:tcPr>
            <w:tcW w:w="230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Unobservable Inputs</w:t>
            </w:r>
          </w:p>
        </w:tc>
        <w:tc>
          <w:tcPr>
            <w:tcW w:w="0" w:type="dxa"/>
            <w:vAlign w:val="bottom"/>
          </w:tcPr>
          <w:p>
            <w:pPr>
              <w:spacing w:after="0"/>
              <w:rPr>
                <w:sz w:val="1"/>
                <w:szCs w:val="1"/>
                <w:color w:val="auto"/>
              </w:rPr>
            </w:pPr>
          </w:p>
        </w:tc>
      </w:tr>
      <w:tr>
        <w:trPr>
          <w:trHeight w:val="234"/>
        </w:trPr>
        <w:tc>
          <w:tcPr>
            <w:tcW w:w="3320" w:type="dxa"/>
            <w:vAlign w:val="bottom"/>
            <w:gridSpan w:val="3"/>
          </w:tcPr>
          <w:p>
            <w:pPr>
              <w:spacing w:after="0"/>
              <w:rPr>
                <w:sz w:val="20"/>
                <w:szCs w:val="20"/>
                <w:color w:val="auto"/>
              </w:rPr>
            </w:pPr>
            <w:r>
              <w:rPr>
                <w:rFonts w:ascii="Arial" w:cs="Arial" w:eastAsia="Arial" w:hAnsi="Arial"/>
                <w:sz w:val="14"/>
                <w:szCs w:val="14"/>
                <w:color w:val="auto"/>
              </w:rPr>
              <w:t>(In millions)</w:t>
            </w:r>
          </w:p>
        </w:tc>
        <w:tc>
          <w:tcPr>
            <w:tcW w:w="1220" w:type="dxa"/>
            <w:vAlign w:val="bottom"/>
          </w:tcPr>
          <w:p>
            <w:pPr>
              <w:spacing w:after="0"/>
              <w:rPr>
                <w:sz w:val="20"/>
                <w:szCs w:val="20"/>
                <w:color w:val="auto"/>
              </w:rPr>
            </w:pPr>
          </w:p>
        </w:tc>
        <w:tc>
          <w:tcPr>
            <w:tcW w:w="9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3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(Level 2)</w:t>
            </w: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ind w:left="160"/>
              <w:spacing w:after="0"/>
              <w:rPr>
                <w:sz w:val="20"/>
                <w:szCs w:val="20"/>
                <w:color w:val="auto"/>
              </w:rPr>
            </w:pPr>
            <w:r>
              <w:rPr>
                <w:rFonts w:ascii="Arial" w:cs="Arial" w:eastAsia="Arial" w:hAnsi="Arial"/>
                <w:sz w:val="18"/>
                <w:szCs w:val="18"/>
                <w:color w:val="auto"/>
              </w:rPr>
              <w:t>Trading securities</w:t>
            </w:r>
          </w:p>
        </w:tc>
        <w:tc>
          <w:tcPr>
            <w:tcW w:w="122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18.9</w:t>
            </w:r>
          </w:p>
        </w:tc>
        <w:tc>
          <w:tcPr>
            <w:tcW w:w="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12.7</w:t>
            </w:r>
          </w:p>
        </w:tc>
        <w:tc>
          <w:tcPr>
            <w:tcW w:w="340" w:type="dxa"/>
            <w:vAlign w:val="bottom"/>
          </w:tcPr>
          <w:p>
            <w:pPr>
              <w:spacing w:after="0"/>
              <w:rPr>
                <w:sz w:val="18"/>
                <w:szCs w:val="18"/>
                <w:color w:val="auto"/>
              </w:rPr>
            </w:pPr>
          </w:p>
        </w:tc>
        <w:tc>
          <w:tcPr>
            <w:tcW w:w="7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Derivative assets</w:t>
            </w:r>
          </w:p>
        </w:tc>
        <w:tc>
          <w:tcPr>
            <w:tcW w:w="1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2.1</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ind w:left="160"/>
              <w:spacing w:after="0"/>
              <w:rPr>
                <w:sz w:val="20"/>
                <w:szCs w:val="20"/>
                <w:color w:val="auto"/>
              </w:rPr>
            </w:pPr>
            <w:r>
              <w:rPr>
                <w:rFonts w:ascii="Arial" w:cs="Arial" w:eastAsia="Arial" w:hAnsi="Arial"/>
                <w:sz w:val="18"/>
                <w:szCs w:val="18"/>
                <w:color w:val="auto"/>
              </w:rPr>
              <w:t>Bank drafts</w:t>
            </w:r>
          </w:p>
        </w:tc>
        <w:tc>
          <w:tcPr>
            <w:tcW w:w="1220" w:type="dxa"/>
            <w:vAlign w:val="bottom"/>
          </w:tcPr>
          <w:p>
            <w:pPr>
              <w:spacing w:after="0"/>
              <w:rPr>
                <w:sz w:val="18"/>
                <w:szCs w:val="18"/>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15.9</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15.9</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color w:val="auto"/>
              </w:rPr>
              <w:t>Derivative liabilities</w:t>
            </w:r>
          </w:p>
        </w:tc>
        <w:tc>
          <w:tcPr>
            <w:tcW w:w="12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3.1</w:t>
            </w:r>
          </w:p>
        </w:tc>
        <w:tc>
          <w:tcPr>
            <w:tcW w:w="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assets and liabilities carried at fair value, measured on a recurring basis, as of January 2,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Fair Value Measurements Using</w:t>
            </w: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9"/>
              </w:rPr>
              <w:t>Quoted Prices in</w:t>
            </w:r>
          </w:p>
        </w:tc>
        <w:tc>
          <w:tcPr>
            <w:tcW w:w="620" w:type="dxa"/>
            <w:vAlign w:val="bottom"/>
          </w:tcPr>
          <w:p>
            <w:pPr>
              <w:spacing w:after="0"/>
              <w:rPr>
                <w:sz w:val="16"/>
                <w:szCs w:val="16"/>
                <w:color w:val="auto"/>
              </w:rPr>
            </w:pPr>
          </w:p>
        </w:tc>
        <w:tc>
          <w:tcPr>
            <w:tcW w:w="1880" w:type="dxa"/>
            <w:vAlign w:val="bottom"/>
          </w:tcPr>
          <w:p>
            <w:pPr>
              <w:jc w:val="right"/>
              <w:ind w:right="430"/>
              <w:spacing w:after="0" w:line="191" w:lineRule="exact"/>
              <w:rPr>
                <w:sz w:val="20"/>
                <w:szCs w:val="20"/>
                <w:color w:val="auto"/>
              </w:rPr>
            </w:pPr>
            <w:r>
              <w:rPr>
                <w:rFonts w:ascii="Arial" w:cs="Arial" w:eastAsia="Arial" w:hAnsi="Arial"/>
                <w:sz w:val="18"/>
                <w:szCs w:val="18"/>
                <w:b w:val="1"/>
                <w:bCs w:val="1"/>
                <w:color w:val="auto"/>
                <w:w w:val="92"/>
              </w:rPr>
              <w:t>Significant Other</w:t>
            </w:r>
          </w:p>
        </w:tc>
        <w:tc>
          <w:tcPr>
            <w:tcW w:w="240" w:type="dxa"/>
            <w:vAlign w:val="bottom"/>
          </w:tcPr>
          <w:p>
            <w:pPr>
              <w:spacing w:after="0"/>
              <w:rPr>
                <w:sz w:val="16"/>
                <w:szCs w:val="16"/>
                <w:color w:val="auto"/>
              </w:rPr>
            </w:pPr>
          </w:p>
        </w:tc>
        <w:tc>
          <w:tcPr>
            <w:tcW w:w="154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97"/>
              </w:rPr>
              <w:t>Significant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Active Markets</w:t>
            </w:r>
          </w:p>
        </w:tc>
        <w:tc>
          <w:tcPr>
            <w:tcW w:w="250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Observable Inputs</w:t>
            </w:r>
          </w:p>
        </w:tc>
        <w:tc>
          <w:tcPr>
            <w:tcW w:w="17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3"/>
              </w:rPr>
              <w:t>Unobservable Inputs</w:t>
            </w:r>
          </w:p>
        </w:tc>
        <w:tc>
          <w:tcPr>
            <w:tcW w:w="0" w:type="dxa"/>
            <w:vAlign w:val="bottom"/>
          </w:tcPr>
          <w:p>
            <w:pPr>
              <w:spacing w:after="0"/>
              <w:rPr>
                <w:sz w:val="1"/>
                <w:szCs w:val="1"/>
                <w:color w:val="auto"/>
              </w:rPr>
            </w:pPr>
          </w:p>
        </w:tc>
      </w:tr>
      <w:tr>
        <w:trPr>
          <w:trHeight w:val="234"/>
        </w:trPr>
        <w:tc>
          <w:tcPr>
            <w:tcW w:w="26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580" w:type="dxa"/>
            <w:vAlign w:val="bottom"/>
          </w:tcPr>
          <w:p>
            <w:pPr>
              <w:spacing w:after="0"/>
              <w:rPr>
                <w:sz w:val="20"/>
                <w:szCs w:val="20"/>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620" w:type="dxa"/>
            <w:vAlign w:val="bottom"/>
          </w:tcPr>
          <w:p>
            <w:pPr>
              <w:spacing w:after="0"/>
              <w:rPr>
                <w:sz w:val="20"/>
                <w:szCs w:val="20"/>
                <w:color w:val="auto"/>
              </w:rPr>
            </w:pPr>
          </w:p>
        </w:tc>
        <w:tc>
          <w:tcPr>
            <w:tcW w:w="1880" w:type="dxa"/>
            <w:vAlign w:val="bottom"/>
          </w:tcPr>
          <w:p>
            <w:pPr>
              <w:jc w:val="right"/>
              <w:ind w:right="43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5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Trading securities</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17.9</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11.3</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430"/>
              <w:spacing w:after="0"/>
              <w:rPr>
                <w:sz w:val="20"/>
                <w:szCs w:val="20"/>
                <w:color w:val="auto"/>
              </w:rPr>
            </w:pPr>
            <w:r>
              <w:rPr>
                <w:rFonts w:ascii="Arial" w:cs="Arial" w:eastAsia="Arial" w:hAnsi="Arial"/>
                <w:sz w:val="18"/>
                <w:szCs w:val="18"/>
                <w:color w:val="auto"/>
              </w:rPr>
              <w:t>6.6</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Derivative assets</w:t>
            </w:r>
          </w:p>
        </w:tc>
        <w:tc>
          <w:tcPr>
            <w:tcW w:w="1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5.6</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Bank drafts</w:t>
            </w:r>
          </w:p>
        </w:tc>
        <w:tc>
          <w:tcPr>
            <w:tcW w:w="158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24.8</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24.8</w:t>
            </w:r>
          </w:p>
        </w:tc>
        <w:tc>
          <w:tcPr>
            <w:tcW w:w="620" w:type="dxa"/>
            <w:vAlign w:val="bottom"/>
          </w:tcPr>
          <w:p>
            <w:pPr>
              <w:spacing w:after="0"/>
              <w:rPr>
                <w:sz w:val="18"/>
                <w:szCs w:val="18"/>
                <w:color w:val="auto"/>
              </w:rPr>
            </w:pPr>
          </w:p>
        </w:tc>
        <w:tc>
          <w:tcPr>
            <w:tcW w:w="18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Derivative liabilities</w:t>
            </w:r>
          </w:p>
        </w:tc>
        <w:tc>
          <w:tcPr>
            <w:tcW w:w="15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5.2</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4.5</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Trading securities include fixed income securities (primarily U.S. government and corporate debt securities) measured at fair value using quoted prices/bids and a money market fund measured at fair value using net asset value. As of October 1, 2016, trading securities of $.4 million and $18.5 million were included in “Cash and cash equivalents” and “Other current assets,” respectively, in the unaudited Condensed Consolidated Balance Sheets. As of January 2, 2016, trading securities of $.3 million and $17.6 million were included in “Cash and cash equivalents” and “Other current assets,” respectively, in the unaudited Condensed Consolidated Balance Sheets. Derivatives that are exchange-traded are measured at fair value using quoted market prices and classified within Level 1 of the valuation hierarchy. Derivatives measured based on foreign exchange rate inputs that are readily available in public markets are classified within Level 2 of the valuation hierarchy. Bank drafts (maturities greater than three months) are valued at face value due to their short-term nature and were included in “Other current assets” in the unaudited Condensed Consolidated Balance Sheets.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utilized an income approach to estimate the fair values of the identifiable intangibles acquired from Mactac, using primarily Level 3 inputs. The discount rates we used to value these assets were between 10% and 12%.</w:t>
      </w:r>
    </w:p>
    <w:p>
      <w:pPr>
        <w:spacing w:after="0" w:line="170"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involved in various lawsuits, claims, inquiries, and other regulatory and compliance matters, most of which are routine to the nature of our business. We have accrued liabilities for matters where it is probable that a loss will be incurred and the amount of loss can be reasonably estimated. Because of the uncertainties associated with claims resolution and litigation, future expenses to resolve these matters could be higher than the liabilities we have accrued; however, we are unable to reasonably estimate a range of potential expenses. If information were to become available that allowed us to reasonably estimate a range of potential expenses in an amount higher or lower than what we have accrued, we would adjust our accrued liabilities accordingly. Additional lawsuits, claims, inquiries, and other regulatory and compliance matters could arise in the future. The range of expenses for resolving any future matters would be assessed as they arise; until then, a range of potential expenses for such resolution cannot be determined. Based upon current information, we</w:t>
      </w:r>
    </w:p>
    <w:p>
      <w:pPr>
        <w:sectPr>
          <w:pgSz w:w="11900" w:h="16838" w:orient="portrait"/>
          <w:cols w:equalWidth="0" w:num="1">
            <w:col w:w="11420"/>
          </w:cols>
          <w:pgMar w:left="240" w:top="108" w:right="239" w:bottom="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believe that the impact of the resolution of these matters would not be, individually or in the aggregate, material to our financial position, results of operations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October 1, 2016, we have been designated by the U.S. Environmental Protection Agency (“EPA”) and/or other responsible state agencies as a potentially responsible party (“PRP”) at thirteen waste disposal or waste recycling sites that are the subject of separate investigations or proceedings concerning alleged soil and/or groundwater contamination. No settlement of our liability related to any of the sites has been agreed upon. We are participating with other PRPs at these sites and anticipate that our share of remediation costs will be determined pursuant to agreements that we negotiate with the EPA or other governmental authorities.</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accrued liabilities for sites where it is probable that a loss or cost will be incurred and the amount of loss or cost can be reasonably estimated. These estimates could change as a result of changes in planned remedial actions, remediation technologies, site conditions, the estimated time to complete remediation, environmental laws and regulations, and other factors. Because of the uncertainties associated with environmental assessment and remediation activities, future expenses to remediate these sites could be higher than the liabilities we have accrued; however, we are unable to reasonably estimate a range of potential expenses. If information were to become available that allowed us to reasonably estimate a range of potential expenses in an amount higher or lower than what we have accrued, we would adjust our environmental liabilities accordingly. In addition, we may be identified as a PRP at additional sites in the future. The range of expenses for remediation of any future-identified sites would be addressed as they arise; until then, a range of expenses for such remediation cannot be determined.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activity for the nine months ended October 1, 2016 related to our environmental liabilities was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January 2, 2016</w:t>
            </w:r>
          </w:p>
        </w:tc>
        <w:tc>
          <w:tcPr>
            <w:tcW w:w="456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Charges (reversals), net</w:t>
            </w:r>
          </w:p>
        </w:tc>
        <w:tc>
          <w:tcPr>
            <w:tcW w:w="456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16"/>
        </w:trPr>
        <w:tc>
          <w:tcPr>
            <w:tcW w:w="6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Payments</w:t>
            </w:r>
          </w:p>
        </w:tc>
        <w:tc>
          <w:tcPr>
            <w:tcW w:w="45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17"/>
        </w:trPr>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at October 1, 2016</w:t>
            </w:r>
          </w:p>
        </w:tc>
        <w:tc>
          <w:tcPr>
            <w:tcW w:w="4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October 1, 2016 and January 2, 2016, approximately $9 million and $7 million, respectively, of the balance was classified as short-term and included in “Other current liabilities” in the unaudited Condensed Consolidated Balance Sheets.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from continuing operations by reportable segment is set forth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Three Months Ended</w:t>
            </w: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8"/>
              </w:rPr>
              <w:t>Nine Months Ended</w:t>
            </w:r>
          </w:p>
        </w:tc>
        <w:tc>
          <w:tcPr>
            <w:tcW w:w="740" w:type="dxa"/>
            <w:vAlign w:val="bottom"/>
            <w:tcBorders>
              <w:bottom w:val="single" w:sz="8" w:color="auto"/>
            </w:tcBorders>
          </w:tcPr>
          <w:p>
            <w:pPr>
              <w:spacing w:after="0"/>
              <w:rPr>
                <w:sz w:val="20"/>
                <w:szCs w:val="20"/>
                <w:color w:val="auto"/>
              </w:rPr>
            </w:pPr>
          </w:p>
        </w:tc>
      </w:tr>
      <w:tr>
        <w:trPr>
          <w:trHeight w:val="210"/>
        </w:trPr>
        <w:tc>
          <w:tcPr>
            <w:tcW w:w="5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64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w w:val="99"/>
              </w:rPr>
              <w:t>October 1, 2016</w:t>
            </w:r>
          </w:p>
        </w:tc>
        <w:tc>
          <w:tcPr>
            <w:tcW w:w="15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October 3, 2015</w:t>
            </w: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w w:val="99"/>
              </w:rPr>
              <w:t>October 1, 2016</w:t>
            </w:r>
          </w:p>
        </w:tc>
        <w:tc>
          <w:tcPr>
            <w:tcW w:w="15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October 3, 2015</w:t>
            </w: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 to unaffiliated customers</w:t>
            </w: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Pressure-sensitive Materials</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1,123.8</w:t>
            </w: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w w:val="99"/>
              </w:rPr>
              <w:t>1,083.7</w:t>
            </w:r>
          </w:p>
        </w:tc>
        <w:tc>
          <w:tcPr>
            <w:tcW w:w="12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3,360.9</w:t>
            </w:r>
          </w:p>
        </w:tc>
        <w:tc>
          <w:tcPr>
            <w:tcW w:w="7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3,318.4</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Retail Branding and Information Solutions</w:t>
            </w: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370.9</w:t>
            </w: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366.8</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1,127.0</w:t>
            </w: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1,138.7</w:t>
            </w:r>
          </w:p>
        </w:tc>
      </w:tr>
      <w:tr>
        <w:trPr>
          <w:trHeight w:val="216"/>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Vancive Medical Technologies</w:t>
            </w: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14.0</w:t>
            </w:r>
          </w:p>
        </w:tc>
        <w:tc>
          <w:tcPr>
            <w:tcW w:w="7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47.8</w:t>
            </w:r>
          </w:p>
        </w:tc>
        <w:tc>
          <w:tcPr>
            <w:tcW w:w="7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55.0</w:t>
            </w:r>
          </w:p>
        </w:tc>
      </w:tr>
      <w:tr>
        <w:trPr>
          <w:trHeight w:val="217"/>
        </w:trPr>
        <w:tc>
          <w:tcPr>
            <w:tcW w:w="5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 to unaffiliated customers</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1,508.7</w:t>
            </w:r>
          </w:p>
        </w:tc>
        <w:tc>
          <w:tcPr>
            <w:tcW w:w="7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1,468.1</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4,535.7</w:t>
            </w:r>
          </w:p>
        </w:tc>
        <w:tc>
          <w:tcPr>
            <w:tcW w:w="7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4,512.1</w:t>
            </w:r>
          </w:p>
        </w:tc>
      </w:tr>
      <w:tr>
        <w:trPr>
          <w:trHeight w:val="216"/>
        </w:trPr>
        <w:tc>
          <w:tcPr>
            <w:tcW w:w="5000" w:type="dxa"/>
            <w:vAlign w:val="bottom"/>
          </w:tcPr>
          <w:p>
            <w:pPr>
              <w:spacing w:after="0"/>
              <w:rPr>
                <w:sz w:val="20"/>
                <w:szCs w:val="20"/>
                <w:color w:val="auto"/>
              </w:rPr>
            </w:pPr>
            <w:r>
              <w:rPr>
                <w:rFonts w:ascii="Arial" w:cs="Arial" w:eastAsia="Arial" w:hAnsi="Arial"/>
                <w:sz w:val="18"/>
                <w:szCs w:val="18"/>
                <w:b w:val="1"/>
                <w:bCs w:val="1"/>
                <w:color w:val="auto"/>
              </w:rPr>
              <w:t>Intersegment sales</w:t>
            </w: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Pressure-sensitive Materials</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16.3</w:t>
            </w:r>
          </w:p>
        </w:tc>
        <w:tc>
          <w:tcPr>
            <w:tcW w:w="7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49.0</w:t>
            </w:r>
          </w:p>
        </w:tc>
        <w:tc>
          <w:tcPr>
            <w:tcW w:w="7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46.5</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Retail Branding and Information Solutions</w:t>
            </w:r>
          </w:p>
        </w:tc>
        <w:tc>
          <w:tcPr>
            <w:tcW w:w="58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780" w:type="dxa"/>
            <w:vAlign w:val="bottom"/>
          </w:tcPr>
          <w:p>
            <w:pPr>
              <w:spacing w:after="0"/>
              <w:rPr>
                <w:sz w:val="18"/>
                <w:szCs w:val="18"/>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1.6</w:t>
            </w:r>
          </w:p>
        </w:tc>
        <w:tc>
          <w:tcPr>
            <w:tcW w:w="76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16"/>
        </w:trPr>
        <w:tc>
          <w:tcPr>
            <w:tcW w:w="5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Vancive Medical Technologies</w:t>
            </w:r>
          </w:p>
        </w:tc>
        <w:tc>
          <w:tcPr>
            <w:tcW w:w="5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7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w:t>
            </w:r>
          </w:p>
        </w:tc>
        <w:tc>
          <w:tcPr>
            <w:tcW w:w="7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17"/>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Intersegment sales</w:t>
            </w: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16.9</w:t>
            </w: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51.0</w:t>
            </w: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52.4</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 before taxes</w:t>
            </w: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Pressure-sensitive Materials</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138.7</w:t>
            </w: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130.5</w:t>
            </w:r>
          </w:p>
        </w:tc>
        <w:tc>
          <w:tcPr>
            <w:tcW w:w="12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425.6</w:t>
            </w:r>
          </w:p>
        </w:tc>
        <w:tc>
          <w:tcPr>
            <w:tcW w:w="7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383.2</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Retail Branding and Information Solutions</w:t>
            </w: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28.4</w:t>
            </w: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82.8</w:t>
            </w: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54.3</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Vancive Medical Technologies</w:t>
            </w:r>
          </w:p>
        </w:tc>
        <w:tc>
          <w:tcPr>
            <w:tcW w:w="58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(.9)</w:t>
            </w:r>
          </w:p>
        </w:tc>
        <w:tc>
          <w:tcPr>
            <w:tcW w:w="78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7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Corporate expense</w:t>
            </w: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(23.5)</w:t>
            </w: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(112.0)</w:t>
            </w: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r>
      <w:tr>
        <w:trPr>
          <w:trHeight w:val="216"/>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(14.7)</w:t>
            </w:r>
          </w:p>
        </w:tc>
        <w:tc>
          <w:tcPr>
            <w:tcW w:w="7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(45.4)</w:t>
            </w:r>
          </w:p>
        </w:tc>
        <w:tc>
          <w:tcPr>
            <w:tcW w:w="7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r>
      <w:tr>
        <w:trPr>
          <w:trHeight w:val="217"/>
        </w:trPr>
        <w:tc>
          <w:tcPr>
            <w:tcW w:w="5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 before taxes</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128.0</w:t>
            </w:r>
          </w:p>
        </w:tc>
        <w:tc>
          <w:tcPr>
            <w:tcW w:w="7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116.1</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350.8</w:t>
            </w:r>
          </w:p>
        </w:tc>
        <w:tc>
          <w:tcPr>
            <w:tcW w:w="7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317.4</w:t>
            </w:r>
          </w:p>
        </w:tc>
      </w:tr>
      <w:tr>
        <w:trPr>
          <w:trHeight w:val="216"/>
        </w:trPr>
        <w:tc>
          <w:tcPr>
            <w:tcW w:w="5000" w:type="dxa"/>
            <w:vAlign w:val="bottom"/>
          </w:tcPr>
          <w:p>
            <w:pPr>
              <w:spacing w:after="0"/>
              <w:rPr>
                <w:sz w:val="20"/>
                <w:szCs w:val="20"/>
                <w:color w:val="auto"/>
              </w:rPr>
            </w:pPr>
            <w:r>
              <w:rPr>
                <w:rFonts w:ascii="Arial" w:cs="Arial" w:eastAsia="Arial" w:hAnsi="Arial"/>
                <w:sz w:val="18"/>
                <w:szCs w:val="18"/>
                <w:b w:val="1"/>
                <w:bCs w:val="1"/>
                <w:color w:val="auto"/>
              </w:rPr>
              <w:t>Other expense, net by reportable segment</w:t>
            </w: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Pressure-sensitive Materials</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2.7</w:t>
            </w:r>
          </w:p>
        </w:tc>
        <w:tc>
          <w:tcPr>
            <w:tcW w:w="7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11.2</w:t>
            </w:r>
          </w:p>
        </w:tc>
        <w:tc>
          <w:tcPr>
            <w:tcW w:w="7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Retail Branding and Information Solutions</w:t>
            </w:r>
          </w:p>
        </w:tc>
        <w:tc>
          <w:tcPr>
            <w:tcW w:w="58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1.5</w:t>
            </w:r>
          </w:p>
        </w:tc>
        <w:tc>
          <w:tcPr>
            <w:tcW w:w="780" w:type="dxa"/>
            <w:vAlign w:val="bottom"/>
          </w:tcPr>
          <w:p>
            <w:pPr>
              <w:spacing w:after="0"/>
              <w:rPr>
                <w:sz w:val="18"/>
                <w:szCs w:val="18"/>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7.3</w:t>
            </w:r>
          </w:p>
        </w:tc>
        <w:tc>
          <w:tcPr>
            <w:tcW w:w="76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29.4</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Vancive Medical Technologies</w:t>
            </w: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w:t>
            </w: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w:t>
            </w: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16"/>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w:t>
            </w: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41.4</w:t>
            </w:r>
          </w:p>
        </w:tc>
        <w:tc>
          <w:tcPr>
            <w:tcW w:w="7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r>
      <w:tr>
        <w:trPr>
          <w:trHeight w:val="217"/>
        </w:trPr>
        <w:tc>
          <w:tcPr>
            <w:tcW w:w="5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4.6</w:t>
            </w:r>
          </w:p>
        </w:tc>
        <w:tc>
          <w:tcPr>
            <w:tcW w:w="7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60.4</w:t>
            </w:r>
          </w:p>
        </w:tc>
        <w:tc>
          <w:tcPr>
            <w:tcW w:w="7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49.0</w:t>
            </w:r>
          </w:p>
        </w:tc>
      </w:tr>
      <w:tr>
        <w:trPr>
          <w:trHeight w:val="216"/>
        </w:trPr>
        <w:tc>
          <w:tcPr>
            <w:tcW w:w="5000" w:type="dxa"/>
            <w:vAlign w:val="bottom"/>
          </w:tcPr>
          <w:p>
            <w:pPr>
              <w:spacing w:after="0"/>
              <w:rPr>
                <w:sz w:val="20"/>
                <w:szCs w:val="20"/>
                <w:color w:val="auto"/>
              </w:rPr>
            </w:pPr>
            <w:r>
              <w:rPr>
                <w:rFonts w:ascii="Arial" w:cs="Arial" w:eastAsia="Arial" w:hAnsi="Arial"/>
                <w:sz w:val="18"/>
                <w:szCs w:val="18"/>
                <w:b w:val="1"/>
                <w:bCs w:val="1"/>
                <w:color w:val="auto"/>
              </w:rPr>
              <w:t>Other expense, net by type</w:t>
            </w: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Severance and related costs</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1.9</w:t>
            </w: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10.7</w:t>
            </w:r>
          </w:p>
        </w:tc>
        <w:tc>
          <w:tcPr>
            <w:tcW w:w="7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35.0</w:t>
            </w: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 impairment charges and lease cancellation costs</w:t>
            </w: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w:t>
            </w: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3.9</w:t>
            </w: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Other items:</w:t>
            </w: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from settlement of pension obligations</w:t>
            </w: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41.4</w:t>
            </w: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Transaction costs</w:t>
            </w:r>
          </w:p>
        </w:tc>
        <w:tc>
          <w:tcPr>
            <w:tcW w:w="58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2.0</w:t>
            </w:r>
          </w:p>
        </w:tc>
        <w:tc>
          <w:tcPr>
            <w:tcW w:w="7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4.1</w:t>
            </w:r>
          </w:p>
        </w:tc>
        <w:tc>
          <w:tcPr>
            <w:tcW w:w="76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(gain) on sale of assets</w:t>
            </w: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5000" w:type="dxa"/>
            <w:vAlign w:val="bottom"/>
          </w:tcPr>
          <w:p>
            <w:pPr>
              <w:ind w:left="180"/>
              <w:spacing w:after="0"/>
              <w:rPr>
                <w:sz w:val="20"/>
                <w:szCs w:val="20"/>
                <w:color w:val="auto"/>
              </w:rPr>
            </w:pPr>
            <w:r>
              <w:rPr>
                <w:rFonts w:ascii="Arial" w:cs="Arial" w:eastAsia="Arial" w:hAnsi="Arial"/>
                <w:sz w:val="18"/>
                <w:szCs w:val="18"/>
                <w:color w:val="auto"/>
              </w:rPr>
              <w:t>Loss on sale of product line and related transaction and exit</w:t>
            </w:r>
          </w:p>
        </w:tc>
        <w:tc>
          <w:tcPr>
            <w:tcW w:w="580" w:type="dxa"/>
            <w:vAlign w:val="bottom"/>
          </w:tcPr>
          <w:p>
            <w:pPr>
              <w:spacing w:after="0"/>
              <w:rPr>
                <w:sz w:val="20"/>
                <w:szCs w:val="20"/>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0"/>
                <w:szCs w:val="20"/>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10.5</w:t>
            </w:r>
          </w:p>
        </w:tc>
      </w:tr>
    </w:tbl>
    <w:p>
      <w:pPr>
        <w:sectPr>
          <w:pgSz w:w="11900" w:h="16838" w:orient="portrait"/>
          <w:cols w:equalWidth="0" w:num="1">
            <w:col w:w="11420"/>
          </w:cols>
          <w:pgMar w:left="240" w:top="125" w:right="2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ind w:left="360"/>
              <w:spacing w:after="0"/>
              <w:rPr>
                <w:sz w:val="20"/>
                <w:szCs w:val="20"/>
                <w:color w:val="auto"/>
              </w:rPr>
            </w:pPr>
            <w:r>
              <w:rPr>
                <w:rFonts w:ascii="Arial" w:cs="Arial" w:eastAsia="Arial" w:hAnsi="Arial"/>
                <w:sz w:val="18"/>
                <w:szCs w:val="18"/>
                <w:color w:val="auto"/>
              </w:rPr>
              <w:t>costs</w:t>
            </w:r>
          </w:p>
        </w:tc>
        <w:tc>
          <w:tcPr>
            <w:tcW w:w="2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16"/>
        </w:trPr>
        <w:tc>
          <w:tcPr>
            <w:tcW w:w="34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Legal settlements</w:t>
            </w:r>
          </w:p>
        </w:tc>
        <w:tc>
          <w:tcPr>
            <w:tcW w:w="2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w:t>
            </w:r>
          </w:p>
        </w:tc>
        <w:tc>
          <w:tcPr>
            <w:tcW w:w="7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7"/>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expense, net</w:t>
            </w:r>
          </w:p>
        </w:tc>
        <w:tc>
          <w:tcPr>
            <w:tcW w:w="24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4.6</w:t>
            </w: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7.0</w:t>
            </w: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60.4</w:t>
            </w: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Recent Accounting Requirements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August 2016, the Financial Accounting Standards Board (“FASB”) issued guidance to reduce the diversity in the presentation of certain cash receipts and cash payments presented and classified in the statement of cash flows. This guidance requires retrospective adoption and will be effective for fiscal years and interim periods beginning after December 15, 2017. Early adoption is permitted. We are currently assessing the impact of this guidance on our cash flows.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2016, the FASB issued guidance to simplify several aspects of the accounting for share-based payment transactions, including the income tax consequences, classification of awards as either equity or liabilities, and classification on the statement of cash flows. The guidance will be effective for fiscal years and interim periods beginning after December 15, 2016, and early adoption is permitted. Different components of the guidance require prospective, retrospective and/or modified retrospective adoption. We are currently assessing the timing of our adoption of this guidance and its impact on our financial position, results of operations, cash flows, and disclosures.</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March 2016, the FASB issued guidance on accounting for leases that requires lessees to recognize most leases on their balance sheets for the rights and obligations created by those leases. This guidance also requires enhanced disclosures regarding the amount, timing, and uncertainty of cash flows arising from leases and will be effective for interim and annual periods beginning after December 15, 2018. Early adoption is permitted. A modified retrospective approach is required for adoption with respect to all leases that exist at or commence after the date of initial application with an option to use certain practical expedients. We are currently assessing the impact of this guidance on our financial position, results of operations, cash flows, and disclosures.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2015, the FASB issued amended guidance to simplify the subsequent measurement of inventory by requiring inventory to be measured at the lower of cost and net realizable value. Net realizable value is the estimated selling price in the ordinary course of business, less reasonably predictable costs of completion, disposal and transportation. This guidance is effective for annual periods beginning after December 15, 2016, and interim periods within those fiscal years. We elected to early adopt this amended guidance in the first quarter of 2016 prospectively. The adoption of this guidance did not have an impact on our financial position, results of operations, cash flows, or disclosures.</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August 2014, the FASB issued a new standard that requires an entity to evaluate whether there are conditions or events, considered in the aggregate, that raise substantial doubt about the entity’s ability to continue as a going concern. Management’s evaluation should be based on relevant conditions and events that are known and reasonably knowable at the date that the financial statements are issued. Under this new standard, substantial doubt exists when it is probable that the entity will be unable to meet its obligations as they become due within one year of the date the financial statements are issued. If applicable, certain disclosures are required, including management’s plans to mitigate those relevant conditions or events to alleviate the substantial doubt. This standard is effective for annual periods and interim periods within those annual periods ending after December 15, 2016. Early adoption is permitted. We do not expect that adoption of this standard will have an impact on our financial position, results of operations, cash flows, or disclosures.</w:t>
      </w:r>
    </w:p>
    <w:p>
      <w:pPr>
        <w:spacing w:after="0" w:line="16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May 2014, and in subsequent updates, the FASB issued revised guidance on revenue recognition. This revised guidance provides a single comprehensive model for accounting for revenue arising from contracts with customers and supersedes most current revenue recognition guidance, including industry-specific guidance. This revised guidance will require an entity to recognize revenue when it transfers promised goods or services to customers in an amount that reflects the consideration to which the entity expects to be entitled in exchange for those goods or services. This update creates a five-step model that requires entities to exercise judgment when considering the terms of contract(s), which includes (i) identifying the contract(s) with the customer,</w:t>
      </w:r>
    </w:p>
    <w:p>
      <w:pPr>
        <w:spacing w:after="0" w:line="2" w:lineRule="exact"/>
        <w:rPr>
          <w:sz w:val="20"/>
          <w:szCs w:val="20"/>
          <w:color w:val="auto"/>
        </w:rPr>
      </w:pPr>
    </w:p>
    <w:p>
      <w:pPr>
        <w:jc w:val="both"/>
        <w:ind w:firstLine="8"/>
        <w:spacing w:after="0" w:line="268" w:lineRule="auto"/>
        <w:tabs>
          <w:tab w:leader="none" w:pos="270" w:val="left"/>
        </w:tabs>
        <w:numPr>
          <w:ilvl w:val="0"/>
          <w:numId w:val="6"/>
        </w:numPr>
        <w:rPr>
          <w:rFonts w:ascii="Arial" w:cs="Arial" w:eastAsia="Arial" w:hAnsi="Arial"/>
          <w:sz w:val="17"/>
          <w:szCs w:val="17"/>
          <w:color w:val="auto"/>
        </w:rPr>
      </w:pPr>
      <w:r>
        <w:rPr>
          <w:rFonts w:ascii="Arial" w:cs="Arial" w:eastAsia="Arial" w:hAnsi="Arial"/>
          <w:sz w:val="17"/>
          <w:szCs w:val="17"/>
          <w:color w:val="auto"/>
        </w:rPr>
        <w:t>identifying the separate performance obligations in the contract, (iii) determining the transaction price, (iv) allocating the transaction price to the separate performance obligations, and (v) recognizing revenue when each performance obligation is satisfied. This revised guidance also requires additional disclosure about the nature, amount, timing and uncertainty of revenue and cash flows arising from customer contracts, including qualitative and quantitative information about contracts with customers, significant judgments and changes in judgments and assets recognized from costs incurred to obtain or fulfill a contract. This revised guidance is effective for fiscal years beginning after December 15, 2017, and interim periods within those fiscal years, and can be applied retrospectively either to each prior reporting period presented or with the cumulative effect of adoption recognized at the date of initial application. Early adoption is permitted for fiscal periods beginning after December 15, 2016. We are currently evaluating which transition method to elect and we expect to adopt this guidance in the first quarter of 2018. Based on the information we have evaluated to date, we do not anticipate that the adoption of this revised guidance will have a significant impact on our financial position, results of operations, or cash flows.</w:t>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Management’s Discussion and Analysis of Financial Condition and Results of Operations, or MD&amp;A, provides management’s views on our financial condition and results of operations, should be read in conjunction with the accompanying unaudited Condensed Consolidated Financial Statements and notes thereto, and includes the following sections:</w:t>
      </w:r>
    </w:p>
    <w:p>
      <w:pPr>
        <w:spacing w:after="0" w:line="16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980" w:type="dxa"/>
            <w:vAlign w:val="bottom"/>
            <w:gridSpan w:val="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Non-GAAP Financial Measures</w:t>
              </w:r>
            </w:hyperlink>
          </w:p>
        </w:tc>
        <w:tc>
          <w:tcPr>
            <w:tcW w:w="66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196"/>
        </w:trPr>
        <w:tc>
          <w:tcPr>
            <w:tcW w:w="23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Overview and Outlook</w:t>
              </w:r>
            </w:hyperlink>
          </w:p>
        </w:tc>
        <w:tc>
          <w:tcPr>
            <w:tcW w:w="1680" w:type="dxa"/>
            <w:vAlign w:val="bottom"/>
          </w:tcPr>
          <w:p>
            <w:pPr>
              <w:spacing w:after="0"/>
              <w:rPr>
                <w:sz w:val="17"/>
                <w:szCs w:val="17"/>
                <w:color w:val="auto"/>
              </w:rPr>
            </w:pPr>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1640" w:type="dxa"/>
            <w:vAlign w:val="bottom"/>
            <w:shd w:val="clear" w:color="auto" w:fill="0000EE"/>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398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17">
              <w:r>
                <w:rPr>
                  <w:rFonts w:ascii="Arial" w:cs="Arial" w:eastAsia="Arial" w:hAnsi="Arial"/>
                  <w:sz w:val="18"/>
                  <w:szCs w:val="18"/>
                  <w:color w:val="0000EE"/>
                  <w:w w:val="91"/>
                </w:rPr>
                <w:t>Analysis of Results of Operations for the Third Quarter</w:t>
              </w:r>
            </w:hyperlink>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bl>
    <w:p>
      <w:pPr>
        <w:sectPr>
          <w:pgSz w:w="11900" w:h="16838" w:orient="portrait"/>
          <w:cols w:equalWidth="0" w:num="1">
            <w:col w:w="11420"/>
          </w:cols>
          <w:pgMar w:left="240" w:top="125" w:right="239" w:bottom="0" w:gutter="0" w:footer="0" w:header="0"/>
        </w:sectPr>
      </w:pPr>
    </w:p>
    <w:bookmarkStart w:id="14" w:name="page15"/>
    <w:bookmarkEnd w:id="14"/>
    <w:p>
      <w:pPr>
        <w:spacing w:after="0" w:line="36"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8100" w:type="dxa"/>
            <w:vAlign w:val="bottom"/>
            <w:gridSpan w:val="6"/>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Results of Operations by Reportable Segment for the Third Quarter</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14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6"/>
        </w:trPr>
        <w:tc>
          <w:tcPr>
            <w:tcW w:w="8100" w:type="dxa"/>
            <w:vAlign w:val="bottom"/>
            <w:gridSpan w:val="6"/>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Analysis of Results of Operations for the Nine Months Year-to-Date</w:t>
              </w:r>
            </w:hyperlink>
          </w:p>
        </w:tc>
        <w:tc>
          <w:tcPr>
            <w:tcW w:w="25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14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6"/>
        </w:trPr>
        <w:tc>
          <w:tcPr>
            <w:tcW w:w="8100" w:type="dxa"/>
            <w:vAlign w:val="bottom"/>
            <w:gridSpan w:val="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Results of Operations by Reportable Segment for the Nine Months Year-to-Date</w:t>
              </w:r>
            </w:hyperlink>
          </w:p>
        </w:tc>
        <w:tc>
          <w:tcPr>
            <w:tcW w:w="25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57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Financial Condition</w:t>
              </w:r>
            </w:hyperlink>
          </w:p>
        </w:tc>
        <w:tc>
          <w:tcPr>
            <w:tcW w:w="2340" w:type="dxa"/>
            <w:vAlign w:val="bottom"/>
          </w:tcPr>
          <w:p>
            <w:pPr>
              <w:spacing w:after="0"/>
              <w:rPr>
                <w:sz w:val="17"/>
                <w:szCs w:val="17"/>
                <w:color w:val="auto"/>
              </w:rPr>
            </w:pPr>
          </w:p>
        </w:tc>
        <w:tc>
          <w:tcPr>
            <w:tcW w:w="25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142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80" w:type="dxa"/>
            <w:vAlign w:val="bottom"/>
            <w:gridSpan w:val="4"/>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6"/>
        </w:trPr>
        <w:tc>
          <w:tcPr>
            <w:tcW w:w="8100" w:type="dxa"/>
            <w:vAlign w:val="bottom"/>
            <w:gridSpan w:val="6"/>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Recent Accounting Requirements</w:t>
              </w:r>
            </w:hyperlink>
          </w:p>
        </w:tc>
        <w:tc>
          <w:tcPr>
            <w:tcW w:w="25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14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report financial results in conformity with accounting principles generally accepted in the United States of America, or GAAP, and also communicate with investors using certain non-GAAP financial measures. These non-GAAP financial measures are not in accordance with, nor are they a substitute for or superior to, the comparable GAAP financial measures. These non-GAAP financial measures are intended to supplement presentation of our financial results that are prepared in accordance with GAAP. Based upon feedback from investors and financial analysts, we believe that the supplemental non-GAAP financial measures we provide are useful to their assessment of our performance and operating trends, as well as our liquidity.</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non-GAAP financial measures exclude the impact of certain events, activities, and strategic decisions. The accounting effects of these events, activities or decisions, which are included in the GAAP financial measures, may make it difficult to assess our underlying performance in a single period. By excluding the accounting effects, both positive and negative, of certain items, we believe that we are providing meaningful supplemental information that facilitates an understanding of our core operating results and liquidity measures. These non-GAAP financial measures are used internally to evaluate trends in our underlying performance, as well as to facilitate comparison to the results of competitors for a single period. While some of the items we exclude from GAAP financial measures recur, they tend to be disparate in amount, frequency, or timing.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use the following non-GAAP financial measures in this MD&amp;A:</w:t>
      </w:r>
    </w:p>
    <w:p>
      <w:pPr>
        <w:spacing w:after="0" w:line="225" w:lineRule="exact"/>
        <w:rPr>
          <w:sz w:val="20"/>
          <w:szCs w:val="20"/>
          <w:color w:val="auto"/>
        </w:rPr>
      </w:pPr>
    </w:p>
    <w:p>
      <w:pPr>
        <w:jc w:val="both"/>
        <w:ind w:left="580" w:hanging="248"/>
        <w:spacing w:after="0" w:line="253" w:lineRule="auto"/>
        <w:tabs>
          <w:tab w:leader="none" w:pos="571"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Organic sales change </w:t>
      </w:r>
      <w:r>
        <w:rPr>
          <w:rFonts w:ascii="Arial" w:cs="Arial" w:eastAsia="Arial" w:hAnsi="Arial"/>
          <w:sz w:val="18"/>
          <w:szCs w:val="18"/>
          <w:color w:val="auto"/>
        </w:rPr>
        <w:t>refers to the increase or decrease in sales excluding the estimated impact of currency translation, product line exits, acquisitions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divestitures, and, where applicable, the extra week in our fiscal year. The estimated impact of currency translation is calculated on a constant currency basis, with prior period results translated at current period average exchange rates to exclude the effect of currency fluctuations. We believe that organic sales change assists investors in evaluating the sales growth from the ongoing activities of our businesses and provides improved comparability of our results from period to period.</w:t>
      </w:r>
    </w:p>
    <w:p>
      <w:pPr>
        <w:spacing w:after="0" w:line="3" w:lineRule="exact"/>
        <w:rPr>
          <w:rFonts w:ascii="Arial" w:cs="Arial" w:eastAsia="Arial" w:hAnsi="Arial"/>
          <w:sz w:val="18"/>
          <w:szCs w:val="18"/>
          <w:color w:val="auto"/>
        </w:rPr>
      </w:pPr>
    </w:p>
    <w:p>
      <w:pPr>
        <w:jc w:val="both"/>
        <w:ind w:left="580" w:hanging="248"/>
        <w:spacing w:after="0" w:line="250" w:lineRule="auto"/>
        <w:tabs>
          <w:tab w:leader="none" w:pos="774"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refers to cash flow from operations, less payments for property, plant and equipment, software and other deferred charges, plus</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from sales of property, plant and equipment, plus (minus) net proceeds from sales (purchases) of investments, plus (minus) free cash outflow (inflow) from discontinued operations. We believe that free cash flow assists investors by showing the amount of cash we have available for debt reductions, dividends, share repurchases, and acquisitions.</w:t>
      </w:r>
    </w:p>
    <w:p>
      <w:pPr>
        <w:spacing w:after="0" w:line="1" w:lineRule="exact"/>
        <w:rPr>
          <w:rFonts w:ascii="Arial" w:cs="Arial" w:eastAsia="Arial" w:hAnsi="Arial"/>
          <w:sz w:val="18"/>
          <w:szCs w:val="18"/>
          <w:color w:val="auto"/>
        </w:rPr>
      </w:pPr>
    </w:p>
    <w:p>
      <w:pPr>
        <w:jc w:val="both"/>
        <w:ind w:left="580" w:hanging="248"/>
        <w:spacing w:after="0" w:line="252" w:lineRule="auto"/>
        <w:tabs>
          <w:tab w:leader="none" w:pos="693"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Operational working capital </w:t>
      </w:r>
      <w:r>
        <w:rPr>
          <w:rFonts w:ascii="Arial" w:cs="Arial" w:eastAsia="Arial" w:hAnsi="Arial"/>
          <w:sz w:val="18"/>
          <w:szCs w:val="18"/>
          <w:color w:val="auto"/>
        </w:rPr>
        <w:t>refers to trade accounts receivable and inventories, net of accounts payable, and excludes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short-term borrowings, deferred taxes, other current assets and other current liabilities, as well as current assets held for sale. We believe that operational working capital assists investors in assessing our working capital requirements because it excludes the impact of fluctuations attributable to our financing and other activities (which affect cash and cash equivalents, deferred taxes, other current assets, and other current liabilities) that tend to be disparate in amount, frequency, or timing, and that may increase the volatility of working capital as a percentage of sales from period to period. The items excluded from this measure are not significantly influenced by our day-to-day activities managed at the operating level and do not necessarily reflect the underlying trends in our operations.</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 AND OUTLOOK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Period Financial Statement Revision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prior period amounts have been revised to reflect the impact of certain adjustments. Refer to Note 1, “General,” to the unaudited Condensed Consolidated Financial Statements for more information.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286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32"/>
        </w:trPr>
        <w:tc>
          <w:tcPr>
            <w:tcW w:w="6480" w:type="dxa"/>
            <w:vAlign w:val="bottom"/>
          </w:tcPr>
          <w:p>
            <w:pPr>
              <w:spacing w:after="0"/>
              <w:rPr>
                <w:sz w:val="20"/>
                <w:szCs w:val="20"/>
                <w:color w:val="auto"/>
              </w:rPr>
            </w:pPr>
            <w:r>
              <w:rPr>
                <w:rFonts w:ascii="Arial" w:cs="Arial" w:eastAsia="Arial" w:hAnsi="Arial"/>
                <w:sz w:val="18"/>
                <w:szCs w:val="18"/>
                <w:color w:val="auto"/>
              </w:rPr>
              <w:t>The factors impacting the reported sales change are shown in the table below:</w:t>
            </w:r>
          </w:p>
        </w:tc>
        <w:tc>
          <w:tcPr>
            <w:tcW w:w="28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414"/>
        </w:trPr>
        <w:tc>
          <w:tcPr>
            <w:tcW w:w="6480" w:type="dxa"/>
            <w:vAlign w:val="bottom"/>
          </w:tcPr>
          <w:p>
            <w:pPr>
              <w:spacing w:after="0"/>
              <w:rPr>
                <w:sz w:val="24"/>
                <w:szCs w:val="24"/>
                <w:color w:val="auto"/>
              </w:rPr>
            </w:pPr>
          </w:p>
        </w:tc>
        <w:tc>
          <w:tcPr>
            <w:tcW w:w="2860" w:type="dxa"/>
            <w:vAlign w:val="bottom"/>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2080" w:type="dxa"/>
            <w:vAlign w:val="bottom"/>
          </w:tcPr>
          <w:p>
            <w:pPr>
              <w:jc w:val="right"/>
              <w:ind w:right="2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64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October 1, 2016</w:t>
            </w:r>
          </w:p>
        </w:tc>
        <w:tc>
          <w:tcPr>
            <w:tcW w:w="2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October 1, 2016</w:t>
            </w: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Reported sales change</w:t>
            </w:r>
          </w:p>
        </w:tc>
        <w:tc>
          <w:tcPr>
            <w:tcW w:w="2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208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1%</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2860" w:type="dxa"/>
            <w:vAlign w:val="bottom"/>
          </w:tcPr>
          <w:p>
            <w:pPr>
              <w:jc w:val="right"/>
              <w:ind w:right="270"/>
              <w:spacing w:after="0"/>
              <w:rPr>
                <w:sz w:val="20"/>
                <w:szCs w:val="20"/>
                <w:color w:val="auto"/>
              </w:rPr>
            </w:pPr>
            <w:r>
              <w:rPr>
                <w:rFonts w:ascii="Arial" w:cs="Arial" w:eastAsia="Arial" w:hAnsi="Arial"/>
                <w:sz w:val="18"/>
                <w:szCs w:val="18"/>
                <w:color w:val="auto"/>
              </w:rPr>
              <w:t>2</w:t>
            </w:r>
          </w:p>
        </w:tc>
        <w:tc>
          <w:tcPr>
            <w:tcW w:w="2080" w:type="dxa"/>
            <w:vAlign w:val="bottom"/>
          </w:tcPr>
          <w:p>
            <w:pPr>
              <w:ind w:left="1660"/>
              <w:spacing w:after="0"/>
              <w:rPr>
                <w:sz w:val="20"/>
                <w:szCs w:val="20"/>
                <w:color w:val="auto"/>
              </w:rPr>
            </w:pPr>
            <w:r>
              <w:rPr>
                <w:rFonts w:ascii="Arial" w:cs="Arial" w:eastAsia="Arial" w:hAnsi="Arial"/>
                <w:sz w:val="18"/>
                <w:szCs w:val="18"/>
                <w:color w:val="auto"/>
              </w:rPr>
              <w:t>3</w:t>
            </w:r>
          </w:p>
        </w:tc>
      </w:tr>
      <w:tr>
        <w:trPr>
          <w:trHeight w:val="216"/>
        </w:trPr>
        <w:tc>
          <w:tcPr>
            <w:tcW w:w="6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Acquisitions/divestiture</w:t>
            </w:r>
          </w:p>
        </w:tc>
        <w:tc>
          <w:tcPr>
            <w:tcW w:w="28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w:t>
            </w:r>
          </w:p>
        </w:tc>
        <w:tc>
          <w:tcPr>
            <w:tcW w:w="2080" w:type="dxa"/>
            <w:vAlign w:val="bottom"/>
            <w:tcBorders>
              <w:bottom w:val="single" w:sz="8" w:color="auto"/>
            </w:tcBorders>
            <w:shd w:val="clear" w:color="auto" w:fill="CCEEFF"/>
          </w:tcPr>
          <w:p>
            <w:pPr>
              <w:ind w:left="1660"/>
              <w:spacing w:after="0"/>
              <w:rPr>
                <w:sz w:val="20"/>
                <w:szCs w:val="20"/>
                <w:color w:val="auto"/>
              </w:rPr>
            </w:pPr>
            <w:r>
              <w:rPr>
                <w:rFonts w:ascii="Arial" w:cs="Arial" w:eastAsia="Arial" w:hAnsi="Arial"/>
                <w:sz w:val="18"/>
                <w:szCs w:val="18"/>
                <w:color w:val="auto"/>
              </w:rPr>
              <w:t>–</w:t>
            </w:r>
          </w:p>
        </w:tc>
      </w:tr>
      <w:tr>
        <w:trPr>
          <w:trHeight w:val="217"/>
        </w:trPr>
        <w:tc>
          <w:tcPr>
            <w:tcW w:w="6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Organic sales change</w:t>
            </w:r>
          </w:p>
        </w:tc>
        <w:tc>
          <w:tcPr>
            <w:tcW w:w="2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w:t>
            </w:r>
          </w:p>
        </w:tc>
        <w:tc>
          <w:tcPr>
            <w:tcW w:w="2080" w:type="dxa"/>
            <w:vAlign w:val="bottom"/>
            <w:tcBorders>
              <w:bottom w:val="single" w:sz="8" w:color="auto"/>
            </w:tcBorders>
          </w:tcPr>
          <w:p>
            <w:pPr>
              <w:ind w:left="1660"/>
              <w:spacing w:after="0"/>
              <w:rPr>
                <w:sz w:val="20"/>
                <w:szCs w:val="20"/>
                <w:color w:val="auto"/>
              </w:rPr>
            </w:pPr>
            <w:r>
              <w:rPr>
                <w:rFonts w:ascii="Arial" w:cs="Arial" w:eastAsia="Arial" w:hAnsi="Arial"/>
                <w:sz w:val="18"/>
                <w:szCs w:val="18"/>
                <w:color w:val="auto"/>
              </w:rPr>
              <w:t>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the three and nine months ended October 1, 2016, net sales increased on an organic basis primarily due to higher volume.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Continuing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from continuing operations increased approximately $41 million in the first nine months of 2016 compared to the same period last year. The primary factors affecting income from continuing operations for the first nine months of 2016 were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Positive factors:</w:t>
      </w:r>
    </w:p>
    <w:p>
      <w:pPr>
        <w:spacing w:after="0" w:line="23" w:lineRule="exact"/>
        <w:rPr>
          <w:sz w:val="20"/>
          <w:szCs w:val="20"/>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Benefits from productivity initiatives, including savings from restructuring actions, net of transition costs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Higher volume</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Lower restructuring charges</w:t>
      </w:r>
    </w:p>
    <w:p>
      <w:pPr>
        <w:sectPr>
          <w:pgSz w:w="11900" w:h="16875" w:orient="portrait"/>
          <w:cols w:equalWidth="0" w:num="1">
            <w:col w:w="11420"/>
          </w:cols>
          <w:pgMar w:left="240" w:top="108" w:right="239" w:bottom="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Offsetting factors:</w:t>
      </w:r>
    </w:p>
    <w:p>
      <w:pPr>
        <w:spacing w:after="0" w:line="23" w:lineRule="exact"/>
        <w:rPr>
          <w:sz w:val="20"/>
          <w:szCs w:val="20"/>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Higher employee-related costs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from settlement of pension obligations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impact of pricing and raw material input costs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Unfavorable mix</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Reduction 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2015/2016 Actions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nine months ended October 1, 2016, we recorded $15 million in restructuring charges, net of reversals, related to restructuring actions initiated during the third quarter of 2015 that we expect to continue through 2016 (“2015/2016 Actions”). These charges consisted of severance and related costs for the reduction of approximately 310 positions, lease cancellation costs, and asset impairment charges.</w:t>
      </w:r>
    </w:p>
    <w:p>
      <w:pPr>
        <w:spacing w:after="0" w:line="19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During fiscal year 2015, we recorded $26.1 million in restructuring charges, net of reversals, related to our 2015/2016 Actions. These charges consisted of severance and related costs for the reduction of approximately 430 positions, lease cancellation costs, and asset impairment charges.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employees impacted by our 2015/2016 Actions taken through October 1, 2016 remained employed with us as of such date. We expect charges and payments related to these actions to be substantially completed in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2014/2015 Actions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fiscal year 2015, we recorded $33.4 million in restructuring charges, net of reversals, related to restructuring actions we initiated in 2014 that continued through the second quarter of 2015 (“2014/2015 Actions”). These charges consisted of severance and related costs for the reduction of approximately 605 positions, lease cancellation costs, and asset impairment charges.</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Approximately 25 employees impacted by our 2014/2015 Actions remained employed with us as of October 1, 2016. We expect charges and payments related to these actions to be substantially completed in 2016.</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Cost Reduction Actions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2016, we expect to realize more than $75 million in savings, net of transition costs, from our 2015/2016 Actions and 2014/2015 Actions. We anticipate carryover savings from these actions in 2017.</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Restructuring charges were included in “Other expense, net” in the unaudited Condensed Consolidated Statements of Income. Refer to Note 9, “Cost Reduction Actions,” to the unaudited Condensed Consolidated Financial Statements for more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August 1, 2016, we completed the acquisition of the European business of MACtac (“Mactac”) from Platinum Equity through the purchase of Evergreen Holding V, LLC. Mactac manufactures pressure-sensitive materials that complement our existing graphics portfolio and has been included in our Pressure-sensitive Materials segment. The total consideration for this acquisition, net of cash received, was approximately $222 million, which we funded primarily through existing credit facilities. The purchase price is subject to certain adjustments in accordance with the terms of the purchase agreement.</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Due to the time required to complete our assessment, the final valuation of certain acquired assets and liabilities, including property, plant and equipment, intangible assets, taxes, and environmental and asset retirement obligations, is currently pending.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This acquisition was not material to our condensed consolidated financial statements.</w:t>
            </w: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32"/>
        </w:trPr>
        <w:tc>
          <w:tcPr>
            <w:tcW w:w="7900" w:type="dxa"/>
            <w:vAlign w:val="bottom"/>
          </w:tcPr>
          <w:p>
            <w:pPr>
              <w:spacing w:after="0"/>
              <w:rPr>
                <w:sz w:val="20"/>
                <w:szCs w:val="20"/>
                <w:color w:val="auto"/>
              </w:rPr>
            </w:pPr>
            <w:r>
              <w:rPr>
                <w:rFonts w:ascii="Arial" w:cs="Arial" w:eastAsia="Arial" w:hAnsi="Arial"/>
                <w:sz w:val="18"/>
                <w:szCs w:val="18"/>
                <w:b w:val="1"/>
                <w:bCs w:val="1"/>
                <w:color w:val="auto"/>
              </w:rPr>
              <w:t>Free Cash Flow</w:t>
            </w: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79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Nine Months Ended</w:t>
            </w:r>
          </w:p>
        </w:tc>
        <w:tc>
          <w:tcPr>
            <w:tcW w:w="780" w:type="dxa"/>
            <w:vAlign w:val="bottom"/>
            <w:tcBorders>
              <w:bottom w:val="single" w:sz="8" w:color="auto"/>
            </w:tcBorders>
          </w:tcPr>
          <w:p>
            <w:pPr>
              <w:spacing w:after="0"/>
              <w:rPr>
                <w:sz w:val="24"/>
                <w:szCs w:val="24"/>
                <w:color w:val="auto"/>
              </w:rPr>
            </w:pPr>
          </w:p>
        </w:tc>
      </w:tr>
      <w:tr>
        <w:trPr>
          <w:trHeight w:val="210"/>
        </w:trPr>
        <w:tc>
          <w:tcPr>
            <w:tcW w:w="7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90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October 1, 2016</w:t>
            </w:r>
          </w:p>
        </w:tc>
        <w:tc>
          <w:tcPr>
            <w:tcW w:w="16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October 3, 2015</w:t>
            </w: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365.7</w:t>
            </w:r>
          </w:p>
        </w:tc>
        <w:tc>
          <w:tcPr>
            <w:tcW w:w="8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282.2</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700" w:type="dxa"/>
            <w:vAlign w:val="bottom"/>
          </w:tcPr>
          <w:p>
            <w:pPr>
              <w:spacing w:after="0"/>
              <w:rPr>
                <w:sz w:val="18"/>
                <w:szCs w:val="18"/>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(104.9)</w:t>
            </w: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(89.6)</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Purchases of software and other deferred charges</w:t>
            </w: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(16.6)</w:t>
            </w: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Proceeds from sales of property, plant and equipment</w:t>
            </w:r>
          </w:p>
        </w:tc>
        <w:tc>
          <w:tcPr>
            <w:tcW w:w="700" w:type="dxa"/>
            <w:vAlign w:val="bottom"/>
          </w:tcPr>
          <w:p>
            <w:pPr>
              <w:spacing w:after="0"/>
              <w:rPr>
                <w:sz w:val="18"/>
                <w:szCs w:val="18"/>
                <w:color w:val="auto"/>
              </w:rPr>
            </w:pP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4.3</w:t>
            </w:r>
          </w:p>
        </w:tc>
        <w:tc>
          <w:tcPr>
            <w:tcW w:w="84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7.1</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Purchases of investments, net</w:t>
            </w: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w:t>
            </w: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Plus: free cash outflow from discontinued operations</w:t>
            </w:r>
          </w:p>
        </w:tc>
        <w:tc>
          <w:tcPr>
            <w:tcW w:w="7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r>
      <w:tr>
        <w:trPr>
          <w:trHeight w:val="217"/>
        </w:trPr>
        <w:tc>
          <w:tcPr>
            <w:tcW w:w="79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Free cash flow</w:t>
            </w:r>
          </w:p>
        </w:tc>
        <w:tc>
          <w:tcPr>
            <w:tcW w:w="7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247.7</w:t>
            </w:r>
          </w:p>
        </w:tc>
        <w:tc>
          <w:tcPr>
            <w:tcW w:w="8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191.1</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nine months of 2016, cash flow from operating activities increased compared to the same period last year primarily due to higher net income, lower income tax payments, and benefits from changes in operational working capital, partially offset by higher incentive compensation payments. During the first nine months of 2016, free cash flow increased compared to the same period last year primarily due to higher cash flow from operating activities, partially offset by higher capital and software expenditures in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factors that we believe may contribute to our full year 2016 results are described below:</w:t>
      </w:r>
    </w:p>
    <w:p>
      <w:pPr>
        <w:sectPr>
          <w:pgSz w:w="11900" w:h="16838" w:orient="portrait"/>
          <w:cols w:equalWidth="0" w:num="1">
            <w:col w:w="11420"/>
          </w:cols>
          <w:pgMar w:left="240" w:top="341" w:right="239" w:bottom="32" w:gutter="0" w:footer="0" w:header="0"/>
        </w:sectPr>
      </w:pPr>
    </w:p>
    <w:bookmarkStart w:id="16" w:name="page17"/>
    <w:bookmarkEnd w:id="16"/>
    <w:p>
      <w:pPr>
        <w:ind w:left="660" w:hanging="328"/>
        <w:spacing w:after="0" w:line="258" w:lineRule="auto"/>
        <w:tabs>
          <w:tab w:leader="none" w:pos="867"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expect net sales growth of 1% to 1.5%, including organic sales growth of 3% to 3.5%, the impact of currency translation, and the effect of acquisitions net of divestitures.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expect earnings to increase.</w:t>
      </w:r>
    </w:p>
    <w:p>
      <w:pPr>
        <w:spacing w:after="0" w:line="9" w:lineRule="exact"/>
        <w:rPr>
          <w:rFonts w:ascii="Arial" w:cs="Arial" w:eastAsia="Arial" w:hAnsi="Arial"/>
          <w:sz w:val="18"/>
          <w:szCs w:val="18"/>
          <w:color w:val="auto"/>
        </w:rPr>
      </w:pPr>
    </w:p>
    <w:p>
      <w:pPr>
        <w:ind w:left="660" w:hanging="328"/>
        <w:spacing w:after="0" w:line="250" w:lineRule="auto"/>
        <w:tabs>
          <w:tab w:leader="none" w:pos="6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currency rates in effect during October 2016, we expect currency translation to reduce net sales by approximately 2.5% and reduce pre-tax income by approximately $16 million.</w:t>
      </w:r>
    </w:p>
    <w:p>
      <w:pPr>
        <w:ind w:left="660" w:right="20" w:hanging="328"/>
        <w:spacing w:after="0" w:line="250" w:lineRule="auto"/>
        <w:tabs>
          <w:tab w:leader="none" w:pos="638"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expect the Mactac acquisition to increase our full-year reported net sales by approximately 1% and immaterially impact net income due to related transition costs.</w:t>
      </w: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expect our full-year effective tax rate to be approximately 33%.</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anticipate capital and software expenditures of approximately $200 million.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estimate cash restructuring charges of approximately $20 million.</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ANALYSIS OF RESULTS OF OPERATIONS FOR THE THIRD QUARTER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Continuing Operations before Taxes</w:t>
      </w:r>
    </w:p>
    <w:p>
      <w:pPr>
        <w:spacing w:after="0" w:line="225" w:lineRule="exact"/>
        <w:rPr>
          <w:sz w:val="20"/>
          <w:szCs w:val="20"/>
          <w:color w:val="auto"/>
        </w:rPr>
      </w:pPr>
    </w:p>
    <w:p>
      <w:pPr>
        <w:ind w:left="87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20" w:type="dxa"/>
            <w:vAlign w:val="bottom"/>
            <w:gridSpan w:val="2"/>
          </w:tcPr>
          <w:p>
            <w:pPr>
              <w:spacing w:after="0"/>
              <w:rPr>
                <w:sz w:val="20"/>
                <w:szCs w:val="20"/>
                <w:color w:val="auto"/>
              </w:rPr>
            </w:pPr>
            <w:r>
              <w:rPr>
                <w:rFonts w:ascii="Arial" w:cs="Arial" w:eastAsia="Arial" w:hAnsi="Arial"/>
                <w:sz w:val="14"/>
                <w:szCs w:val="14"/>
                <w:color w:val="auto"/>
              </w:rPr>
              <w:t>(In millions, except percentages)</w:t>
            </w:r>
          </w:p>
        </w:tc>
        <w:tc>
          <w:tcPr>
            <w:tcW w:w="1900" w:type="dxa"/>
            <w:vAlign w:val="bottom"/>
            <w:tcBorders>
              <w:top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October 1, 2016</w:t>
            </w:r>
          </w:p>
        </w:tc>
        <w:tc>
          <w:tcPr>
            <w:tcW w:w="160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October 3,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72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1,508.7</w:t>
            </w:r>
          </w:p>
        </w:tc>
        <w:tc>
          <w:tcPr>
            <w:tcW w:w="64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products sold</w:t>
            </w:r>
          </w:p>
        </w:tc>
        <w:tc>
          <w:tcPr>
            <w:tcW w:w="7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1,091.1</w:t>
            </w:r>
          </w:p>
        </w:tc>
        <w:tc>
          <w:tcPr>
            <w:tcW w:w="6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1,062.2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417.6</w:t>
            </w: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Marketing, general and administrative expense</w:t>
            </w:r>
          </w:p>
        </w:tc>
        <w:tc>
          <w:tcPr>
            <w:tcW w:w="720" w:type="dxa"/>
            <w:vAlign w:val="bottom"/>
          </w:tcPr>
          <w:p>
            <w:pPr>
              <w:spacing w:after="0"/>
              <w:rPr>
                <w:sz w:val="18"/>
                <w:szCs w:val="18"/>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270.3</w:t>
            </w:r>
          </w:p>
        </w:tc>
        <w:tc>
          <w:tcPr>
            <w:tcW w:w="64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14.7</w:t>
            </w: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expense, net</w:t>
            </w:r>
          </w:p>
        </w:tc>
        <w:tc>
          <w:tcPr>
            <w:tcW w:w="7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4.6</w:t>
            </w:r>
          </w:p>
        </w:tc>
        <w:tc>
          <w:tcPr>
            <w:tcW w:w="6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 before taxes</w:t>
            </w:r>
          </w:p>
        </w:tc>
        <w:tc>
          <w:tcPr>
            <w:tcW w:w="7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128.0</w:t>
            </w:r>
          </w:p>
        </w:tc>
        <w:tc>
          <w:tcPr>
            <w:tcW w:w="6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Gross profit margin</w:t>
            </w:r>
          </w:p>
        </w:tc>
        <w:tc>
          <w:tcPr>
            <w:tcW w:w="7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27.7%</w:t>
            </w:r>
          </w:p>
        </w:tc>
        <w:tc>
          <w:tcPr>
            <w:tcW w:w="6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margin for the third quarter of 2016 increased compared to the same period last year reflecting benefits from productivity initiatives, including savings from restructuring, net of transition costs, and higher volume, partially offset by the net impact of pricing and raw material input costs, higher employee-related costs, and unfavorable mix.</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General and Administrative Expense</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Marketing, general and administrative expense increased in the third quarter of 2016 compared to the same period last year reflecting higher employee-related costs and other items, partially offset by benefits from productivity initiatives, including savings from restructuring, net of transition costs.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spacing w:after="0"/>
              <w:rPr>
                <w:sz w:val="20"/>
                <w:szCs w:val="20"/>
                <w:color w:val="auto"/>
              </w:rPr>
            </w:pPr>
            <w:r>
              <w:rPr>
                <w:rFonts w:ascii="Arial" w:cs="Arial" w:eastAsia="Arial" w:hAnsi="Arial"/>
                <w:sz w:val="18"/>
                <w:szCs w:val="18"/>
                <w:i w:val="1"/>
                <w:iCs w:val="1"/>
                <w:color w:val="auto"/>
              </w:rPr>
              <w:t>Other Expense, net</w:t>
            </w:r>
          </w:p>
        </w:tc>
        <w:tc>
          <w:tcPr>
            <w:tcW w:w="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32"/>
        </w:trPr>
        <w:tc>
          <w:tcPr>
            <w:tcW w:w="79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c>
          <w:tcPr>
            <w:tcW w:w="660" w:type="dxa"/>
            <w:vAlign w:val="bottom"/>
            <w:tcBorders>
              <w:bottom w:val="single" w:sz="8" w:color="auto"/>
            </w:tcBorders>
          </w:tcPr>
          <w:p>
            <w:pPr>
              <w:spacing w:after="0"/>
              <w:rPr>
                <w:sz w:val="24"/>
                <w:szCs w:val="24"/>
                <w:color w:val="auto"/>
              </w:rPr>
            </w:pPr>
          </w:p>
        </w:tc>
      </w:tr>
      <w:tr>
        <w:trPr>
          <w:trHeight w:val="210"/>
        </w:trPr>
        <w:tc>
          <w:tcPr>
            <w:tcW w:w="7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80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October 1, 2016</w:t>
            </w:r>
          </w:p>
        </w:tc>
        <w:tc>
          <w:tcPr>
            <w:tcW w:w="16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October 3, 2015</w:t>
            </w: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 net by type</w:t>
            </w:r>
          </w:p>
        </w:tc>
        <w:tc>
          <w:tcPr>
            <w:tcW w:w="6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Restructuring charges:</w:t>
            </w: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Severance and related costs</w:t>
            </w:r>
          </w:p>
        </w:tc>
        <w:tc>
          <w:tcPr>
            <w:tcW w:w="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1.9</w:t>
            </w:r>
          </w:p>
        </w:tc>
        <w:tc>
          <w:tcPr>
            <w:tcW w:w="9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Asset impairment charges and lease cancellation costs</w:t>
            </w:r>
          </w:p>
        </w:tc>
        <w:tc>
          <w:tcPr>
            <w:tcW w:w="640" w:type="dxa"/>
            <w:vAlign w:val="bottom"/>
          </w:tcPr>
          <w:p>
            <w:pPr>
              <w:spacing w:after="0"/>
              <w:rPr>
                <w:sz w:val="18"/>
                <w:szCs w:val="18"/>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.7</w:t>
            </w:r>
          </w:p>
        </w:tc>
        <w:tc>
          <w:tcPr>
            <w:tcW w:w="98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1.9</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items:</w:t>
            </w:r>
          </w:p>
        </w:tc>
        <w:tc>
          <w:tcPr>
            <w:tcW w:w="6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Transaction costs</w:t>
            </w:r>
          </w:p>
        </w:tc>
        <w:tc>
          <w:tcPr>
            <w:tcW w:w="640" w:type="dxa"/>
            <w:vAlign w:val="bottom"/>
          </w:tcPr>
          <w:p>
            <w:pPr>
              <w:spacing w:after="0"/>
              <w:rPr>
                <w:sz w:val="18"/>
                <w:szCs w:val="18"/>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2.0</w:t>
            </w:r>
          </w:p>
        </w:tc>
        <w:tc>
          <w:tcPr>
            <w:tcW w:w="98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sale of product line</w:t>
            </w:r>
          </w:p>
        </w:tc>
        <w:tc>
          <w:tcPr>
            <w:tcW w:w="6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r>
      <w:tr>
        <w:trPr>
          <w:trHeight w:val="216"/>
        </w:trPr>
        <w:tc>
          <w:tcPr>
            <w:tcW w:w="7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Legal settlement</w:t>
            </w: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r>
      <w:tr>
        <w:trPr>
          <w:trHeight w:val="217"/>
        </w:trPr>
        <w:tc>
          <w:tcPr>
            <w:tcW w:w="7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6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4.6</w:t>
            </w:r>
          </w:p>
        </w:tc>
        <w:tc>
          <w:tcPr>
            <w:tcW w:w="9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Refer to Note 9, “Cost Reduction Actions,” to the unaudited Condensed Consolidated Financial Statements for more information regarding charges associated with restructuring.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Earnings per Share</w:t>
      </w:r>
    </w:p>
    <w:p>
      <w:pPr>
        <w:spacing w:after="0" w:line="225" w:lineRule="exact"/>
        <w:rPr>
          <w:sz w:val="20"/>
          <w:szCs w:val="20"/>
          <w:color w:val="auto"/>
        </w:rPr>
      </w:pPr>
    </w:p>
    <w:p>
      <w:pPr>
        <w:ind w:left="88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60" w:type="dxa"/>
            <w:vAlign w:val="bottom"/>
            <w:gridSpan w:val="2"/>
          </w:tcPr>
          <w:p>
            <w:pPr>
              <w:spacing w:after="0"/>
              <w:rPr>
                <w:sz w:val="20"/>
                <w:szCs w:val="20"/>
                <w:color w:val="auto"/>
              </w:rPr>
            </w:pPr>
            <w:r>
              <w:rPr>
                <w:rFonts w:ascii="Arial" w:cs="Arial" w:eastAsia="Arial" w:hAnsi="Arial"/>
                <w:sz w:val="14"/>
                <w:szCs w:val="14"/>
                <w:color w:val="auto"/>
              </w:rPr>
              <w:t>(In millions, except per share amounts)</w:t>
            </w:r>
          </w:p>
        </w:tc>
        <w:tc>
          <w:tcPr>
            <w:tcW w:w="1860" w:type="dxa"/>
            <w:vAlign w:val="bottom"/>
            <w:tcBorders>
              <w:top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October 1, 2016</w:t>
            </w:r>
          </w:p>
        </w:tc>
        <w:tc>
          <w:tcPr>
            <w:tcW w:w="160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October 3,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 before taxes</w:t>
            </w:r>
          </w:p>
        </w:tc>
        <w:tc>
          <w:tcPr>
            <w:tcW w:w="78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128.0</w:t>
            </w:r>
          </w:p>
        </w:tc>
        <w:tc>
          <w:tcPr>
            <w:tcW w:w="7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7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38.9</w:t>
            </w:r>
          </w:p>
        </w:tc>
        <w:tc>
          <w:tcPr>
            <w:tcW w:w="7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7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89.1</w:t>
            </w: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Loss from discontinued operations</w:t>
            </w:r>
          </w:p>
        </w:tc>
        <w:tc>
          <w:tcPr>
            <w:tcW w:w="7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7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89.1</w:t>
            </w:r>
          </w:p>
        </w:tc>
        <w:tc>
          <w:tcPr>
            <w:tcW w:w="7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1.00</w:t>
            </w: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per common share, assuming dilution</w:t>
            </w:r>
          </w:p>
        </w:tc>
        <w:tc>
          <w:tcPr>
            <w:tcW w:w="7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.98</w:t>
            </w:r>
          </w:p>
        </w:tc>
        <w:tc>
          <w:tcPr>
            <w:tcW w:w="7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Effective tax rate for continuing operations</w:t>
            </w:r>
          </w:p>
        </w:tc>
        <w:tc>
          <w:tcPr>
            <w:tcW w:w="7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30.4%</w:t>
            </w:r>
          </w:p>
        </w:tc>
        <w:tc>
          <w:tcPr>
            <w:tcW w:w="7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17" w:name="page18"/>
    <w:bookmarkEnd w:id="17"/>
    <w:p>
      <w:pPr>
        <w:ind w:left="40"/>
        <w:spacing w:after="0"/>
        <w:rPr>
          <w:sz w:val="20"/>
          <w:szCs w:val="20"/>
          <w:color w:val="auto"/>
        </w:rPr>
      </w:pPr>
      <w:r>
        <w:rPr>
          <w:rFonts w:ascii="Arial" w:cs="Arial" w:eastAsia="Arial" w:hAnsi="Arial"/>
          <w:sz w:val="18"/>
          <w:szCs w:val="18"/>
          <w:i w:val="1"/>
          <w:iCs w:val="1"/>
          <w:color w:val="auto"/>
        </w:rPr>
        <w:t>Provision for Income Taxes</w:t>
      </w:r>
    </w:p>
    <w:p>
      <w:pPr>
        <w:spacing w:after="0" w:line="23"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The effective tax rate for the three months ended October 1, 2016 reflected the impact of favorable geographic mixture of pretax income and included the following: $4.8 million of tax expense resulting from return to provision adjustments pursuant to the completion of the 2015 U.S. federal tax return; $1 million of tax benefit from our change in judgment about</w:t>
      </w:r>
    </w:p>
    <w:p>
      <w:pPr>
        <w:spacing w:after="0" w:line="190"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tax filing positions in certain foreign jurisdictions as a result of new information gained from our interactions with tax authorities; $17.7 million of tax expense associated with the tax cost to repatriate non-permanently reinvested earnings of certain foreign subsidiaries; and $11.1 million of tax benefit resulting from effective settlements of tax examinations in various foreign jurisdictions.</w:t>
      </w:r>
    </w:p>
    <w:p>
      <w:pPr>
        <w:spacing w:after="0" w:line="181"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The effective tax rate for continuing operations for the three months ended October 3, 2015 included $4.2 million of tax benefit resulting from return to provision adjustments pursuant to the completion of the 2014 U.S. federal tax return and $.9 million of tax benefit from a favorable foreign tax law change.</w:t>
      </w:r>
    </w:p>
    <w:p>
      <w:pPr>
        <w:spacing w:after="0" w:line="12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Our effective tax rate can vary widely from quarter to quarter due to interim reporting requirements, the recognition of discrete events, and the timing of repatriation of foreign earnings. Refer to Note 11, “Taxes Based on Income,” to the unaudited Condensed Consolidated Financial Statements for further information.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RESULTS OF OPERATIONS BY REPORTABLE SEGMENT FOR THE THIRD QUARTER</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53"/>
        </w:trPr>
        <w:tc>
          <w:tcPr>
            <w:tcW w:w="7540" w:type="dxa"/>
            <w:vAlign w:val="bottom"/>
            <w:gridSpan w:val="2"/>
          </w:tcPr>
          <w:p>
            <w:pPr>
              <w:spacing w:after="0"/>
              <w:rPr>
                <w:sz w:val="20"/>
                <w:szCs w:val="20"/>
                <w:color w:val="auto"/>
              </w:rPr>
            </w:pPr>
            <w:r>
              <w:rPr>
                <w:rFonts w:ascii="Arial" w:cs="Arial" w:eastAsia="Arial" w:hAnsi="Arial"/>
                <w:sz w:val="18"/>
                <w:szCs w:val="18"/>
                <w:color w:val="auto"/>
              </w:rPr>
              <w:t>Operating income refers to income before interest and taxes.</w:t>
            </w: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2"/>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Pressure-sensitive Materials</w:t>
            </w: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2"/>
        </w:trPr>
        <w:tc>
          <w:tcPr>
            <w:tcW w:w="7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9"/>
              </w:rPr>
              <w:t>Three Months Ended</w:t>
            </w:r>
          </w:p>
        </w:tc>
        <w:tc>
          <w:tcPr>
            <w:tcW w:w="800" w:type="dxa"/>
            <w:vAlign w:val="bottom"/>
            <w:tcBorders>
              <w:bottom w:val="single" w:sz="8" w:color="auto"/>
            </w:tcBorders>
          </w:tcPr>
          <w:p>
            <w:pPr>
              <w:spacing w:after="0"/>
              <w:rPr>
                <w:sz w:val="24"/>
                <w:szCs w:val="24"/>
                <w:color w:val="auto"/>
              </w:rPr>
            </w:pPr>
          </w:p>
        </w:tc>
      </w:tr>
      <w:tr>
        <w:trPr>
          <w:trHeight w:val="210"/>
        </w:trPr>
        <w:tc>
          <w:tcPr>
            <w:tcW w:w="7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4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rPr>
              <w:t>October 1, 2016</w:t>
            </w:r>
          </w:p>
        </w:tc>
        <w:tc>
          <w:tcPr>
            <w:tcW w:w="16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October 3, 2015</w:t>
            </w:r>
          </w:p>
        </w:tc>
      </w:tr>
      <w:tr>
        <w:trPr>
          <w:trHeight w:val="210"/>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 including intersegment sales</w:t>
            </w: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1,140.1</w:t>
            </w:r>
          </w:p>
        </w:tc>
        <w:tc>
          <w:tcPr>
            <w:tcW w:w="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1,098.3</w:t>
            </w:r>
          </w:p>
        </w:tc>
      </w:tr>
      <w:tr>
        <w:trPr>
          <w:trHeight w:val="216"/>
        </w:trPr>
        <w:tc>
          <w:tcPr>
            <w:tcW w:w="7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Less intersegment sales</w:t>
            </w:r>
          </w:p>
        </w:tc>
        <w:tc>
          <w:tcPr>
            <w:tcW w:w="4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(16.3)</w:t>
            </w:r>
          </w:p>
        </w:tc>
        <w:tc>
          <w:tcPr>
            <w:tcW w:w="8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10"/>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1,123.8</w:t>
            </w:r>
          </w:p>
        </w:tc>
        <w:tc>
          <w:tcPr>
            <w:tcW w:w="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1,083.7</w:t>
            </w:r>
          </w:p>
        </w:tc>
      </w:tr>
      <w:tr>
        <w:trPr>
          <w:trHeight w:val="223"/>
        </w:trPr>
        <w:tc>
          <w:tcPr>
            <w:tcW w:w="7540" w:type="dxa"/>
            <w:vAlign w:val="bottom"/>
            <w:tcBorders>
              <w:bottom w:val="single" w:sz="8" w:color="auto"/>
            </w:tcBorders>
            <w:gridSpan w:val="2"/>
          </w:tcPr>
          <w:p>
            <w:pPr>
              <w:spacing w:after="0" w:line="216" w:lineRule="exact"/>
              <w:rPr>
                <w:sz w:val="20"/>
                <w:szCs w:val="20"/>
                <w:color w:val="auto"/>
              </w:rPr>
            </w:pPr>
            <w:r>
              <w:rPr>
                <w:rFonts w:ascii="Arial" w:cs="Arial" w:eastAsia="Arial" w:hAnsi="Arial"/>
                <w:sz w:val="18"/>
                <w:szCs w:val="18"/>
                <w:color w:val="auto"/>
              </w:rPr>
              <w:t>Operating income</w:t>
            </w:r>
            <w:r>
              <w:rPr>
                <w:rFonts w:ascii="Arial" w:cs="Arial" w:eastAsia="Arial" w:hAnsi="Arial"/>
                <w:sz w:val="23"/>
                <w:szCs w:val="23"/>
                <w:color w:val="auto"/>
                <w:vertAlign w:val="superscript"/>
              </w:rPr>
              <w:t>(1)</w:t>
            </w: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138.7</w:t>
            </w:r>
          </w:p>
        </w:tc>
        <w:tc>
          <w:tcPr>
            <w:tcW w:w="8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130.5</w:t>
            </w:r>
          </w:p>
        </w:tc>
      </w:tr>
      <w:tr>
        <w:trPr>
          <w:trHeight w:val="284"/>
        </w:trPr>
        <w:tc>
          <w:tcPr>
            <w:tcW w:w="75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Included costs associated with restructuring in both years and transaction costs in 2016.</w:t>
            </w:r>
          </w:p>
        </w:tc>
        <w:tc>
          <w:tcPr>
            <w:tcW w:w="114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2.7</w:t>
            </w:r>
          </w:p>
        </w:tc>
        <w:tc>
          <w:tcPr>
            <w:tcW w:w="8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r>
      <w:tr>
        <w:trPr>
          <w:trHeight w:val="411"/>
        </w:trPr>
        <w:tc>
          <w:tcPr>
            <w:tcW w:w="7540" w:type="dxa"/>
            <w:vAlign w:val="bottom"/>
            <w:gridSpan w:val="2"/>
          </w:tcPr>
          <w:p>
            <w:pPr>
              <w:spacing w:after="0"/>
              <w:rPr>
                <w:sz w:val="20"/>
                <w:szCs w:val="20"/>
                <w:color w:val="auto"/>
              </w:rPr>
            </w:pPr>
            <w:r>
              <w:rPr>
                <w:rFonts w:ascii="Arial" w:cs="Arial" w:eastAsia="Arial" w:hAnsi="Arial"/>
                <w:sz w:val="18"/>
                <w:szCs w:val="18"/>
                <w:i w:val="1"/>
                <w:iCs w:val="1"/>
                <w:color w:val="auto"/>
              </w:rPr>
              <w:t>Net Sales</w:t>
            </w: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The factors impacting the reported sales change are shown in the table below:</w:t>
            </w: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14"/>
        </w:trPr>
        <w:tc>
          <w:tcPr>
            <w:tcW w:w="7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8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Three Months Ended</w:t>
            </w: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4"/>
        </w:trPr>
        <w:tc>
          <w:tcPr>
            <w:tcW w:w="7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October 1, 2016</w:t>
            </w: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10"/>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Reported sales change</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4 %</w:t>
            </w: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2</w:t>
            </w: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5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Acquisitions</w:t>
            </w:r>
          </w:p>
        </w:tc>
        <w:tc>
          <w:tcPr>
            <w:tcW w:w="4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w:t>
            </w: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7"/>
        </w:trPr>
        <w:tc>
          <w:tcPr>
            <w:tcW w:w="7540" w:type="dxa"/>
            <w:vAlign w:val="bottom"/>
            <w:tcBorders>
              <w:bottom w:val="single" w:sz="8" w:color="auto"/>
            </w:tcBorders>
            <w:gridSpan w:val="2"/>
          </w:tcPr>
          <w:p>
            <w:pPr>
              <w:spacing w:after="0" w:line="210" w:lineRule="exact"/>
              <w:rPr>
                <w:sz w:val="20"/>
                <w:szCs w:val="20"/>
                <w:color w:val="auto"/>
              </w:rPr>
            </w:pPr>
            <w:r>
              <w:rPr>
                <w:rFonts w:ascii="Arial" w:cs="Arial" w:eastAsia="Arial" w:hAnsi="Arial"/>
                <w:sz w:val="18"/>
                <w:szCs w:val="18"/>
                <w:color w:val="auto"/>
              </w:rPr>
              <w:t>Organic sales change</w:t>
            </w:r>
            <w:r>
              <w:rPr>
                <w:rFonts w:ascii="Arial" w:cs="Arial" w:eastAsia="Arial" w:hAnsi="Arial"/>
                <w:sz w:val="23"/>
                <w:szCs w:val="23"/>
                <w:color w:val="auto"/>
                <w:vertAlign w:val="superscript"/>
              </w:rPr>
              <w:t>(1)</w:t>
            </w:r>
          </w:p>
        </w:tc>
        <w:tc>
          <w:tcPr>
            <w:tcW w:w="4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3 %</w:t>
            </w: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r>
    </w:tbl>
    <w:p>
      <w:pPr>
        <w:spacing w:after="0" w:line="202" w:lineRule="exact"/>
        <w:rPr>
          <w:sz w:val="20"/>
          <w:szCs w:val="20"/>
          <w:color w:val="auto"/>
        </w:rPr>
      </w:pPr>
    </w:p>
    <w:p>
      <w:pPr>
        <w:ind w:left="80"/>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Total may not sum due to rounding</w:t>
      </w:r>
    </w:p>
    <w:p>
      <w:pPr>
        <w:spacing w:after="0" w:line="168"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In the third quarter of 2016, net sales increased on an organic basis primarily due to higher volume. Net sales increased on an organic basis at a high-single digit rate in emerging markets and at a low-single digit rate in Western Europe, and decreased on an organic basis at a low-single digit rate in North America.</w:t>
      </w:r>
    </w:p>
    <w:p>
      <w:pPr>
        <w:spacing w:after="0" w:line="124"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In the third quarter of 2016, net sales increased on an organic basis at a mid-single digit rate for the Materials product group. In the third quarter of 2016, net sales decreased on an organic basis at a low-double digit rate for the Performance Tapes product group primarily due to a program loss with a large customer.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3" w:lineRule="exact"/>
        <w:rPr>
          <w:sz w:val="20"/>
          <w:szCs w:val="20"/>
          <w:color w:val="auto"/>
        </w:rPr>
      </w:pPr>
    </w:p>
    <w:p>
      <w:pPr>
        <w:jc w:val="both"/>
        <w:ind w:right="40"/>
        <w:spacing w:after="0" w:line="323" w:lineRule="auto"/>
        <w:rPr>
          <w:sz w:val="20"/>
          <w:szCs w:val="20"/>
          <w:color w:val="auto"/>
        </w:rPr>
      </w:pPr>
      <w:r>
        <w:rPr>
          <w:rFonts w:ascii="Arial" w:cs="Arial" w:eastAsia="Arial" w:hAnsi="Arial"/>
          <w:sz w:val="16"/>
          <w:szCs w:val="16"/>
          <w:color w:val="auto"/>
        </w:rPr>
        <w:t>Operating income increased in the third quarter of 2016 compared to the same period last year due to benefits from productivity initiatives, including savings from restructuring, net of transition costs, and higher volume, partially offset by the net impact of pricing and raw material input costs and unfavorable mix.</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132"/>
        </w:trPr>
        <w:tc>
          <w:tcPr>
            <w:tcW w:w="1280" w:type="dxa"/>
            <w:vAlign w:val="bottom"/>
            <w:tcBorders>
              <w:bottom w:val="single" w:sz="8" w:color="808080"/>
            </w:tcBorders>
          </w:tcPr>
          <w:p>
            <w:pPr>
              <w:spacing w:after="0"/>
              <w:rPr>
                <w:sz w:val="11"/>
                <w:szCs w:val="11"/>
                <w:color w:val="auto"/>
              </w:rPr>
            </w:pPr>
          </w:p>
        </w:tc>
        <w:tc>
          <w:tcPr>
            <w:tcW w:w="66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40"/>
        </w:trPr>
        <w:tc>
          <w:tcPr>
            <w:tcW w:w="796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6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60" w:type="dxa"/>
            <w:vAlign w:val="bottom"/>
            <w:gridSpan w:val="4"/>
          </w:tcPr>
          <w:p>
            <w:pPr>
              <w:jc w:val="right"/>
              <w:ind w:right="40"/>
              <w:spacing w:after="0"/>
              <w:rPr>
                <w:sz w:val="20"/>
                <w:szCs w:val="20"/>
                <w:color w:val="auto"/>
              </w:rPr>
            </w:pPr>
            <w:r>
              <w:rPr>
                <w:rFonts w:ascii="Arial" w:cs="Arial" w:eastAsia="Arial" w:hAnsi="Arial"/>
                <w:sz w:val="18"/>
                <w:szCs w:val="18"/>
                <w:color w:val="auto"/>
              </w:rPr>
              <w:t>Avery Dennison Corporation</w:t>
            </w:r>
          </w:p>
        </w:tc>
      </w:tr>
      <w:tr>
        <w:trPr>
          <w:trHeight w:val="432"/>
        </w:trPr>
        <w:tc>
          <w:tcPr>
            <w:tcW w:w="7960" w:type="dxa"/>
            <w:vAlign w:val="bottom"/>
            <w:gridSpan w:val="2"/>
          </w:tcPr>
          <w:p>
            <w:pPr>
              <w:spacing w:after="0"/>
              <w:rPr>
                <w:sz w:val="20"/>
                <w:szCs w:val="20"/>
                <w:color w:val="auto"/>
              </w:rPr>
            </w:pPr>
            <w:r>
              <w:rPr>
                <w:rFonts w:ascii="Arial" w:cs="Arial" w:eastAsia="Arial" w:hAnsi="Arial"/>
                <w:sz w:val="18"/>
                <w:szCs w:val="18"/>
                <w:b w:val="1"/>
                <w:bCs w:val="1"/>
                <w:color w:val="auto"/>
              </w:rPr>
              <w:t>Retail Branding and Information Solutions</w:t>
            </w: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7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7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186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rPr>
              <w:t>October 1, 2016</w:t>
            </w:r>
          </w:p>
        </w:tc>
        <w:tc>
          <w:tcPr>
            <w:tcW w:w="16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October 3, 2015</w:t>
            </w:r>
          </w:p>
        </w:tc>
        <w:tc>
          <w:tcPr>
            <w:tcW w:w="40" w:type="dxa"/>
            <w:vAlign w:val="bottom"/>
          </w:tcPr>
          <w:p>
            <w:pPr>
              <w:spacing w:after="0"/>
              <w:rPr>
                <w:sz w:val="18"/>
                <w:szCs w:val="18"/>
                <w:color w:val="auto"/>
              </w:rPr>
            </w:pPr>
          </w:p>
        </w:tc>
      </w:tr>
      <w:tr>
        <w:trPr>
          <w:trHeight w:val="210"/>
        </w:trPr>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 including intersegment sales</w:t>
            </w:r>
          </w:p>
        </w:tc>
        <w:tc>
          <w:tcPr>
            <w:tcW w:w="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371.4</w:t>
            </w:r>
          </w:p>
        </w:tc>
        <w:tc>
          <w:tcPr>
            <w:tcW w:w="8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367.1</w:t>
            </w:r>
          </w:p>
        </w:tc>
        <w:tc>
          <w:tcPr>
            <w:tcW w:w="40" w:type="dxa"/>
            <w:vAlign w:val="bottom"/>
          </w:tcPr>
          <w:p>
            <w:pPr>
              <w:spacing w:after="0"/>
              <w:rPr>
                <w:sz w:val="18"/>
                <w:szCs w:val="18"/>
                <w:color w:val="auto"/>
              </w:rPr>
            </w:pPr>
          </w:p>
        </w:tc>
      </w:tr>
      <w:tr>
        <w:trPr>
          <w:trHeight w:val="216"/>
        </w:trPr>
        <w:tc>
          <w:tcPr>
            <w:tcW w:w="7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Less intersegment sales</w:t>
            </w:r>
          </w:p>
        </w:tc>
        <w:tc>
          <w:tcPr>
            <w:tcW w:w="6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w:t>
            </w:r>
          </w:p>
        </w:tc>
        <w:tc>
          <w:tcPr>
            <w:tcW w:w="8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r>
      <w:tr>
        <w:trPr>
          <w:trHeight w:val="210"/>
        </w:trPr>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370.9</w:t>
            </w:r>
          </w:p>
        </w:tc>
        <w:tc>
          <w:tcPr>
            <w:tcW w:w="8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366.8</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-1922145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-1922145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8" w:name="page19"/>
    <w:bookmarkEnd w:id="18"/>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7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income</w:t>
            </w:r>
            <w:r>
              <w:rPr>
                <w:rFonts w:ascii="Arial" w:cs="Arial" w:eastAsia="Arial" w:hAnsi="Arial"/>
                <w:sz w:val="23"/>
                <w:szCs w:val="23"/>
                <w:color w:val="auto"/>
                <w:vertAlign w:val="superscript"/>
              </w:rPr>
              <w:t>(1)</w:t>
            </w:r>
          </w:p>
        </w:tc>
        <w:tc>
          <w:tcPr>
            <w:tcW w:w="1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28.4</w:t>
            </w:r>
          </w:p>
        </w:tc>
        <w:tc>
          <w:tcPr>
            <w:tcW w:w="7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25.1</w:t>
            </w:r>
          </w:p>
        </w:tc>
      </w:tr>
      <w:tr>
        <w:trPr>
          <w:trHeight w:val="284"/>
        </w:trPr>
        <w:tc>
          <w:tcPr>
            <w:tcW w:w="7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23"/>
                <w:szCs w:val="23"/>
                <w:color w:val="auto"/>
                <w:w w:val="92"/>
                <w:vertAlign w:val="superscript"/>
              </w:rPr>
              <w:t>(1)</w:t>
            </w:r>
            <w:r>
              <w:rPr>
                <w:rFonts w:ascii="Arial" w:cs="Arial" w:eastAsia="Arial" w:hAnsi="Arial"/>
                <w:sz w:val="18"/>
                <w:szCs w:val="18"/>
                <w:color w:val="auto"/>
                <w:w w:val="92"/>
              </w:rPr>
              <w:t xml:space="preserve"> Included costs associated with restructuring in both years and loss on sale of a product line in 2015.</w:t>
            </w:r>
          </w:p>
        </w:tc>
        <w:tc>
          <w:tcPr>
            <w:tcW w:w="12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1.5</w:t>
            </w:r>
          </w:p>
        </w:tc>
        <w:tc>
          <w:tcPr>
            <w:tcW w:w="7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411"/>
        </w:trPr>
        <w:tc>
          <w:tcPr>
            <w:tcW w:w="7580" w:type="dxa"/>
            <w:vAlign w:val="bottom"/>
          </w:tcPr>
          <w:p>
            <w:pPr>
              <w:spacing w:after="0"/>
              <w:rPr>
                <w:sz w:val="20"/>
                <w:szCs w:val="20"/>
                <w:color w:val="auto"/>
              </w:rPr>
            </w:pPr>
            <w:r>
              <w:rPr>
                <w:rFonts w:ascii="Arial" w:cs="Arial" w:eastAsia="Arial" w:hAnsi="Arial"/>
                <w:sz w:val="18"/>
                <w:szCs w:val="18"/>
                <w:i w:val="1"/>
                <w:iCs w:val="1"/>
                <w:color w:val="auto"/>
              </w:rPr>
              <w:t>Net Sales</w:t>
            </w: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The factors impacting the reported sales change are shown in the table below:</w:t>
            </w:r>
          </w:p>
        </w:tc>
        <w:tc>
          <w:tcPr>
            <w:tcW w:w="1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14"/>
        </w:trPr>
        <w:tc>
          <w:tcPr>
            <w:tcW w:w="7580" w:type="dxa"/>
            <w:vAlign w:val="bottom"/>
          </w:tcPr>
          <w:p>
            <w:pPr>
              <w:spacing w:after="0"/>
              <w:rPr>
                <w:sz w:val="24"/>
                <w:szCs w:val="24"/>
                <w:color w:val="auto"/>
              </w:rPr>
            </w:pPr>
          </w:p>
        </w:tc>
        <w:tc>
          <w:tcPr>
            <w:tcW w:w="22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Three Months Ended</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4"/>
        </w:trPr>
        <w:tc>
          <w:tcPr>
            <w:tcW w:w="75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October 1, 2016</w:t>
            </w: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Reported sales change</w:t>
            </w:r>
          </w:p>
        </w:tc>
        <w:tc>
          <w:tcPr>
            <w:tcW w:w="1200" w:type="dxa"/>
            <w:vAlign w:val="bottom"/>
            <w:shd w:val="clear" w:color="auto" w:fill="CCEEFF"/>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1 %</w:t>
            </w: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7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translation</w:t>
            </w:r>
          </w:p>
        </w:tc>
        <w:tc>
          <w:tcPr>
            <w:tcW w:w="1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7"/>
        </w:trPr>
        <w:tc>
          <w:tcPr>
            <w:tcW w:w="7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Organic sales change</w:t>
            </w:r>
          </w:p>
        </w:tc>
        <w:tc>
          <w:tcPr>
            <w:tcW w:w="1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2 %</w:t>
            </w: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2016, net sales increased on an organic basis due to higher volume from sales of radio-frequency identification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Operating income increased in the third quarter of 2016 compared to the same period last year primarily reflecting benefits from productivity initiatives, including savings from restructuring actions, net of transition costs, and higher volume, partially offset by higher employee-related costs and other items.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r>
              <w:rPr>
                <w:rFonts w:ascii="Arial" w:cs="Arial" w:eastAsia="Arial" w:hAnsi="Arial"/>
                <w:sz w:val="18"/>
                <w:szCs w:val="18"/>
                <w:b w:val="1"/>
                <w:bCs w:val="1"/>
                <w:color w:val="auto"/>
              </w:rPr>
              <w:t>Vancive Medical Technologies</w:t>
            </w:r>
          </w:p>
        </w:tc>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32"/>
        </w:trPr>
        <w:tc>
          <w:tcPr>
            <w:tcW w:w="6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700" w:type="dxa"/>
            <w:vAlign w:val="bottom"/>
            <w:tcBorders>
              <w:bottom w:val="single" w:sz="8" w:color="auto"/>
            </w:tcBorders>
          </w:tcPr>
          <w:p>
            <w:pPr>
              <w:spacing w:after="0"/>
              <w:rPr>
                <w:sz w:val="24"/>
                <w:szCs w:val="24"/>
                <w:color w:val="auto"/>
              </w:rPr>
            </w:pPr>
          </w:p>
        </w:tc>
      </w:tr>
      <w:tr>
        <w:trPr>
          <w:trHeight w:val="210"/>
        </w:trPr>
        <w:tc>
          <w:tcPr>
            <w:tcW w:w="6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rPr>
              <w:t>October 1, 2016</w:t>
            </w:r>
          </w:p>
        </w:tc>
        <w:tc>
          <w:tcPr>
            <w:tcW w:w="16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October 3, 2015</w:t>
            </w: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sales including intersegment sales</w:t>
            </w:r>
          </w:p>
        </w:tc>
        <w:tc>
          <w:tcPr>
            <w:tcW w:w="188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14.1</w:t>
            </w:r>
          </w:p>
        </w:tc>
        <w:tc>
          <w:tcPr>
            <w:tcW w:w="9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r>
      <w:tr>
        <w:trPr>
          <w:trHeight w:val="216"/>
        </w:trPr>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intersegment sales</w:t>
            </w:r>
          </w:p>
        </w:tc>
        <w:tc>
          <w:tcPr>
            <w:tcW w:w="1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w:t>
            </w:r>
          </w:p>
        </w:tc>
        <w:tc>
          <w:tcPr>
            <w:tcW w:w="9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8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14.0</w:t>
            </w:r>
          </w:p>
        </w:tc>
        <w:tc>
          <w:tcPr>
            <w:tcW w:w="9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r>
      <w:tr>
        <w:trPr>
          <w:trHeight w:val="223"/>
        </w:trPr>
        <w:tc>
          <w:tcPr>
            <w:tcW w:w="6720" w:type="dxa"/>
            <w:vAlign w:val="bottom"/>
            <w:tcBorders>
              <w:bottom w:val="single" w:sz="8" w:color="auto"/>
            </w:tcBorders>
          </w:tcPr>
          <w:p>
            <w:pPr>
              <w:spacing w:after="0" w:line="216" w:lineRule="exact"/>
              <w:rPr>
                <w:sz w:val="20"/>
                <w:szCs w:val="20"/>
                <w:color w:val="auto"/>
              </w:rPr>
            </w:pPr>
            <w:r>
              <w:rPr>
                <w:rFonts w:ascii="Arial" w:cs="Arial" w:eastAsia="Arial" w:hAnsi="Arial"/>
                <w:sz w:val="18"/>
                <w:szCs w:val="18"/>
                <w:color w:val="auto"/>
              </w:rPr>
              <w:t>Operating loss</w:t>
            </w:r>
            <w:r>
              <w:rPr>
                <w:rFonts w:ascii="Arial" w:cs="Arial" w:eastAsia="Arial" w:hAnsi="Arial"/>
                <w:sz w:val="23"/>
                <w:szCs w:val="23"/>
                <w:color w:val="auto"/>
                <w:vertAlign w:val="superscript"/>
              </w:rPr>
              <w:t>(1)</w:t>
            </w:r>
          </w:p>
        </w:tc>
        <w:tc>
          <w:tcPr>
            <w:tcW w:w="1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w:t>
            </w:r>
          </w:p>
        </w:tc>
        <w:tc>
          <w:tcPr>
            <w:tcW w:w="9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84"/>
        </w:trPr>
        <w:tc>
          <w:tcPr>
            <w:tcW w:w="6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Included costs associated with restructuring in both years.</w:t>
            </w:r>
          </w:p>
        </w:tc>
        <w:tc>
          <w:tcPr>
            <w:tcW w:w="1880" w:type="dxa"/>
            <w:vAlign w:val="bottom"/>
            <w:tcBorders>
              <w:bottom w:val="single" w:sz="8" w:color="auto"/>
            </w:tcBorders>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.4</w:t>
            </w:r>
          </w:p>
        </w:tc>
        <w:tc>
          <w:tcPr>
            <w:tcW w:w="9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411"/>
        </w:trPr>
        <w:tc>
          <w:tcPr>
            <w:tcW w:w="6720" w:type="dxa"/>
            <w:vAlign w:val="bottom"/>
          </w:tcPr>
          <w:p>
            <w:pPr>
              <w:spacing w:after="0"/>
              <w:rPr>
                <w:sz w:val="20"/>
                <w:szCs w:val="20"/>
                <w:color w:val="auto"/>
              </w:rPr>
            </w:pPr>
            <w:r>
              <w:rPr>
                <w:rFonts w:ascii="Arial" w:cs="Arial" w:eastAsia="Arial" w:hAnsi="Arial"/>
                <w:sz w:val="18"/>
                <w:szCs w:val="18"/>
                <w:i w:val="1"/>
                <w:iCs w:val="1"/>
                <w:color w:val="auto"/>
              </w:rPr>
              <w:t>Net Sales</w:t>
            </w: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The factors impacting the reported sales change are shown in the table below:</w:t>
            </w:r>
          </w:p>
        </w:tc>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14"/>
        </w:trPr>
        <w:tc>
          <w:tcPr>
            <w:tcW w:w="6720" w:type="dxa"/>
            <w:vAlign w:val="bottom"/>
          </w:tcPr>
          <w:p>
            <w:pPr>
              <w:spacing w:after="0"/>
              <w:rPr>
                <w:sz w:val="24"/>
                <w:szCs w:val="24"/>
                <w:color w:val="auto"/>
              </w:rPr>
            </w:pPr>
          </w:p>
        </w:tc>
        <w:tc>
          <w:tcPr>
            <w:tcW w:w="310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Three Months Ended</w:t>
            </w: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4"/>
        </w:trPr>
        <w:tc>
          <w:tcPr>
            <w:tcW w:w="67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October 1, 2016</w:t>
            </w: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Reported sales change</w:t>
            </w:r>
          </w:p>
        </w:tc>
        <w:tc>
          <w:tcPr>
            <w:tcW w:w="1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translation</w:t>
            </w:r>
          </w:p>
        </w:tc>
        <w:tc>
          <w:tcPr>
            <w:tcW w:w="1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7"/>
        </w:trPr>
        <w:tc>
          <w:tcPr>
            <w:tcW w:w="6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Organic sales change</w:t>
            </w:r>
          </w:p>
        </w:tc>
        <w:tc>
          <w:tcPr>
            <w:tcW w:w="1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2016, net sales decreased on an organic basis due to lower volume.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Loss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Operating loss decreased in the third quarter of 2016 compared to the same period last year primarily due to lower restructuring charges and a reduction in operating costs, partially offset by lower volume.</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ANALYSIS OF RESULTS OF OPERATIONS FOR THE NINE MONTHS YEAR-TO-DATE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Continuing Operations before Taxes</w:t>
      </w:r>
    </w:p>
    <w:p>
      <w:pPr>
        <w:spacing w:after="0" w:line="225" w:lineRule="exact"/>
        <w:rPr>
          <w:sz w:val="20"/>
          <w:szCs w:val="20"/>
          <w:color w:val="auto"/>
        </w:rPr>
      </w:pPr>
    </w:p>
    <w:p>
      <w:pPr>
        <w:ind w:left="890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20" w:type="dxa"/>
            <w:vAlign w:val="bottom"/>
            <w:gridSpan w:val="2"/>
          </w:tcPr>
          <w:p>
            <w:pPr>
              <w:spacing w:after="0"/>
              <w:rPr>
                <w:sz w:val="20"/>
                <w:szCs w:val="20"/>
                <w:color w:val="auto"/>
              </w:rPr>
            </w:pPr>
            <w:r>
              <w:rPr>
                <w:rFonts w:ascii="Arial" w:cs="Arial" w:eastAsia="Arial" w:hAnsi="Arial"/>
                <w:sz w:val="14"/>
                <w:szCs w:val="14"/>
                <w:color w:val="auto"/>
              </w:rPr>
              <w:t>(In millions, except percentages)</w:t>
            </w:r>
          </w:p>
        </w:tc>
        <w:tc>
          <w:tcPr>
            <w:tcW w:w="190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October 1, 2016</w:t>
            </w:r>
          </w:p>
        </w:tc>
        <w:tc>
          <w:tcPr>
            <w:tcW w:w="1600" w:type="dxa"/>
            <w:vAlign w:val="bottom"/>
            <w:tcBorders>
              <w:top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October 3,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7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4,535.7</w:t>
            </w:r>
          </w:p>
        </w:tc>
        <w:tc>
          <w:tcPr>
            <w:tcW w:w="6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4,512.1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products sold</w:t>
            </w:r>
          </w:p>
        </w:tc>
        <w:tc>
          <w:tcPr>
            <w:tcW w:w="7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3,261.4</w:t>
            </w:r>
          </w:p>
        </w:tc>
        <w:tc>
          <w:tcPr>
            <w:tcW w:w="6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3,258.6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1,274.3</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Marketing, general and administrative expense</w:t>
            </w:r>
          </w:p>
        </w:tc>
        <w:tc>
          <w:tcPr>
            <w:tcW w:w="700" w:type="dxa"/>
            <w:vAlign w:val="bottom"/>
          </w:tcPr>
          <w:p>
            <w:pPr>
              <w:spacing w:after="0"/>
              <w:rPr>
                <w:sz w:val="18"/>
                <w:szCs w:val="18"/>
                <w:color w:val="auto"/>
              </w:rPr>
            </w:pP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817.7</w:t>
            </w:r>
          </w:p>
        </w:tc>
        <w:tc>
          <w:tcPr>
            <w:tcW w:w="62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841.8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45.4</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expense, net</w:t>
            </w:r>
          </w:p>
        </w:tc>
        <w:tc>
          <w:tcPr>
            <w:tcW w:w="7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60.4</w:t>
            </w:r>
          </w:p>
        </w:tc>
        <w:tc>
          <w:tcPr>
            <w:tcW w:w="6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 before taxes</w:t>
            </w:r>
          </w:p>
        </w:tc>
        <w:tc>
          <w:tcPr>
            <w:tcW w:w="7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350.8</w:t>
            </w:r>
          </w:p>
        </w:tc>
        <w:tc>
          <w:tcPr>
            <w:tcW w:w="6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317.4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Gross profit margin</w:t>
            </w:r>
          </w:p>
        </w:tc>
        <w:tc>
          <w:tcPr>
            <w:tcW w:w="7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28.1%</w:t>
            </w:r>
          </w:p>
        </w:tc>
        <w:tc>
          <w:tcPr>
            <w:tcW w:w="6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margin for the first nine months of 2016 increased compared to the same period last year reflecting benefits from productivity initiatives, including savings from restructuring, net of transition costs, higher volume, and the impact of changes in currency rates, partially offset by higher employee-related costs, unfavorable mix, and the net impact of pricing and raw material input costs.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General and Administrative Expense</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Marketing, general and administrative expense decreased in the first nine months of 2016 compared to the same period last year reflecting benefits from productivity initiatives, including savings from restructuring, net of transition costs, lower restructuring charges, and the favorable impact of foreign currency</w:t>
      </w:r>
    </w:p>
    <w:p>
      <w:pPr>
        <w:sectPr>
          <w:pgSz w:w="11900" w:h="16933" w:orient="portrait"/>
          <w:cols w:equalWidth="0" w:num="1">
            <w:col w:w="11420"/>
          </w:cols>
          <w:pgMar w:left="240" w:top="91" w:right="239" w:bottom="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translation, partially offset by higher employee-related costs.</w:t>
            </w:r>
          </w:p>
        </w:tc>
        <w:tc>
          <w:tcPr>
            <w:tcW w:w="6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32"/>
        </w:trPr>
        <w:tc>
          <w:tcPr>
            <w:tcW w:w="7960" w:type="dxa"/>
            <w:vAlign w:val="bottom"/>
          </w:tcPr>
          <w:p>
            <w:pPr>
              <w:spacing w:after="0"/>
              <w:rPr>
                <w:sz w:val="20"/>
                <w:szCs w:val="20"/>
                <w:color w:val="auto"/>
              </w:rPr>
            </w:pPr>
            <w:r>
              <w:rPr>
                <w:rFonts w:ascii="Arial" w:cs="Arial" w:eastAsia="Arial" w:hAnsi="Arial"/>
                <w:sz w:val="18"/>
                <w:szCs w:val="18"/>
                <w:i w:val="1"/>
                <w:iCs w:val="1"/>
                <w:color w:val="auto"/>
              </w:rPr>
              <w:t>Other Expense, net</w:t>
            </w: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32"/>
        </w:trPr>
        <w:tc>
          <w:tcPr>
            <w:tcW w:w="79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Nine Months Ended</w:t>
            </w:r>
          </w:p>
        </w:tc>
        <w:tc>
          <w:tcPr>
            <w:tcW w:w="720" w:type="dxa"/>
            <w:vAlign w:val="bottom"/>
            <w:tcBorders>
              <w:bottom w:val="single" w:sz="8" w:color="auto"/>
            </w:tcBorders>
          </w:tcPr>
          <w:p>
            <w:pPr>
              <w:spacing w:after="0"/>
              <w:rPr>
                <w:sz w:val="24"/>
                <w:szCs w:val="24"/>
                <w:color w:val="auto"/>
              </w:rPr>
            </w:pPr>
          </w:p>
        </w:tc>
      </w:tr>
      <w:tr>
        <w:trPr>
          <w:trHeight w:val="210"/>
        </w:trPr>
        <w:tc>
          <w:tcPr>
            <w:tcW w:w="7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84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rPr>
              <w:t>October 1, 2016</w:t>
            </w:r>
          </w:p>
        </w:tc>
        <w:tc>
          <w:tcPr>
            <w:tcW w:w="162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w w:val="96"/>
              </w:rPr>
              <w:t>October 3, 2015</w:t>
            </w: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 net by type</w:t>
            </w:r>
          </w:p>
        </w:tc>
        <w:tc>
          <w:tcPr>
            <w:tcW w:w="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Restructuring charges:</w:t>
            </w: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Severance and related costs</w:t>
            </w:r>
          </w:p>
        </w:tc>
        <w:tc>
          <w:tcPr>
            <w:tcW w:w="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10.7</w:t>
            </w:r>
          </w:p>
        </w:tc>
        <w:tc>
          <w:tcPr>
            <w:tcW w:w="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216"/>
        </w:trPr>
        <w:tc>
          <w:tcPr>
            <w:tcW w:w="7960" w:type="dxa"/>
            <w:vAlign w:val="bottom"/>
          </w:tcPr>
          <w:p>
            <w:pPr>
              <w:ind w:left="180"/>
              <w:spacing w:after="0"/>
              <w:rPr>
                <w:sz w:val="20"/>
                <w:szCs w:val="20"/>
                <w:color w:val="auto"/>
              </w:rPr>
            </w:pPr>
            <w:r>
              <w:rPr>
                <w:rFonts w:ascii="Arial" w:cs="Arial" w:eastAsia="Arial" w:hAnsi="Arial"/>
                <w:sz w:val="18"/>
                <w:szCs w:val="18"/>
                <w:color w:val="auto"/>
              </w:rPr>
              <w:t>Asset impairment charges and lease cancellation costs</w:t>
            </w:r>
          </w:p>
        </w:tc>
        <w:tc>
          <w:tcPr>
            <w:tcW w:w="66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3.9</w:t>
            </w:r>
          </w:p>
        </w:tc>
        <w:tc>
          <w:tcPr>
            <w:tcW w:w="90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Other items:</w:t>
            </w:r>
          </w:p>
        </w:tc>
        <w:tc>
          <w:tcPr>
            <w:tcW w:w="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960" w:type="dxa"/>
            <w:vAlign w:val="bottom"/>
          </w:tcPr>
          <w:p>
            <w:pPr>
              <w:ind w:left="180"/>
              <w:spacing w:after="0"/>
              <w:rPr>
                <w:sz w:val="20"/>
                <w:szCs w:val="20"/>
                <w:color w:val="auto"/>
              </w:rPr>
            </w:pPr>
            <w:r>
              <w:rPr>
                <w:rFonts w:ascii="Arial" w:cs="Arial" w:eastAsia="Arial" w:hAnsi="Arial"/>
                <w:sz w:val="18"/>
                <w:szCs w:val="18"/>
                <w:color w:val="auto"/>
              </w:rPr>
              <w:t>Loss from settlement of pension obligations</w:t>
            </w:r>
          </w:p>
        </w:tc>
        <w:tc>
          <w:tcPr>
            <w:tcW w:w="66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41.4</w:t>
            </w:r>
          </w:p>
        </w:tc>
        <w:tc>
          <w:tcPr>
            <w:tcW w:w="90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 costs</w:t>
            </w:r>
          </w:p>
        </w:tc>
        <w:tc>
          <w:tcPr>
            <w:tcW w:w="6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4.1</w:t>
            </w: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960" w:type="dxa"/>
            <w:vAlign w:val="bottom"/>
          </w:tcPr>
          <w:p>
            <w:pPr>
              <w:ind w:left="180"/>
              <w:spacing w:after="0"/>
              <w:rPr>
                <w:sz w:val="20"/>
                <w:szCs w:val="20"/>
                <w:color w:val="auto"/>
              </w:rPr>
            </w:pPr>
            <w:r>
              <w:rPr>
                <w:rFonts w:ascii="Arial" w:cs="Arial" w:eastAsia="Arial" w:hAnsi="Arial"/>
                <w:sz w:val="18"/>
                <w:szCs w:val="18"/>
                <w:color w:val="auto"/>
              </w:rPr>
              <w:t>Loss (gain) on sale of assets</w:t>
            </w:r>
          </w:p>
        </w:tc>
        <w:tc>
          <w:tcPr>
            <w:tcW w:w="66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.3</w:t>
            </w:r>
          </w:p>
        </w:tc>
        <w:tc>
          <w:tcPr>
            <w:tcW w:w="9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sale of product line and related transaction and exit costs</w:t>
            </w:r>
          </w:p>
        </w:tc>
        <w:tc>
          <w:tcPr>
            <w:tcW w:w="6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r>
      <w:tr>
        <w:trPr>
          <w:trHeight w:val="216"/>
        </w:trPr>
        <w:tc>
          <w:tcPr>
            <w:tcW w:w="7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Legal settlement</w:t>
            </w:r>
          </w:p>
        </w:tc>
        <w:tc>
          <w:tcPr>
            <w:tcW w:w="6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17"/>
        </w:trPr>
        <w:tc>
          <w:tcPr>
            <w:tcW w:w="7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6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60.4</w:t>
            </w:r>
          </w:p>
        </w:tc>
        <w:tc>
          <w:tcPr>
            <w:tcW w:w="9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49.0</w:t>
            </w:r>
          </w:p>
        </w:tc>
      </w:tr>
    </w:tbl>
    <w:p>
      <w:pPr>
        <w:spacing w:after="0" w:line="202"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Refer to Note 9, “Cost Reduction Actions,” to the unaudited Condensed Consolidated Financial Statements for more information regarding costs associated with restructuring.</w:t>
      </w:r>
    </w:p>
    <w:p>
      <w:pPr>
        <w:spacing w:after="0" w:line="170"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Refer to Note 6, “Pension and Other Postretirement Benefits,” to the unaudited Condensed Consolidated Financial Statements for more information regarding loss from settlement of pension obligations.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66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9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80" w:type="dxa"/>
            <w:vAlign w:val="bottom"/>
            <w:gridSpan w:val="4"/>
          </w:tcPr>
          <w:p>
            <w:pPr>
              <w:jc w:val="right"/>
              <w:ind w:right="40"/>
              <w:spacing w:after="0"/>
              <w:rPr>
                <w:sz w:val="20"/>
                <w:szCs w:val="20"/>
                <w:color w:val="auto"/>
              </w:rPr>
            </w:pPr>
            <w:r>
              <w:rPr>
                <w:rFonts w:ascii="Arial" w:cs="Arial" w:eastAsia="Arial" w:hAnsi="Arial"/>
                <w:sz w:val="18"/>
                <w:szCs w:val="18"/>
                <w:color w:val="auto"/>
              </w:rPr>
              <w:t>Avery Dennison Corporation</w:t>
            </w:r>
          </w:p>
        </w:tc>
        <w:tc>
          <w:tcPr>
            <w:tcW w:w="0" w:type="dxa"/>
            <w:vAlign w:val="bottom"/>
          </w:tcPr>
          <w:p>
            <w:pPr>
              <w:spacing w:after="0"/>
              <w:rPr>
                <w:sz w:val="1"/>
                <w:szCs w:val="1"/>
                <w:color w:val="auto"/>
              </w:rPr>
            </w:pPr>
          </w:p>
        </w:tc>
      </w:tr>
      <w:tr>
        <w:trPr>
          <w:trHeight w:val="432"/>
        </w:trPr>
        <w:tc>
          <w:tcPr>
            <w:tcW w:w="79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Net Income and Earnings per Share</w:t>
            </w: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Nine Months Ended</w:t>
            </w:r>
          </w:p>
        </w:tc>
        <w:tc>
          <w:tcPr>
            <w:tcW w:w="8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920" w:type="dxa"/>
            <w:vAlign w:val="bottom"/>
            <w:gridSpan w:val="3"/>
          </w:tcPr>
          <w:p>
            <w:pPr>
              <w:spacing w:after="0"/>
              <w:rPr>
                <w:sz w:val="20"/>
                <w:szCs w:val="20"/>
                <w:color w:val="auto"/>
              </w:rPr>
            </w:pPr>
            <w:r>
              <w:rPr>
                <w:rFonts w:ascii="Arial" w:cs="Arial" w:eastAsia="Arial" w:hAnsi="Arial"/>
                <w:sz w:val="14"/>
                <w:szCs w:val="14"/>
                <w:color w:val="auto"/>
              </w:rPr>
              <w:t>(In millions, except per share amounts)</w:t>
            </w:r>
          </w:p>
        </w:tc>
        <w:tc>
          <w:tcPr>
            <w:tcW w:w="1900" w:type="dxa"/>
            <w:vAlign w:val="bottom"/>
            <w:gridSpan w:val="2"/>
          </w:tcPr>
          <w:p>
            <w:pPr>
              <w:ind w:left="320"/>
              <w:spacing w:after="0"/>
              <w:rPr>
                <w:sz w:val="20"/>
                <w:szCs w:val="20"/>
                <w:color w:val="auto"/>
              </w:rPr>
            </w:pPr>
            <w:r>
              <w:rPr>
                <w:rFonts w:ascii="Arial" w:cs="Arial" w:eastAsia="Arial" w:hAnsi="Arial"/>
                <w:sz w:val="18"/>
                <w:szCs w:val="18"/>
                <w:b w:val="1"/>
                <w:bCs w:val="1"/>
                <w:color w:val="auto"/>
              </w:rPr>
              <w:t>October 1, 2016</w:t>
            </w:r>
          </w:p>
        </w:tc>
        <w:tc>
          <w:tcPr>
            <w:tcW w:w="1600" w:type="dxa"/>
            <w:vAlign w:val="bottom"/>
            <w:gridSpan w:val="2"/>
          </w:tcPr>
          <w:p>
            <w:pPr>
              <w:ind w:left="220"/>
              <w:spacing w:after="0"/>
              <w:rPr>
                <w:sz w:val="20"/>
                <w:szCs w:val="20"/>
                <w:color w:val="auto"/>
              </w:rPr>
            </w:pPr>
            <w:r>
              <w:rPr>
                <w:rFonts w:ascii="Arial" w:cs="Arial" w:eastAsia="Arial" w:hAnsi="Arial"/>
                <w:sz w:val="18"/>
                <w:szCs w:val="18"/>
                <w:b w:val="1"/>
                <w:bCs w:val="1"/>
                <w:color w:val="auto"/>
              </w:rPr>
              <w:t>October 3, 2015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taxes</w:t>
            </w:r>
          </w:p>
        </w:tc>
        <w:tc>
          <w:tcPr>
            <w:tcW w:w="6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350.8</w:t>
            </w:r>
          </w:p>
        </w:tc>
        <w:tc>
          <w:tcPr>
            <w:tcW w:w="7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317.4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Provision for income taxes</w:t>
            </w:r>
          </w:p>
        </w:tc>
        <w:tc>
          <w:tcPr>
            <w:tcW w:w="6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92.1</w:t>
            </w:r>
          </w:p>
        </w:tc>
        <w:tc>
          <w:tcPr>
            <w:tcW w:w="7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6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258.7</w:t>
            </w: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Loss from discontinued operations</w:t>
            </w:r>
          </w:p>
        </w:tc>
        <w:tc>
          <w:tcPr>
            <w:tcW w:w="6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6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258.7</w:t>
            </w:r>
          </w:p>
        </w:tc>
        <w:tc>
          <w:tcPr>
            <w:tcW w:w="7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217.3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Net income per common share</w:t>
            </w:r>
          </w:p>
        </w:tc>
        <w:tc>
          <w:tcPr>
            <w:tcW w:w="660" w:type="dxa"/>
            <w:vAlign w:val="bottom"/>
          </w:tcPr>
          <w:p>
            <w:pPr>
              <w:ind w:left="3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2.90</w:t>
            </w:r>
          </w:p>
        </w:tc>
        <w:tc>
          <w:tcPr>
            <w:tcW w:w="780" w:type="dxa"/>
            <w:vAlign w:val="bottom"/>
          </w:tcPr>
          <w:p>
            <w:pPr>
              <w:ind w:left="2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2.39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income per common share, assuming dilution</w:t>
            </w:r>
          </w:p>
        </w:tc>
        <w:tc>
          <w:tcPr>
            <w:tcW w:w="6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2.85</w:t>
            </w:r>
          </w:p>
        </w:tc>
        <w:tc>
          <w:tcPr>
            <w:tcW w:w="7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9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Effective tax rate for continuing operations</w:t>
            </w:r>
          </w:p>
        </w:tc>
        <w:tc>
          <w:tcPr>
            <w:tcW w:w="6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26.3%</w:t>
            </w:r>
          </w:p>
        </w:tc>
        <w:tc>
          <w:tcPr>
            <w:tcW w:w="7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-2668270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-2668270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3" w:lineRule="exact"/>
        <w:rPr>
          <w:sz w:val="20"/>
          <w:szCs w:val="20"/>
          <w:color w:val="auto"/>
        </w:rPr>
      </w:pPr>
    </w:p>
    <w:p>
      <w:pPr>
        <w:jc w:val="both"/>
        <w:ind w:right="40"/>
        <w:spacing w:after="0" w:line="269" w:lineRule="auto"/>
        <w:rPr>
          <w:sz w:val="20"/>
          <w:szCs w:val="20"/>
          <w:color w:val="auto"/>
        </w:rPr>
      </w:pPr>
      <w:r>
        <w:rPr>
          <w:rFonts w:ascii="Arial" w:cs="Arial" w:eastAsia="Arial" w:hAnsi="Arial"/>
          <w:sz w:val="17"/>
          <w:szCs w:val="17"/>
          <w:color w:val="auto"/>
        </w:rPr>
        <w:t>The effective tax rate for the nine months ended October 1, 2016 reflected the impact of favorable geographic mixture of pretax income and included the following: $3.1 million of tax expense resulting from return to provision adjustments pursuant to the completion of the 2015 U.S. federal tax return; $7.1 million of tax benefit from our change in judgment about tax filing positions in certain foreign jurisdictions as a result of new information gained from our interactions with tax authorities; $26.9 million of tax expense associated with the tax cost to repatriate non-permanently reinvested earnings of certain foreign subsidiaries; $11.1 million of tax benefit resulting from effective settlements of tax examinations in various foreign jurisdictions; $6.7 million of tax benefit from the release of valuation allowances against certain deferred tax assets in a foreign jurisdiction associated with a structural simplification approved by the tax authority; and $3.3 million of tax benefit due to decreases in certain tax reserves as a result of closing tax years.</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effective tax rate for the nine months ended October 1, 2016 compared to the effective tax rate for the nine months ended October 3, 2015 was impacted by favorable effective settlements in various foreign jurisdictions, favorable geographic mixture of pretax income, and a tax benefit from the release of valuation allowances against deferred tax assets.</w:t>
      </w:r>
    </w:p>
    <w:p>
      <w:pPr>
        <w:spacing w:after="0" w:line="181"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The effective tax rate for continuing operations for the nine months ended October 3, 2015 included $4.2 million of tax benefit resulting from return to provision adjustments pursuant to the completion of the 2014 U.S. federal tax return; $.9 million of tax benefit from a favorable foreign tax law change; $5.4 million of tax expense associated with the tax cost to repatriate non-permanently reinvested 2015 earnings of certain foreign subsidiaries; $1.6 million of net tax benefit related to changes in the effective tax rates in certain foreign municipalities; and $4.2 million of tax benefit due to decreases in certain tax reserves as a result of closing tax years.</w:t>
      </w:r>
    </w:p>
    <w:p>
      <w:pPr>
        <w:spacing w:after="0" w:line="18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Our effective tax rate can vary widely from quarter to quarter due to interim reporting requirements, the recognition of discrete events and the timing of repatriation of foreign earnings. Refer to Note 11, “Taxes Based on Income,” to the unaudited Condensed Consolidated Financial Statements for further information.</w:t>
      </w:r>
    </w:p>
    <w:p>
      <w:pPr>
        <w:spacing w:after="0" w:line="181" w:lineRule="exact"/>
        <w:rPr>
          <w:sz w:val="20"/>
          <w:szCs w:val="20"/>
          <w:color w:val="auto"/>
        </w:rPr>
      </w:pPr>
    </w:p>
    <w:p>
      <w:pPr>
        <w:ind w:left="112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ectPr>
          <w:pgSz w:w="11900" w:h="16838" w:orient="portrait"/>
          <w:cols w:equalWidth="0" w:num="1">
            <w:col w:w="11460"/>
          </w:cols>
          <w:pgMar w:left="240" w:top="125" w:right="199" w:bottom="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auto"/>
        </w:rPr>
        <w:t>RESULTS OF OPERATIONS BY REPORTABLE SEGMENT FOR THE NINE MONTHS YEAR-TO-DATE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spacing w:after="0"/>
              <w:rPr>
                <w:sz w:val="20"/>
                <w:szCs w:val="20"/>
                <w:color w:val="auto"/>
              </w:rPr>
            </w:pPr>
            <w:r>
              <w:rPr>
                <w:rFonts w:ascii="Arial" w:cs="Arial" w:eastAsia="Arial" w:hAnsi="Arial"/>
                <w:sz w:val="18"/>
                <w:szCs w:val="18"/>
                <w:color w:val="auto"/>
              </w:rPr>
              <w:t>Operating income refers to income from continuing operations before interest and taxes.</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32"/>
        </w:trPr>
        <w:tc>
          <w:tcPr>
            <w:tcW w:w="7800" w:type="dxa"/>
            <w:vAlign w:val="bottom"/>
          </w:tcPr>
          <w:p>
            <w:pPr>
              <w:spacing w:after="0"/>
              <w:rPr>
                <w:sz w:val="20"/>
                <w:szCs w:val="20"/>
                <w:color w:val="auto"/>
              </w:rPr>
            </w:pPr>
            <w:r>
              <w:rPr>
                <w:rFonts w:ascii="Arial" w:cs="Arial" w:eastAsia="Arial" w:hAnsi="Arial"/>
                <w:sz w:val="18"/>
                <w:szCs w:val="18"/>
                <w:b w:val="1"/>
                <w:bCs w:val="1"/>
                <w:color w:val="auto"/>
              </w:rPr>
              <w:t>Pressure-sensitive Materials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7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Nine Months Ended</w:t>
            </w:r>
          </w:p>
        </w:tc>
        <w:tc>
          <w:tcPr>
            <w:tcW w:w="840" w:type="dxa"/>
            <w:vAlign w:val="bottom"/>
            <w:tcBorders>
              <w:bottom w:val="single" w:sz="8" w:color="auto"/>
            </w:tcBorders>
          </w:tcPr>
          <w:p>
            <w:pPr>
              <w:spacing w:after="0"/>
              <w:rPr>
                <w:sz w:val="24"/>
                <w:szCs w:val="24"/>
                <w:color w:val="auto"/>
              </w:rPr>
            </w:pPr>
          </w:p>
        </w:tc>
      </w:tr>
      <w:tr>
        <w:trPr>
          <w:trHeight w:val="210"/>
        </w:trPr>
        <w:tc>
          <w:tcPr>
            <w:tcW w:w="7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rPr>
              <w:t>October 1, 2016</w:t>
            </w:r>
          </w:p>
        </w:tc>
        <w:tc>
          <w:tcPr>
            <w:tcW w:w="160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w w:val="96"/>
              </w:rPr>
              <w:t>October 3, 2015</w:t>
            </w: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sales including intersegment sales</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3,409.9</w:t>
            </w:r>
          </w:p>
        </w:tc>
        <w:tc>
          <w:tcPr>
            <w:tcW w:w="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3,364.9</w:t>
            </w:r>
          </w:p>
        </w:tc>
      </w:tr>
      <w:tr>
        <w:trPr>
          <w:trHeight w:val="216"/>
        </w:trPr>
        <w:tc>
          <w:tcPr>
            <w:tcW w:w="7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intersegment sales</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(49.0)</w:t>
            </w:r>
          </w:p>
        </w:tc>
        <w:tc>
          <w:tcPr>
            <w:tcW w:w="7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3,360.9</w:t>
            </w:r>
          </w:p>
        </w:tc>
        <w:tc>
          <w:tcPr>
            <w:tcW w:w="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3,318.4</w:t>
            </w:r>
          </w:p>
        </w:tc>
      </w:tr>
      <w:tr>
        <w:trPr>
          <w:trHeight w:val="223"/>
        </w:trPr>
        <w:tc>
          <w:tcPr>
            <w:tcW w:w="7800" w:type="dxa"/>
            <w:vAlign w:val="bottom"/>
            <w:tcBorders>
              <w:bottom w:val="single" w:sz="8" w:color="auto"/>
            </w:tcBorders>
          </w:tcPr>
          <w:p>
            <w:pPr>
              <w:spacing w:after="0" w:line="216" w:lineRule="exact"/>
              <w:rPr>
                <w:sz w:val="20"/>
                <w:szCs w:val="20"/>
                <w:color w:val="auto"/>
              </w:rPr>
            </w:pPr>
            <w:r>
              <w:rPr>
                <w:rFonts w:ascii="Arial" w:cs="Arial" w:eastAsia="Arial" w:hAnsi="Arial"/>
                <w:sz w:val="18"/>
                <w:szCs w:val="18"/>
                <w:color w:val="auto"/>
              </w:rPr>
              <w:t>Operating income</w:t>
            </w:r>
            <w:r>
              <w:rPr>
                <w:rFonts w:ascii="Arial" w:cs="Arial" w:eastAsia="Arial" w:hAnsi="Arial"/>
                <w:sz w:val="23"/>
                <w:szCs w:val="23"/>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425.6</w:t>
            </w:r>
          </w:p>
        </w:tc>
        <w:tc>
          <w:tcPr>
            <w:tcW w:w="7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383.2</w:t>
            </w:r>
          </w:p>
        </w:tc>
      </w:tr>
      <w:tr>
        <w:trPr>
          <w:trHeight w:val="269"/>
        </w:trPr>
        <w:tc>
          <w:tcPr>
            <w:tcW w:w="7800" w:type="dxa"/>
            <w:vAlign w:val="bottom"/>
            <w:shd w:val="clear" w:color="auto" w:fill="CCEEFF"/>
          </w:tcPr>
          <w:p>
            <w:pPr>
              <w:spacing w:after="0"/>
              <w:rPr>
                <w:sz w:val="20"/>
                <w:szCs w:val="20"/>
                <w:color w:val="auto"/>
              </w:rPr>
            </w:pPr>
            <w:r>
              <w:rPr>
                <w:rFonts w:ascii="Arial" w:cs="Arial" w:eastAsia="Arial" w:hAnsi="Arial"/>
                <w:sz w:val="23"/>
                <w:szCs w:val="23"/>
                <w:color w:val="auto"/>
                <w:w w:val="91"/>
                <w:vertAlign w:val="superscript"/>
              </w:rPr>
              <w:t>(1)</w:t>
            </w:r>
            <w:r>
              <w:rPr>
                <w:rFonts w:ascii="Arial" w:cs="Arial" w:eastAsia="Arial" w:hAnsi="Arial"/>
                <w:sz w:val="18"/>
                <w:szCs w:val="18"/>
                <w:color w:val="auto"/>
                <w:w w:val="91"/>
              </w:rPr>
              <w:t xml:space="preserve"> Included costs associated with restructuring in both years, transaction costs in 2016, and a gain on sale</w:t>
            </w: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30"/>
        </w:trPr>
        <w:tc>
          <w:tcPr>
            <w:tcW w:w="78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of an asset in 2015.</w:t>
            </w:r>
          </w:p>
        </w:tc>
        <w:tc>
          <w:tcPr>
            <w:tcW w:w="820" w:type="dxa"/>
            <w:vAlign w:val="bottom"/>
            <w:tcBorders>
              <w:bottom w:val="single" w:sz="8" w:color="auto"/>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11.2</w:t>
            </w:r>
          </w:p>
        </w:tc>
        <w:tc>
          <w:tcPr>
            <w:tcW w:w="7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r>
      <w:tr>
        <w:trPr>
          <w:trHeight w:val="411"/>
        </w:trPr>
        <w:tc>
          <w:tcPr>
            <w:tcW w:w="7800" w:type="dxa"/>
            <w:vAlign w:val="bottom"/>
          </w:tcPr>
          <w:p>
            <w:pPr>
              <w:spacing w:after="0"/>
              <w:rPr>
                <w:sz w:val="20"/>
                <w:szCs w:val="20"/>
                <w:color w:val="auto"/>
              </w:rPr>
            </w:pPr>
            <w:r>
              <w:rPr>
                <w:rFonts w:ascii="Arial" w:cs="Arial" w:eastAsia="Arial" w:hAnsi="Arial"/>
                <w:sz w:val="18"/>
                <w:szCs w:val="18"/>
                <w:i w:val="1"/>
                <w:iCs w:val="1"/>
                <w:color w:val="auto"/>
              </w:rPr>
              <w:t>Net Sales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0"/>
        </w:trPr>
        <w:tc>
          <w:tcPr>
            <w:tcW w:w="7800" w:type="dxa"/>
            <w:vAlign w:val="bottom"/>
          </w:tcPr>
          <w:p>
            <w:pPr>
              <w:spacing w:after="0"/>
              <w:rPr>
                <w:sz w:val="20"/>
                <w:szCs w:val="20"/>
                <w:color w:val="auto"/>
              </w:rPr>
            </w:pPr>
            <w:r>
              <w:rPr>
                <w:rFonts w:ascii="Arial" w:cs="Arial" w:eastAsia="Arial" w:hAnsi="Arial"/>
                <w:sz w:val="18"/>
                <w:szCs w:val="18"/>
                <w:color w:val="auto"/>
              </w:rPr>
              <w:t>The factors impacting the reported sales change are shown in the table below:</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14"/>
        </w:trPr>
        <w:tc>
          <w:tcPr>
            <w:tcW w:w="7800" w:type="dxa"/>
            <w:vAlign w:val="bottom"/>
          </w:tcPr>
          <w:p>
            <w:pPr>
              <w:spacing w:after="0"/>
              <w:rPr>
                <w:sz w:val="24"/>
                <w:szCs w:val="24"/>
                <w:color w:val="auto"/>
              </w:rPr>
            </w:pPr>
          </w:p>
        </w:tc>
        <w:tc>
          <w:tcPr>
            <w:tcW w:w="202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w w:val="98"/>
              </w:rPr>
              <w:t>Nine Months Ended</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4"/>
        </w:trPr>
        <w:tc>
          <w:tcPr>
            <w:tcW w:w="7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October 1, 2016</w:t>
            </w: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Reported sales change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1 %</w:t>
            </w: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ind w:left="720"/>
              <w:spacing w:after="0"/>
              <w:rPr>
                <w:sz w:val="20"/>
                <w:szCs w:val="20"/>
                <w:color w:val="auto"/>
              </w:rPr>
            </w:pPr>
            <w:r>
              <w:rPr>
                <w:rFonts w:ascii="Arial" w:cs="Arial" w:eastAsia="Arial" w:hAnsi="Arial"/>
                <w:sz w:val="18"/>
                <w:szCs w:val="18"/>
                <w:color w:val="auto"/>
              </w:rPr>
              <w:t>4</w:t>
            </w: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7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Acquisitions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7"/>
        </w:trPr>
        <w:tc>
          <w:tcPr>
            <w:tcW w:w="7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Organic sales change</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4 %</w:t>
            </w: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first nine months of 2016, net sales increased on an organic basis primarily due to higher volume. Net sales increased on an organic basis at a high-single digit rate in emerging markets and at a low-single digit rate in Western Europe, and decreased on an organic basis at a low-single digit rate in North America.</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first nine months of 2016, net sales increased on an organic basis at a mid-single digit rate for the Materials product group. In the first nine months of 2016, net sales decreased on an organic basis at a high-single digit rate for the Performance Tapes product group primarily due to a program loss with a large customer.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income increased in the first nine months of 2016 compared to the same period last year primarily reflecting benefits from productivity initiatives, including savings from restructuring, net of transition costs, and higher volume, partially offset by higher employee-related costs, unfavorable mix, and the unfavorable impact of currency translation.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r>
              <w:rPr>
                <w:rFonts w:ascii="Arial" w:cs="Arial" w:eastAsia="Arial" w:hAnsi="Arial"/>
                <w:sz w:val="18"/>
                <w:szCs w:val="18"/>
                <w:b w:val="1"/>
                <w:bCs w:val="1"/>
                <w:color w:val="auto"/>
              </w:rPr>
              <w:t>Retail Branding and Information Solutions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32"/>
        </w:trPr>
        <w:tc>
          <w:tcPr>
            <w:tcW w:w="7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Nine Months Ended</w:t>
            </w:r>
          </w:p>
        </w:tc>
        <w:tc>
          <w:tcPr>
            <w:tcW w:w="840" w:type="dxa"/>
            <w:vAlign w:val="bottom"/>
            <w:tcBorders>
              <w:bottom w:val="single" w:sz="8" w:color="auto"/>
            </w:tcBorders>
          </w:tcPr>
          <w:p>
            <w:pPr>
              <w:spacing w:after="0"/>
              <w:rPr>
                <w:sz w:val="24"/>
                <w:szCs w:val="24"/>
                <w:color w:val="auto"/>
              </w:rPr>
            </w:pPr>
          </w:p>
        </w:tc>
      </w:tr>
      <w:tr>
        <w:trPr>
          <w:trHeight w:val="210"/>
        </w:trPr>
        <w:tc>
          <w:tcPr>
            <w:tcW w:w="7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rPr>
              <w:t>October 1, 2016</w:t>
            </w:r>
          </w:p>
        </w:tc>
        <w:tc>
          <w:tcPr>
            <w:tcW w:w="160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w w:val="96"/>
              </w:rPr>
              <w:t>October 3, 2015</w:t>
            </w: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sales including intersegment sales</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1,128.6</w:t>
            </w:r>
          </w:p>
        </w:tc>
        <w:tc>
          <w:tcPr>
            <w:tcW w:w="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1,140.2</w:t>
            </w:r>
          </w:p>
        </w:tc>
      </w:tr>
      <w:tr>
        <w:trPr>
          <w:trHeight w:val="216"/>
        </w:trPr>
        <w:tc>
          <w:tcPr>
            <w:tcW w:w="7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intersegment sales</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(1.6)</w:t>
            </w:r>
          </w:p>
        </w:tc>
        <w:tc>
          <w:tcPr>
            <w:tcW w:w="7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1,127.0</w:t>
            </w:r>
          </w:p>
        </w:tc>
        <w:tc>
          <w:tcPr>
            <w:tcW w:w="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1,138.7</w:t>
            </w:r>
          </w:p>
        </w:tc>
      </w:tr>
      <w:tr>
        <w:trPr>
          <w:trHeight w:val="223"/>
        </w:trPr>
        <w:tc>
          <w:tcPr>
            <w:tcW w:w="7800" w:type="dxa"/>
            <w:vAlign w:val="bottom"/>
            <w:tcBorders>
              <w:bottom w:val="single" w:sz="8" w:color="auto"/>
            </w:tcBorders>
          </w:tcPr>
          <w:p>
            <w:pPr>
              <w:spacing w:after="0" w:line="216" w:lineRule="exact"/>
              <w:rPr>
                <w:sz w:val="20"/>
                <w:szCs w:val="20"/>
                <w:color w:val="auto"/>
              </w:rPr>
            </w:pPr>
            <w:r>
              <w:rPr>
                <w:rFonts w:ascii="Arial" w:cs="Arial" w:eastAsia="Arial" w:hAnsi="Arial"/>
                <w:sz w:val="18"/>
                <w:szCs w:val="18"/>
                <w:color w:val="auto"/>
              </w:rPr>
              <w:t>Operating income</w:t>
            </w:r>
            <w:r>
              <w:rPr>
                <w:rFonts w:ascii="Arial" w:cs="Arial" w:eastAsia="Arial" w:hAnsi="Arial"/>
                <w:sz w:val="23"/>
                <w:szCs w:val="23"/>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82.8</w:t>
            </w:r>
          </w:p>
        </w:tc>
        <w:tc>
          <w:tcPr>
            <w:tcW w:w="7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54.3</w:t>
            </w:r>
          </w:p>
        </w:tc>
      </w:tr>
      <w:tr>
        <w:trPr>
          <w:trHeight w:val="269"/>
        </w:trPr>
        <w:tc>
          <w:tcPr>
            <w:tcW w:w="7800" w:type="dxa"/>
            <w:vAlign w:val="bottom"/>
            <w:shd w:val="clear" w:color="auto" w:fill="CCEEFF"/>
          </w:tcPr>
          <w:p>
            <w:pPr>
              <w:spacing w:after="0"/>
              <w:rPr>
                <w:sz w:val="20"/>
                <w:szCs w:val="20"/>
                <w:color w:val="auto"/>
              </w:rPr>
            </w:pPr>
            <w:r>
              <w:rPr>
                <w:rFonts w:ascii="Arial" w:cs="Arial" w:eastAsia="Arial" w:hAnsi="Arial"/>
                <w:sz w:val="23"/>
                <w:szCs w:val="23"/>
                <w:color w:val="auto"/>
                <w:w w:val="92"/>
                <w:vertAlign w:val="superscript"/>
              </w:rPr>
              <w:t>(1)</w:t>
            </w:r>
            <w:r>
              <w:rPr>
                <w:rFonts w:ascii="Arial" w:cs="Arial" w:eastAsia="Arial" w:hAnsi="Arial"/>
                <w:sz w:val="18"/>
                <w:szCs w:val="18"/>
                <w:color w:val="auto"/>
                <w:w w:val="92"/>
              </w:rPr>
              <w:t xml:space="preserve"> Included costs associated with restructuring in both years, transaction costs in 2016, loss on sale of an</w:t>
            </w: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30"/>
        </w:trPr>
        <w:tc>
          <w:tcPr>
            <w:tcW w:w="78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asset in 2016, loss on sale of a product line in 2015, and a legal settlement in 2015.</w:t>
            </w:r>
          </w:p>
        </w:tc>
        <w:tc>
          <w:tcPr>
            <w:tcW w:w="840" w:type="dxa"/>
            <w:vAlign w:val="bottom"/>
            <w:tcBorders>
              <w:bottom w:val="single" w:sz="8" w:color="auto"/>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7.3</w:t>
            </w:r>
          </w:p>
        </w:tc>
        <w:tc>
          <w:tcPr>
            <w:tcW w:w="7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r>
      <w:tr>
        <w:trPr>
          <w:trHeight w:val="411"/>
        </w:trPr>
        <w:tc>
          <w:tcPr>
            <w:tcW w:w="7800" w:type="dxa"/>
            <w:vAlign w:val="bottom"/>
          </w:tcPr>
          <w:p>
            <w:pPr>
              <w:spacing w:after="0"/>
              <w:rPr>
                <w:sz w:val="20"/>
                <w:szCs w:val="20"/>
                <w:color w:val="auto"/>
              </w:rPr>
            </w:pPr>
            <w:r>
              <w:rPr>
                <w:rFonts w:ascii="Arial" w:cs="Arial" w:eastAsia="Arial" w:hAnsi="Arial"/>
                <w:sz w:val="18"/>
                <w:szCs w:val="18"/>
                <w:i w:val="1"/>
                <w:iCs w:val="1"/>
                <w:color w:val="auto"/>
              </w:rPr>
              <w:t>Net Sales</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0"/>
        </w:trPr>
        <w:tc>
          <w:tcPr>
            <w:tcW w:w="7800" w:type="dxa"/>
            <w:vAlign w:val="bottom"/>
          </w:tcPr>
          <w:p>
            <w:pPr>
              <w:spacing w:after="0"/>
              <w:rPr>
                <w:sz w:val="20"/>
                <w:szCs w:val="20"/>
                <w:color w:val="auto"/>
              </w:rPr>
            </w:pPr>
            <w:r>
              <w:rPr>
                <w:rFonts w:ascii="Arial" w:cs="Arial" w:eastAsia="Arial" w:hAnsi="Arial"/>
                <w:sz w:val="18"/>
                <w:szCs w:val="18"/>
                <w:color w:val="auto"/>
              </w:rPr>
              <w:t>The factors impacting the reported sales change are shown in the table below:</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14"/>
        </w:trPr>
        <w:tc>
          <w:tcPr>
            <w:tcW w:w="7800" w:type="dxa"/>
            <w:vAlign w:val="bottom"/>
          </w:tcPr>
          <w:p>
            <w:pPr>
              <w:spacing w:after="0"/>
              <w:rPr>
                <w:sz w:val="24"/>
                <w:szCs w:val="24"/>
                <w:color w:val="auto"/>
              </w:rPr>
            </w:pPr>
          </w:p>
        </w:tc>
        <w:tc>
          <w:tcPr>
            <w:tcW w:w="202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w w:val="98"/>
              </w:rPr>
              <w:t>Nine Months Ended</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4"/>
        </w:trPr>
        <w:tc>
          <w:tcPr>
            <w:tcW w:w="7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October 1, 2016</w:t>
            </w: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Reported sales change</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ind w:left="700"/>
              <w:spacing w:after="0"/>
              <w:rPr>
                <w:sz w:val="20"/>
                <w:szCs w:val="20"/>
                <w:color w:val="auto"/>
              </w:rPr>
            </w:pPr>
            <w:r>
              <w:rPr>
                <w:rFonts w:ascii="Arial" w:cs="Arial" w:eastAsia="Arial" w:hAnsi="Arial"/>
                <w:sz w:val="18"/>
                <w:szCs w:val="18"/>
                <w:color w:val="auto"/>
              </w:rPr>
              <w:t>2</w:t>
            </w: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7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Product line divestiture</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2</w:t>
            </w: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7"/>
        </w:trPr>
        <w:tc>
          <w:tcPr>
            <w:tcW w:w="7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Organic sales change</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3 %</w:t>
            </w: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In the first nine months of 2016, net sales increased on an organic basis due to higher volume from sales of radio-frequency identification products.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Operating income increased in the first nine months of 2016 compared to the same period last year primarily reflecting benefits from productivity initiatives, including savings from restructuring actions, net of transition costs, higher volume, lower restructuring charges, and the loss on sale of a product line and related costs in the prior year, partially offset by higher employee-related costs and the impact of strategic pricing actions.</w:t>
      </w:r>
    </w:p>
    <w:p>
      <w:pPr>
        <w:spacing w:after="0" w:line="173"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Vancive Medical Technologies</w:t>
      </w:r>
    </w:p>
    <w:p>
      <w:pPr>
        <w:sectPr>
          <w:pgSz w:w="11900" w:h="16838" w:orient="portrait"/>
          <w:cols w:equalWidth="0" w:num="1">
            <w:col w:w="11420"/>
          </w:cols>
          <w:pgMar w:left="240" w:top="121" w:right="239" w:bottom="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Nine Months Ended</w:t>
            </w:r>
          </w:p>
        </w:tc>
        <w:tc>
          <w:tcPr>
            <w:tcW w:w="720" w:type="dxa"/>
            <w:vAlign w:val="bottom"/>
            <w:tcBorders>
              <w:bottom w:val="single" w:sz="8" w:color="auto"/>
            </w:tcBorders>
          </w:tcPr>
          <w:p>
            <w:pPr>
              <w:spacing w:after="0"/>
              <w:rPr>
                <w:sz w:val="20"/>
                <w:szCs w:val="20"/>
                <w:color w:val="auto"/>
              </w:rPr>
            </w:pPr>
          </w:p>
        </w:tc>
      </w:tr>
      <w:tr>
        <w:trPr>
          <w:trHeight w:val="210"/>
        </w:trPr>
        <w:tc>
          <w:tcPr>
            <w:tcW w:w="6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rPr>
              <w:t>October 1, 2016</w:t>
            </w:r>
          </w:p>
        </w:tc>
        <w:tc>
          <w:tcPr>
            <w:tcW w:w="160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w w:val="96"/>
              </w:rPr>
              <w:t>October 3, 2015</w:t>
            </w: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sales including intersegment sales</w:t>
            </w:r>
          </w:p>
        </w:tc>
        <w:tc>
          <w:tcPr>
            <w:tcW w:w="186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48.2</w:t>
            </w:r>
          </w:p>
        </w:tc>
        <w:tc>
          <w:tcPr>
            <w:tcW w:w="8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59.4</w:t>
            </w:r>
          </w:p>
        </w:tc>
      </w:tr>
      <w:tr>
        <w:trPr>
          <w:trHeight w:val="216"/>
        </w:trPr>
        <w:tc>
          <w:tcPr>
            <w:tcW w:w="6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intersegment sales</w:t>
            </w:r>
          </w:p>
        </w:tc>
        <w:tc>
          <w:tcPr>
            <w:tcW w:w="1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w:t>
            </w:r>
          </w:p>
        </w:tc>
        <w:tc>
          <w:tcPr>
            <w:tcW w:w="8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6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47.8</w:t>
            </w:r>
          </w:p>
        </w:tc>
        <w:tc>
          <w:tcPr>
            <w:tcW w:w="8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r>
      <w:tr>
        <w:trPr>
          <w:trHeight w:val="223"/>
        </w:trPr>
        <w:tc>
          <w:tcPr>
            <w:tcW w:w="6780" w:type="dxa"/>
            <w:vAlign w:val="bottom"/>
            <w:tcBorders>
              <w:bottom w:val="single" w:sz="8" w:color="auto"/>
            </w:tcBorders>
          </w:tcPr>
          <w:p>
            <w:pPr>
              <w:spacing w:after="0" w:line="216" w:lineRule="exact"/>
              <w:rPr>
                <w:sz w:val="20"/>
                <w:szCs w:val="20"/>
                <w:color w:val="auto"/>
              </w:rPr>
            </w:pPr>
            <w:r>
              <w:rPr>
                <w:rFonts w:ascii="Arial" w:cs="Arial" w:eastAsia="Arial" w:hAnsi="Arial"/>
                <w:sz w:val="18"/>
                <w:szCs w:val="18"/>
                <w:color w:val="auto"/>
              </w:rPr>
              <w:t>Operating loss</w:t>
            </w:r>
            <w:r>
              <w:rPr>
                <w:rFonts w:ascii="Arial" w:cs="Arial" w:eastAsia="Arial" w:hAnsi="Arial"/>
                <w:sz w:val="23"/>
                <w:szCs w:val="23"/>
                <w:color w:val="auto"/>
                <w:vertAlign w:val="superscript"/>
              </w:rPr>
              <w:t>(1)</w:t>
            </w: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w:t>
            </w:r>
          </w:p>
        </w:tc>
        <w:tc>
          <w:tcPr>
            <w:tcW w:w="8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84"/>
        </w:trPr>
        <w:tc>
          <w:tcPr>
            <w:tcW w:w="6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Included costs associated with restructuring in both years.</w:t>
            </w:r>
          </w:p>
        </w:tc>
        <w:tc>
          <w:tcPr>
            <w:tcW w:w="1860" w:type="dxa"/>
            <w:vAlign w:val="bottom"/>
            <w:tcBorders>
              <w:bottom w:val="single" w:sz="8" w:color="auto"/>
            </w:tcBorders>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.5</w:t>
            </w:r>
          </w:p>
        </w:tc>
        <w:tc>
          <w:tcPr>
            <w:tcW w:w="8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411"/>
        </w:trPr>
        <w:tc>
          <w:tcPr>
            <w:tcW w:w="6780" w:type="dxa"/>
            <w:vAlign w:val="bottom"/>
          </w:tcPr>
          <w:p>
            <w:pPr>
              <w:spacing w:after="0"/>
              <w:rPr>
                <w:sz w:val="20"/>
                <w:szCs w:val="20"/>
                <w:color w:val="auto"/>
              </w:rPr>
            </w:pPr>
            <w:r>
              <w:rPr>
                <w:rFonts w:ascii="Arial" w:cs="Arial" w:eastAsia="Arial" w:hAnsi="Arial"/>
                <w:sz w:val="18"/>
                <w:szCs w:val="18"/>
                <w:i w:val="1"/>
                <w:iCs w:val="1"/>
                <w:color w:val="auto"/>
              </w:rPr>
              <w:t>Net Sales</w:t>
            </w: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The factors impacting the reported sales change are shown in the table below:</w:t>
            </w:r>
          </w:p>
        </w:tc>
        <w:tc>
          <w:tcPr>
            <w:tcW w:w="1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4"/>
        </w:trPr>
        <w:tc>
          <w:tcPr>
            <w:tcW w:w="6780" w:type="dxa"/>
            <w:vAlign w:val="bottom"/>
          </w:tcPr>
          <w:p>
            <w:pPr>
              <w:spacing w:after="0"/>
              <w:rPr>
                <w:sz w:val="24"/>
                <w:szCs w:val="24"/>
                <w:color w:val="auto"/>
              </w:rPr>
            </w:pPr>
          </w:p>
        </w:tc>
        <w:tc>
          <w:tcPr>
            <w:tcW w:w="304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Nine Months Ended</w:t>
            </w: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4"/>
        </w:trPr>
        <w:tc>
          <w:tcPr>
            <w:tcW w:w="67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October 1, 2016</w:t>
            </w: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Reported sales change</w:t>
            </w: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translation</w:t>
            </w:r>
          </w:p>
        </w:tc>
        <w:tc>
          <w:tcPr>
            <w:tcW w:w="1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7"/>
        </w:trPr>
        <w:tc>
          <w:tcPr>
            <w:tcW w:w="6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Organic sales change</w:t>
            </w:r>
          </w:p>
        </w:tc>
        <w:tc>
          <w:tcPr>
            <w:tcW w:w="1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the first nine months of 2016, net sales decreased on an organic basis primarily due to lower volume.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Loss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Operating loss decreased in the first nine months of 2016 compared to the same period last year reflecting lower operating costs and lower restructuring charges, partially offset by lower volume.</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FINANCIAL CONDITION</w:t>
            </w:r>
          </w:p>
        </w:tc>
        <w:tc>
          <w:tcPr>
            <w:tcW w:w="5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453"/>
        </w:trPr>
        <w:tc>
          <w:tcPr>
            <w:tcW w:w="7960" w:type="dxa"/>
            <w:vAlign w:val="bottom"/>
            <w:gridSpan w:val="2"/>
          </w:tcPr>
          <w:p>
            <w:pPr>
              <w:spacing w:after="0"/>
              <w:rPr>
                <w:sz w:val="20"/>
                <w:szCs w:val="20"/>
                <w:color w:val="auto"/>
              </w:rPr>
            </w:pPr>
            <w:r>
              <w:rPr>
                <w:rFonts w:ascii="Arial" w:cs="Arial" w:eastAsia="Arial" w:hAnsi="Arial"/>
                <w:sz w:val="18"/>
                <w:szCs w:val="18"/>
                <w:b w:val="1"/>
                <w:bCs w:val="1"/>
                <w:color w:val="auto"/>
              </w:rPr>
              <w:t>Liquidity</w:t>
            </w: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2"/>
        </w:trPr>
        <w:tc>
          <w:tcPr>
            <w:tcW w:w="7960" w:type="dxa"/>
            <w:vAlign w:val="bottom"/>
            <w:gridSpan w:val="2"/>
          </w:tcPr>
          <w:p>
            <w:pPr>
              <w:spacing w:after="0"/>
              <w:rPr>
                <w:sz w:val="20"/>
                <w:szCs w:val="20"/>
                <w:color w:val="auto"/>
              </w:rPr>
            </w:pPr>
            <w:r>
              <w:rPr>
                <w:rFonts w:ascii="Arial" w:cs="Arial" w:eastAsia="Arial" w:hAnsi="Arial"/>
                <w:sz w:val="18"/>
                <w:szCs w:val="18"/>
                <w:b w:val="1"/>
                <w:bCs w:val="1"/>
                <w:color w:val="auto"/>
              </w:rPr>
              <w:t>Operating Activities</w:t>
            </w: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2"/>
        </w:trPr>
        <w:tc>
          <w:tcPr>
            <w:tcW w:w="214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Nine Months Ended</w:t>
            </w:r>
          </w:p>
        </w:tc>
        <w:tc>
          <w:tcPr>
            <w:tcW w:w="800" w:type="dxa"/>
            <w:vAlign w:val="bottom"/>
            <w:tcBorders>
              <w:bottom w:val="single" w:sz="8" w:color="auto"/>
            </w:tcBorders>
          </w:tcPr>
          <w:p>
            <w:pPr>
              <w:spacing w:after="0"/>
              <w:rPr>
                <w:sz w:val="24"/>
                <w:szCs w:val="24"/>
                <w:color w:val="auto"/>
              </w:rPr>
            </w:pPr>
          </w:p>
        </w:tc>
      </w:tr>
      <w:tr>
        <w:trPr>
          <w:trHeight w:val="210"/>
        </w:trPr>
        <w:tc>
          <w:tcPr>
            <w:tcW w:w="7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188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rPr>
              <w:t>October 1, 2016</w:t>
            </w:r>
          </w:p>
        </w:tc>
        <w:tc>
          <w:tcPr>
            <w:tcW w:w="158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w w:val="96"/>
              </w:rPr>
              <w:t>October 3, 2015</w:t>
            </w:r>
          </w:p>
        </w:tc>
      </w:tr>
      <w:tr>
        <w:trPr>
          <w:trHeight w:val="210"/>
        </w:trPr>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258.7</w:t>
            </w:r>
          </w:p>
        </w:tc>
        <w:tc>
          <w:tcPr>
            <w:tcW w:w="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217.3</w:t>
            </w:r>
          </w:p>
        </w:tc>
      </w:tr>
      <w:tr>
        <w:trPr>
          <w:trHeight w:val="216"/>
        </w:trPr>
        <w:tc>
          <w:tcPr>
            <w:tcW w:w="79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660" w:type="dxa"/>
            <w:vAlign w:val="bottom"/>
          </w:tcPr>
          <w:p>
            <w:pPr>
              <w:spacing w:after="0"/>
              <w:rPr>
                <w:sz w:val="18"/>
                <w:szCs w:val="18"/>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135.5</w:t>
            </w:r>
          </w:p>
        </w:tc>
        <w:tc>
          <w:tcPr>
            <w:tcW w:w="78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142.8</w:t>
            </w:r>
          </w:p>
        </w:tc>
      </w:tr>
      <w:tr>
        <w:trPr>
          <w:trHeight w:val="216"/>
        </w:trPr>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doubtful accounts and sales returns</w:t>
            </w:r>
          </w:p>
        </w:tc>
        <w:tc>
          <w:tcPr>
            <w:tcW w:w="6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33.8</w:t>
            </w: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r>
      <w:tr>
        <w:trPr>
          <w:trHeight w:val="216"/>
        </w:trPr>
        <w:tc>
          <w:tcPr>
            <w:tcW w:w="7960" w:type="dxa"/>
            <w:vAlign w:val="bottom"/>
            <w:gridSpan w:val="2"/>
          </w:tcPr>
          <w:p>
            <w:pPr>
              <w:spacing w:after="0"/>
              <w:rPr>
                <w:sz w:val="20"/>
                <w:szCs w:val="20"/>
                <w:color w:val="auto"/>
              </w:rPr>
            </w:pPr>
            <w:r>
              <w:rPr>
                <w:rFonts w:ascii="Arial" w:cs="Arial" w:eastAsia="Arial" w:hAnsi="Arial"/>
                <w:sz w:val="18"/>
                <w:szCs w:val="18"/>
                <w:color w:val="auto"/>
              </w:rPr>
              <w:t>Net losses from asset impairments and sales/disposals of assets</w:t>
            </w:r>
          </w:p>
        </w:tc>
        <w:tc>
          <w:tcPr>
            <w:tcW w:w="660" w:type="dxa"/>
            <w:vAlign w:val="bottom"/>
          </w:tcPr>
          <w:p>
            <w:pPr>
              <w:spacing w:after="0"/>
              <w:rPr>
                <w:sz w:val="18"/>
                <w:szCs w:val="18"/>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3.8</w:t>
            </w:r>
          </w:p>
        </w:tc>
        <w:tc>
          <w:tcPr>
            <w:tcW w:w="78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10.9</w:t>
            </w:r>
          </w:p>
        </w:tc>
      </w:tr>
      <w:tr>
        <w:trPr>
          <w:trHeight w:val="216"/>
        </w:trPr>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6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20.1</w:t>
            </w: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r>
      <w:tr>
        <w:trPr>
          <w:trHeight w:val="216"/>
        </w:trPr>
        <w:tc>
          <w:tcPr>
            <w:tcW w:w="7960" w:type="dxa"/>
            <w:vAlign w:val="bottom"/>
            <w:gridSpan w:val="2"/>
          </w:tcPr>
          <w:p>
            <w:pPr>
              <w:spacing w:after="0"/>
              <w:rPr>
                <w:sz w:val="20"/>
                <w:szCs w:val="20"/>
                <w:color w:val="auto"/>
              </w:rPr>
            </w:pPr>
            <w:r>
              <w:rPr>
                <w:rFonts w:ascii="Arial" w:cs="Arial" w:eastAsia="Arial" w:hAnsi="Arial"/>
                <w:sz w:val="18"/>
                <w:szCs w:val="18"/>
                <w:color w:val="auto"/>
              </w:rPr>
              <w:t>Loss from settlement of pension obligations</w:t>
            </w:r>
          </w:p>
        </w:tc>
        <w:tc>
          <w:tcPr>
            <w:tcW w:w="660" w:type="dxa"/>
            <w:vAlign w:val="bottom"/>
          </w:tcPr>
          <w:p>
            <w:pPr>
              <w:spacing w:after="0"/>
              <w:rPr>
                <w:sz w:val="18"/>
                <w:szCs w:val="18"/>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41.4</w:t>
            </w:r>
          </w:p>
        </w:tc>
        <w:tc>
          <w:tcPr>
            <w:tcW w:w="78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non-cash expense and loss</w:t>
            </w:r>
          </w:p>
        </w:tc>
        <w:tc>
          <w:tcPr>
            <w:tcW w:w="6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34.7</w:t>
            </w: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r>
      <w:tr>
        <w:trPr>
          <w:trHeight w:val="216"/>
        </w:trPr>
        <w:tc>
          <w:tcPr>
            <w:tcW w:w="7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Changes in assets and liabilities and other adjustments</w:t>
            </w:r>
          </w:p>
        </w:tc>
        <w:tc>
          <w:tcPr>
            <w:tcW w:w="6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(162.3)</w:t>
            </w:r>
          </w:p>
        </w:tc>
        <w:tc>
          <w:tcPr>
            <w:tcW w:w="7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w:t>
            </w:r>
          </w:p>
        </w:tc>
      </w:tr>
      <w:tr>
        <w:trPr>
          <w:trHeight w:val="217"/>
        </w:trPr>
        <w:tc>
          <w:tcPr>
            <w:tcW w:w="79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6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365.7</w:t>
            </w:r>
          </w:p>
        </w:tc>
        <w:tc>
          <w:tcPr>
            <w:tcW w:w="7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282.2</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cash flow purposes, changes in assets and liabilities and other adjustments exclude the impact of foreign currency translation (discussed below in “Analysis of Selected Balance Sheet Accounts”).</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During the first nine months of 2016, cash flow from operating activities increased compared to the same period last year primarily due to higher net income, lower income tax payments, and benefits from changes in operational working capital, partially offset by higher incentive compensation payments.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6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32"/>
        </w:trPr>
        <w:tc>
          <w:tcPr>
            <w:tcW w:w="79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Nine Months Ended</w:t>
            </w:r>
          </w:p>
        </w:tc>
        <w:tc>
          <w:tcPr>
            <w:tcW w:w="740" w:type="dxa"/>
            <w:vAlign w:val="bottom"/>
            <w:tcBorders>
              <w:bottom w:val="single" w:sz="8" w:color="auto"/>
            </w:tcBorders>
          </w:tcPr>
          <w:p>
            <w:pPr>
              <w:spacing w:after="0"/>
              <w:rPr>
                <w:sz w:val="24"/>
                <w:szCs w:val="24"/>
                <w:color w:val="auto"/>
              </w:rPr>
            </w:pPr>
          </w:p>
        </w:tc>
      </w:tr>
      <w:tr>
        <w:trPr>
          <w:trHeight w:val="210"/>
        </w:trPr>
        <w:tc>
          <w:tcPr>
            <w:tcW w:w="7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88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October 1, 2016</w:t>
            </w:r>
          </w:p>
        </w:tc>
        <w:tc>
          <w:tcPr>
            <w:tcW w:w="158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w w:val="96"/>
              </w:rPr>
              <w:t>October 3, 2015</w:t>
            </w: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plant and equipment</w:t>
            </w:r>
          </w:p>
        </w:tc>
        <w:tc>
          <w:tcPr>
            <w:tcW w:w="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(104.9)</w:t>
            </w:r>
          </w:p>
        </w:tc>
        <w:tc>
          <w:tcPr>
            <w:tcW w:w="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Purchases of software and other deferred charges</w:t>
            </w:r>
          </w:p>
        </w:tc>
        <w:tc>
          <w:tcPr>
            <w:tcW w:w="68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(16.6)</w:t>
            </w:r>
          </w:p>
        </w:tc>
        <w:tc>
          <w:tcPr>
            <w:tcW w:w="8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property, plant and equipment</w:t>
            </w:r>
          </w:p>
        </w:tc>
        <w:tc>
          <w:tcPr>
            <w:tcW w:w="6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4.3</w:t>
            </w: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Purchases of investments, net</w:t>
            </w:r>
          </w:p>
        </w:tc>
        <w:tc>
          <w:tcPr>
            <w:tcW w:w="68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(.8)</w:t>
            </w:r>
          </w:p>
        </w:tc>
        <w:tc>
          <w:tcPr>
            <w:tcW w:w="8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Payments for acquisitions, net of cash acquired</w:t>
            </w:r>
          </w:p>
        </w:tc>
        <w:tc>
          <w:tcPr>
            <w:tcW w:w="6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(227.5)</w:t>
            </w: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r>
      <w:tr>
        <w:trPr>
          <w:trHeight w:val="217"/>
        </w:trPr>
        <w:tc>
          <w:tcPr>
            <w:tcW w:w="7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6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(345.5)</w:t>
            </w:r>
          </w:p>
        </w:tc>
        <w:tc>
          <w:tcPr>
            <w:tcW w:w="8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and Software Spending</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During the first nine months of 2016 and 2015, we invested in new equipment to support growth, primarily in Asia, and to improve manufacturing productivity.</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first nine months of 2016, information technology investments were primarily associated with standardization initiatives in North America. During the first nine months of 2015, information technology investments were primarily associated with standardization initiatives in Asia and North America.</w:t>
      </w:r>
    </w:p>
    <w:p>
      <w:pPr>
        <w:sectPr>
          <w:pgSz w:w="11900" w:h="16838" w:orient="portrait"/>
          <w:cols w:equalWidth="0" w:num="1">
            <w:col w:w="11420"/>
          </w:cols>
          <w:pgMar w:left="240" w:top="337" w:right="239" w:bottom="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Payments for Acquisitions, Net of Cash Acquired</w:t>
      </w:r>
    </w:p>
    <w:p>
      <w:pPr>
        <w:spacing w:after="0" w:line="23" w:lineRule="exact"/>
        <w:rPr>
          <w:sz w:val="20"/>
          <w:szCs w:val="20"/>
          <w:color w:val="auto"/>
        </w:rPr>
      </w:pPr>
    </w:p>
    <w:p>
      <w:pPr>
        <w:jc w:val="both"/>
        <w:ind w:right="40"/>
        <w:spacing w:after="0" w:line="290" w:lineRule="auto"/>
        <w:rPr>
          <w:sz w:val="20"/>
          <w:szCs w:val="20"/>
          <w:color w:val="auto"/>
        </w:rPr>
      </w:pPr>
      <w:r>
        <w:rPr>
          <w:rFonts w:ascii="Arial" w:cs="Arial" w:eastAsia="Arial" w:hAnsi="Arial"/>
          <w:sz w:val="17"/>
          <w:szCs w:val="17"/>
          <w:color w:val="auto"/>
        </w:rPr>
        <w:t>In connection with the Mactac acquisition, we paid consideration, net of cash received, of approximately $222 million, which we funded primarily through existing credit facilities. The purchase price is subject to certain adjustments in accordance with the terms of the purchase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2, “Acquisitions,” to the unaudited Condensed Consolidated Financial Statements for more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3"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In May 2015, we received $1.5 million from the sale of a product line in our RBIS reportable segment. Refer to Note 1, “General,” to the unaudited Condensed Consolidated Financial Statements for more information.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132"/>
        </w:trPr>
        <w:tc>
          <w:tcPr>
            <w:tcW w:w="1280" w:type="dxa"/>
            <w:vAlign w:val="bottom"/>
            <w:tcBorders>
              <w:bottom w:val="single" w:sz="8" w:color="808080"/>
            </w:tcBorders>
          </w:tcPr>
          <w:p>
            <w:pPr>
              <w:spacing w:after="0"/>
              <w:rPr>
                <w:sz w:val="11"/>
                <w:szCs w:val="11"/>
                <w:color w:val="auto"/>
              </w:rPr>
            </w:pPr>
          </w:p>
        </w:tc>
        <w:tc>
          <w:tcPr>
            <w:tcW w:w="66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796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6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20" w:type="dxa"/>
            <w:vAlign w:val="bottom"/>
            <w:gridSpan w:val="4"/>
          </w:tcPr>
          <w:p>
            <w:pPr>
              <w:jc w:val="right"/>
              <w:ind w:right="40"/>
              <w:spacing w:after="0"/>
              <w:rPr>
                <w:sz w:val="20"/>
                <w:szCs w:val="20"/>
                <w:color w:val="auto"/>
              </w:rPr>
            </w:pPr>
            <w:r>
              <w:rPr>
                <w:rFonts w:ascii="Arial" w:cs="Arial" w:eastAsia="Arial" w:hAnsi="Arial"/>
                <w:sz w:val="18"/>
                <w:szCs w:val="18"/>
                <w:color w:val="auto"/>
              </w:rPr>
              <w:t>Avery Dennison Corporation</w:t>
            </w:r>
          </w:p>
        </w:tc>
      </w:tr>
      <w:tr>
        <w:trPr>
          <w:trHeight w:val="432"/>
        </w:trPr>
        <w:tc>
          <w:tcPr>
            <w:tcW w:w="796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Nine Months Ended</w:t>
            </w:r>
          </w:p>
        </w:tc>
        <w:tc>
          <w:tcPr>
            <w:tcW w:w="8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7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188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October 1, 2016</w:t>
            </w:r>
          </w:p>
        </w:tc>
        <w:tc>
          <w:tcPr>
            <w:tcW w:w="158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w w:val="96"/>
              </w:rPr>
              <w:t>October 3, 2015</w:t>
            </w:r>
          </w:p>
        </w:tc>
        <w:tc>
          <w:tcPr>
            <w:tcW w:w="40" w:type="dxa"/>
            <w:vAlign w:val="bottom"/>
          </w:tcPr>
          <w:p>
            <w:pPr>
              <w:spacing w:after="0"/>
              <w:rPr>
                <w:sz w:val="18"/>
                <w:szCs w:val="18"/>
                <w:color w:val="auto"/>
              </w:rPr>
            </w:pPr>
          </w:p>
        </w:tc>
      </w:tr>
      <w:tr>
        <w:trPr>
          <w:trHeight w:val="210"/>
        </w:trPr>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borrowings (maturities of three months or less)</w:t>
            </w:r>
          </w:p>
        </w:tc>
        <w:tc>
          <w:tcPr>
            <w:tcW w:w="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242.0</w:t>
            </w:r>
          </w:p>
        </w:tc>
        <w:tc>
          <w:tcPr>
            <w:tcW w:w="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40" w:type="dxa"/>
            <w:vAlign w:val="bottom"/>
          </w:tcPr>
          <w:p>
            <w:pPr>
              <w:spacing w:after="0"/>
              <w:rPr>
                <w:sz w:val="18"/>
                <w:szCs w:val="18"/>
                <w:color w:val="auto"/>
              </w:rPr>
            </w:pPr>
          </w:p>
        </w:tc>
      </w:tr>
      <w:tr>
        <w:trPr>
          <w:trHeight w:val="216"/>
        </w:trPr>
        <w:tc>
          <w:tcPr>
            <w:tcW w:w="7960" w:type="dxa"/>
            <w:vAlign w:val="bottom"/>
            <w:gridSpan w:val="2"/>
          </w:tcPr>
          <w:p>
            <w:pPr>
              <w:spacing w:after="0"/>
              <w:rPr>
                <w:sz w:val="20"/>
                <w:szCs w:val="20"/>
                <w:color w:val="auto"/>
              </w:rPr>
            </w:pPr>
            <w:r>
              <w:rPr>
                <w:rFonts w:ascii="Arial" w:cs="Arial" w:eastAsia="Arial" w:hAnsi="Arial"/>
                <w:sz w:val="18"/>
                <w:szCs w:val="18"/>
                <w:color w:val="auto"/>
              </w:rPr>
              <w:t>Payments of debt (maturities greater than three months)</w:t>
            </w:r>
          </w:p>
        </w:tc>
        <w:tc>
          <w:tcPr>
            <w:tcW w:w="68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(1.9)</w:t>
            </w:r>
          </w:p>
        </w:tc>
        <w:tc>
          <w:tcPr>
            <w:tcW w:w="7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8"/>
                <w:szCs w:val="18"/>
                <w:color w:val="auto"/>
              </w:rPr>
            </w:pPr>
          </w:p>
        </w:tc>
      </w:tr>
      <w:tr>
        <w:trPr>
          <w:trHeight w:val="216"/>
        </w:trPr>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6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(106.2)</w:t>
            </w: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40" w:type="dxa"/>
            <w:vAlign w:val="bottom"/>
          </w:tcPr>
          <w:p>
            <w:pPr>
              <w:spacing w:after="0"/>
              <w:rPr>
                <w:sz w:val="18"/>
                <w:szCs w:val="18"/>
                <w:color w:val="auto"/>
              </w:rPr>
            </w:pPr>
          </w:p>
        </w:tc>
      </w:tr>
      <w:tr>
        <w:trPr>
          <w:trHeight w:val="216"/>
        </w:trPr>
        <w:tc>
          <w:tcPr>
            <w:tcW w:w="7960" w:type="dxa"/>
            <w:vAlign w:val="bottom"/>
            <w:gridSpan w:val="2"/>
          </w:tcPr>
          <w:p>
            <w:pPr>
              <w:spacing w:after="0"/>
              <w:rPr>
                <w:sz w:val="20"/>
                <w:szCs w:val="20"/>
                <w:color w:val="auto"/>
              </w:rPr>
            </w:pPr>
            <w:r>
              <w:rPr>
                <w:rFonts w:ascii="Arial" w:cs="Arial" w:eastAsia="Arial" w:hAnsi="Arial"/>
                <w:sz w:val="18"/>
                <w:szCs w:val="18"/>
                <w:color w:val="auto"/>
              </w:rPr>
              <w:t>Share repurchases</w:t>
            </w:r>
          </w:p>
        </w:tc>
        <w:tc>
          <w:tcPr>
            <w:tcW w:w="68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(181.5)</w:t>
            </w:r>
          </w:p>
        </w:tc>
        <w:tc>
          <w:tcPr>
            <w:tcW w:w="7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(108.5)</w:t>
            </w:r>
          </w:p>
        </w:tc>
        <w:tc>
          <w:tcPr>
            <w:tcW w:w="40" w:type="dxa"/>
            <w:vAlign w:val="bottom"/>
          </w:tcPr>
          <w:p>
            <w:pPr>
              <w:spacing w:after="0"/>
              <w:rPr>
                <w:sz w:val="18"/>
                <w:szCs w:val="18"/>
                <w:color w:val="auto"/>
              </w:rPr>
            </w:pPr>
          </w:p>
        </w:tc>
      </w:tr>
      <w:tr>
        <w:trPr>
          <w:trHeight w:val="216"/>
        </w:trPr>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exercises of stock options, net</w:t>
            </w:r>
          </w:p>
        </w:tc>
        <w:tc>
          <w:tcPr>
            <w:tcW w:w="6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63.4</w:t>
            </w: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78.4</w:t>
            </w:r>
          </w:p>
        </w:tc>
        <w:tc>
          <w:tcPr>
            <w:tcW w:w="40" w:type="dxa"/>
            <w:vAlign w:val="bottom"/>
          </w:tcPr>
          <w:p>
            <w:pPr>
              <w:spacing w:after="0"/>
              <w:rPr>
                <w:sz w:val="18"/>
                <w:szCs w:val="18"/>
                <w:color w:val="auto"/>
              </w:rPr>
            </w:pPr>
          </w:p>
        </w:tc>
      </w:tr>
      <w:tr>
        <w:trPr>
          <w:trHeight w:val="216"/>
        </w:trPr>
        <w:tc>
          <w:tcPr>
            <w:tcW w:w="7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(4.4)</w:t>
            </w:r>
          </w:p>
        </w:tc>
        <w:tc>
          <w:tcPr>
            <w:tcW w:w="7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r>
      <w:tr>
        <w:trPr>
          <w:trHeight w:val="217"/>
        </w:trPr>
        <w:tc>
          <w:tcPr>
            <w:tcW w:w="79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6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11.4</w:t>
            </w:r>
          </w:p>
        </w:tc>
        <w:tc>
          <w:tcPr>
            <w:tcW w:w="7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-2351405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-2351405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 and Repayment of Debt</w:t>
      </w:r>
    </w:p>
    <w:p>
      <w:pPr>
        <w:spacing w:after="0" w:line="23"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During the first nine months of 2016, our commercial paper borrowings were used mainly to fund the Mactac acquisition, share repurchase activity, capital expenditures, and dividend payments. During the first nine months of 2015, our commercial paper borrowings were used mainly to fund share repurchase activity, dividend payments, and capital expenditures given the seasonality of our cash flow.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Payments</w:t>
      </w:r>
    </w:p>
    <w:p>
      <w:pPr>
        <w:spacing w:after="0" w:line="23"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We paid dividends of $1.19 per share in the first nine months of 2016 compared to $1.09 per share in the same period last year. In April 2016, we increased our quarterly dividend to $.41 per share, representing an 11% increase from our previous dividend rate of $.37 per share.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3" w:lineRule="exact"/>
        <w:rPr>
          <w:sz w:val="20"/>
          <w:szCs w:val="20"/>
          <w:color w:val="auto"/>
        </w:rPr>
      </w:pPr>
    </w:p>
    <w:p>
      <w:pPr>
        <w:jc w:val="both"/>
        <w:ind w:right="40"/>
        <w:spacing w:after="0" w:line="290" w:lineRule="auto"/>
        <w:rPr>
          <w:sz w:val="20"/>
          <w:szCs w:val="20"/>
          <w:color w:val="auto"/>
        </w:rPr>
      </w:pPr>
      <w:r>
        <w:rPr>
          <w:rFonts w:ascii="Arial" w:cs="Arial" w:eastAsia="Arial" w:hAnsi="Arial"/>
          <w:sz w:val="17"/>
          <w:szCs w:val="17"/>
          <w:color w:val="auto"/>
        </w:rPr>
        <w:t>During the first nine months of 2016, we repurchased approximately 2.7 million shares of our common stock at an aggregate cost of $181.5 million. During the first nine months of 2015, we repurchased approximately 1.9 million shares of our common stock at an aggregate cost of $108.5 million.</w:t>
      </w:r>
    </w:p>
    <w:p>
      <w:pPr>
        <w:spacing w:after="0" w:line="16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As of October 1, 2016, approximately $186 million remained authorized for repurchase under our current board authorization of $500 million (exclusive of any fees, commissions, or other expenses related to such repurchases).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Selected Balance Sheet Accounts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3"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In the nine months ended October 1, 2016, goodwill increased by approximately $135 million to $822 million, which primarily reflected the preliminary valuation of goodwill associated with the Mactac acquisition and foreign currency translation.</w:t>
      </w:r>
    </w:p>
    <w:p>
      <w:pPr>
        <w:spacing w:after="0" w:line="184"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color w:val="auto"/>
        </w:rPr>
        <w:t>In the nine months ended October 1, 2016, other intangibles resulting from business acquisitions, net, increased by approximately $25 million to $71 million, which reflected preliminary valuation of other intangibles resulting from the Mactac acquisition, partially offset by current year amortization expense.</w:t>
      </w:r>
    </w:p>
    <w:p>
      <w:pPr>
        <w:spacing w:after="0" w:line="124"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Refer to Note 4, “Goodwill and Other Intangibles Resulting from Business Acquisitions,” to the unaudited Condensed Consolidated Financial Statements for more information.</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the nine months ended October 1, 2016, other assets decreased by approximately $8 million to $398 million, which reflected amortization expense related to software and other deferred charges, net of purchases, partially offset by an increase in the cash surrender value of our corporate-owned life insurance policies.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Shareholders’ Equity Accounts</w:t>
      </w:r>
    </w:p>
    <w:p>
      <w:pPr>
        <w:spacing w:after="0" w:line="23"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In the nine months ended October 1, 2016, the balance of our shareholders’ equity increased by approximately $77 million to $1.04 billion, which primarily reflected net income, the use of treasury shares to settle exercises of stock options and vesting of stock-based awards and to fund contributions to our U.S. defined contribution plan, partially offset by share repurchases and dividend payments.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r>
              <w:rPr>
                <w:rFonts w:ascii="Arial" w:cs="Arial" w:eastAsia="Arial" w:hAnsi="Arial"/>
                <w:sz w:val="18"/>
                <w:szCs w:val="18"/>
                <w:b w:val="1"/>
                <w:bCs w:val="1"/>
                <w:color w:val="auto"/>
              </w:rPr>
              <w:t>Impact of Foreign Currency Translation</w:t>
            </w:r>
          </w:p>
        </w:tc>
        <w:tc>
          <w:tcPr>
            <w:tcW w:w="33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4"/>
        </w:trPr>
        <w:tc>
          <w:tcPr>
            <w:tcW w:w="63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Nine Months Ended</w:t>
            </w:r>
          </w:p>
        </w:tc>
      </w:tr>
      <w:tr>
        <w:trPr>
          <w:trHeight w:val="234"/>
        </w:trPr>
        <w:tc>
          <w:tcPr>
            <w:tcW w:w="6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3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October 1, 2016</w:t>
            </w: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Change in net sales</w:t>
            </w:r>
          </w:p>
        </w:tc>
        <w:tc>
          <w:tcPr>
            <w:tcW w:w="3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23"/>
        </w:trPr>
        <w:tc>
          <w:tcPr>
            <w:tcW w:w="6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 in net income</w:t>
            </w:r>
          </w:p>
        </w:tc>
        <w:tc>
          <w:tcPr>
            <w:tcW w:w="33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bl>
    <w:p>
      <w:pPr>
        <w:spacing w:after="0" w:line="200" w:lineRule="exact"/>
        <w:rPr>
          <w:sz w:val="20"/>
          <w:szCs w:val="20"/>
          <w:color w:val="auto"/>
        </w:rPr>
      </w:pPr>
    </w:p>
    <w:p>
      <w:pPr>
        <w:sectPr>
          <w:pgSz w:w="11900" w:h="16838" w:orient="portrait"/>
          <w:cols w:equalWidth="0" w:num="1">
            <w:col w:w="11460"/>
          </w:cols>
          <w:pgMar w:left="240" w:top="125" w:right="199" w:bottom="15" w:gutter="0" w:footer="0" w:header="0"/>
        </w:sectPr>
      </w:pPr>
    </w:p>
    <w:p>
      <w:pPr>
        <w:spacing w:after="0" w:line="2"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5"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International operations generated approximately 74% of our net sales during the nine months ended October 1, 2016. Our future results are subject to changes in political and economic conditions in the regions in which we operate and the impact of fluctuations in foreign currency exchange and interest rates.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unfavorable impact of foreign currency translation on net sales in the first nine months of 2016 compared to the same period last year primarily related to sales in China, Argentina, and Brazil, as well as euro-denominated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Foreign Currency Transactions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impact on net income from transactions denominated in foreign currencies is largely mitigated because the costs of our products are generally denominated in the same currencies in which they are sold. In addition, to reduce our income and cash flow exposure to transactions in foreign currencies, we enter into foreign exchange forward, option and swap contracts where available and appropriate.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Selected Financial Ratios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utilize the financial ratios discussed below to assess our financial condition and operating performance.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 and Operational Working Capital Ratios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Working capital (current assets minus current liabilities), as a percentage of annualized net sales, improved in the first nine months of 2016 compared to the same period last year primarily driven by increases in short-term debt associated with the reclassification of senior notes to current portion of long-term debt due on October 1, 2017, and increases in commercial paper borrowings to fund the Mactac acquisition. The improvement in the working capital ratio was also attributable to a decrease in current deferred taxes as a result of the prospective adoption of accounting guidance to classify deferred taxes as non-current in the fourth quarter of 2015, partially offset by an increase in trade accounts receivable.</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Operational working capital, as a percentage of annualized net sales, is reconciled with working capital below. Our objective is to minimize our investment in operational working capital, as a percentage of annualized net sales, to maximize our cash flow and return on investment.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Nine Months Ended</w:t>
            </w:r>
          </w:p>
        </w:tc>
        <w:tc>
          <w:tcPr>
            <w:tcW w:w="880" w:type="dxa"/>
            <w:vAlign w:val="bottom"/>
            <w:tcBorders>
              <w:bottom w:val="single" w:sz="8" w:color="auto"/>
            </w:tcBorders>
          </w:tcPr>
          <w:p>
            <w:pPr>
              <w:spacing w:after="0"/>
              <w:rPr>
                <w:sz w:val="20"/>
                <w:szCs w:val="20"/>
                <w:color w:val="auto"/>
              </w:rPr>
            </w:pPr>
          </w:p>
        </w:tc>
      </w:tr>
      <w:tr>
        <w:trPr>
          <w:trHeight w:val="210"/>
        </w:trPr>
        <w:tc>
          <w:tcPr>
            <w:tcW w:w="7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millions)</w:t>
            </w:r>
          </w:p>
        </w:tc>
        <w:tc>
          <w:tcPr>
            <w:tcW w:w="194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October 1, 2016</w:t>
            </w:r>
          </w:p>
        </w:tc>
        <w:tc>
          <w:tcPr>
            <w:tcW w:w="15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October 3, 2015</w:t>
            </w:r>
          </w:p>
        </w:tc>
      </w:tr>
      <w:tr>
        <w:trPr>
          <w:trHeight w:val="210"/>
        </w:trPr>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A) Working capital</w:t>
            </w:r>
          </w:p>
        </w:tc>
        <w:tc>
          <w:tcPr>
            <w:tcW w:w="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(42.5)</w:t>
            </w:r>
          </w:p>
        </w:tc>
        <w:tc>
          <w:tcPr>
            <w:tcW w:w="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451.3</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Reconciling items:</w:t>
            </w:r>
          </w:p>
        </w:tc>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6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(189.4)</w:t>
            </w: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(143.8)</w:t>
            </w:r>
          </w:p>
        </w:tc>
      </w:tr>
      <w:tr>
        <w:trPr>
          <w:trHeight w:val="216"/>
        </w:trPr>
        <w:tc>
          <w:tcPr>
            <w:tcW w:w="792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660" w:type="dxa"/>
            <w:vAlign w:val="bottom"/>
          </w:tcPr>
          <w:p>
            <w:pPr>
              <w:spacing w:after="0"/>
              <w:rPr>
                <w:sz w:val="18"/>
                <w:szCs w:val="18"/>
                <w:color w:val="auto"/>
              </w:rPr>
            </w:pP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(183.3)</w:t>
            </w:r>
          </w:p>
        </w:tc>
        <w:tc>
          <w:tcPr>
            <w:tcW w:w="6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(260.8)</w:t>
            </w:r>
          </w:p>
        </w:tc>
      </w:tr>
      <w:tr>
        <w:trPr>
          <w:trHeight w:val="216"/>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 held for sale</w:t>
            </w:r>
          </w:p>
        </w:tc>
        <w:tc>
          <w:tcPr>
            <w:tcW w:w="6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(5.9)</w:t>
            </w: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7920" w:type="dxa"/>
            <w:vAlign w:val="bottom"/>
          </w:tcPr>
          <w:p>
            <w:pPr>
              <w:ind w:left="180"/>
              <w:spacing w:after="0"/>
              <w:rPr>
                <w:sz w:val="20"/>
                <w:szCs w:val="20"/>
                <w:color w:val="auto"/>
              </w:rPr>
            </w:pPr>
            <w:r>
              <w:rPr>
                <w:rFonts w:ascii="Arial" w:cs="Arial" w:eastAsia="Arial" w:hAnsi="Arial"/>
                <w:sz w:val="18"/>
                <w:szCs w:val="18"/>
                <w:color w:val="auto"/>
              </w:rPr>
              <w:t>Short-term borrowings and current portion of long-term debt and capital leases</w:t>
            </w:r>
          </w:p>
        </w:tc>
        <w:tc>
          <w:tcPr>
            <w:tcW w:w="660" w:type="dxa"/>
            <w:vAlign w:val="bottom"/>
          </w:tcPr>
          <w:p>
            <w:pPr>
              <w:spacing w:after="0"/>
              <w:rPr>
                <w:sz w:val="18"/>
                <w:szCs w:val="18"/>
                <w:color w:val="auto"/>
              </w:rPr>
            </w:pP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587.6</w:t>
            </w:r>
          </w:p>
        </w:tc>
        <w:tc>
          <w:tcPr>
            <w:tcW w:w="68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85.1</w:t>
            </w:r>
          </w:p>
        </w:tc>
      </w:tr>
      <w:tr>
        <w:trPr>
          <w:trHeight w:val="216"/>
        </w:trPr>
        <w:tc>
          <w:tcPr>
            <w:tcW w:w="79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6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601.8</w:t>
            </w:r>
          </w:p>
        </w:tc>
        <w:tc>
          <w:tcPr>
            <w:tcW w:w="6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539.2</w:t>
            </w:r>
          </w:p>
        </w:tc>
      </w:tr>
      <w:tr>
        <w:trPr>
          <w:trHeight w:val="210"/>
        </w:trPr>
        <w:tc>
          <w:tcPr>
            <w:tcW w:w="7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B) Operational working capital</w:t>
            </w:r>
          </w:p>
        </w:tc>
        <w:tc>
          <w:tcPr>
            <w:tcW w:w="6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768.3</w:t>
            </w: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671.0</w:t>
            </w:r>
          </w:p>
        </w:tc>
      </w:tr>
      <w:tr>
        <w:trPr>
          <w:trHeight w:val="210"/>
        </w:trPr>
        <w:tc>
          <w:tcPr>
            <w:tcW w:w="7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 Annualized net sales (year-to-date sales, divided by three and multiplied by four)</w:t>
            </w:r>
          </w:p>
        </w:tc>
        <w:tc>
          <w:tcPr>
            <w:tcW w:w="6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6,047.6</w:t>
            </w:r>
          </w:p>
        </w:tc>
        <w:tc>
          <w:tcPr>
            <w:tcW w:w="6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6,016.1</w:t>
            </w:r>
          </w:p>
        </w:tc>
      </w:tr>
      <w:tr>
        <w:trPr>
          <w:trHeight w:val="217"/>
        </w:trPr>
        <w:tc>
          <w:tcPr>
            <w:tcW w:w="7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Working capital, as a percentage of annualized net sales (A) ÷ (C)</w:t>
            </w:r>
          </w:p>
        </w:tc>
        <w:tc>
          <w:tcPr>
            <w:tcW w:w="6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w:t>
            </w:r>
          </w:p>
        </w:tc>
        <w:tc>
          <w:tcPr>
            <w:tcW w:w="6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23"/>
        </w:trPr>
        <w:tc>
          <w:tcPr>
            <w:tcW w:w="7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Operational working capital, as a percentage of annualized net sales (B) ÷ (C)</w:t>
            </w:r>
          </w:p>
        </w:tc>
        <w:tc>
          <w:tcPr>
            <w:tcW w:w="6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12.7%</w:t>
            </w:r>
          </w:p>
        </w:tc>
        <w:tc>
          <w:tcPr>
            <w:tcW w:w="6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Ratio</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average number of days sales outstanding was 63 in the first nine months of 2016 compared to 61 in the first nine months of 2015. The average number of days outstanding was calculated using the three-quarter average trade accounts receivable balance divided by the average daily sales for the first nine months of 2016 and 2015, respectively. The increase in the average number of days sales outstanding from the prior year primarily reflected the timing of collections and the impact of foreign currency translation.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Ratio</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Average inventory turnover decreased from 8.5 in the first nine months of 2015 to 8.1 in the first nine months of 2016. The average inventory turnover was calculated using the annualized cost of sales (cost of sales for the first nine months of 2016 and 2015, respectively, divided by three and multiplied by four) divided by the three-quarter average inventory balance. The decrease in the current year average inventory turnover primarily reflected the timing of inventory purchases.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Payable Ratio</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average number of days payables outstanding was 72 in the first nine months of 2016 compared to 71 in the first nine months of 2015. The average number of days payable outstanding was calculated using the three-quarter average accounts payable balance divided</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by the average daily cost of products sold for the first nine months of 2016 and 2015, respectively. The increase in average number of days payable outstanding from the prior year primarily reflected the impact of foreign currency translation.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ectPr>
          <w:pgSz w:w="11900" w:h="16838" w:orient="portrait"/>
          <w:cols w:equalWidth="0" w:num="1">
            <w:col w:w="11420"/>
          </w:cols>
          <w:pgMar w:left="240" w:top="368" w:right="239" w:bottom="171" w:gutter="0" w:footer="0" w:header="0"/>
        </w:sectPr>
      </w:pPr>
    </w:p>
    <w:bookmarkStart w:id="24" w:name="page25"/>
    <w:bookmarkEnd w:id="24"/>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resources include cash flows from operations, cash and cash equivalents and debt financing. At October 1, 2016, we had cash and cash equivalents of $189.4 million held in accounts at third-party financial institutions.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cash balances are held in numerous locations throughout the world. At October 1, 2016, the majority of our cash and cash equivalents was held by our foreign subsidiaries.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meet U.S. cash requirements, we have several cost-effective liquidity options available. These options include borrowing funds at reasonable rates, including borrowings from foreign subsidiaries, and repatriating foreign earnings. However, if we were to repatriate incremental foreign earnings, we may be subject to additional taxes in the U.S.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Revolver is used as a back-up facility for our commercial paper program and can be used to finance other corporate requirements. The Revolver is scheduled to mature on October 3, 2019, but the maturity date may be extended for additional one-year periods under certain circumstances. The commitments under the Revolver may be increased by up to $325 million, subject to lender approval and other customary requirements. As of October 1, 2016, there was no balance outstanding under the Revolver. Refer to Note 5, “Debt and Capital Leases,” to the unaudited Condensed Consolidated Financial Statements for more information.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2016, we entered into an agreement with three commercial paper dealers to establish a Euro-Commercial Paper Program pursuant to which we may issue unsecured commercial paper notes up to a maximum aggregate amount outstanding of $500 million. Proceeds from issuances under this program may be used for general corporate purposes. The maturities of the notes may vary, but may not exceed 364 days from the date of issuance. Our payment obligations with respect to any notes issued under this program would be backed by the Revolver. There are no financial covenants under this program. As of October 1, 2016, $210.3 million was outstanding under this program.</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financial market risk resulting from changes in interest and foreign currency rates, and to possible liquidity and credit risks of our counterparties.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from Debt</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total debt increased by approximately $243 million in the first nine months of 2016 to $1.28 billion, primarily reflecting an increase in commercial paper borrowings used to fund the Mactac acquisition, share repurchase activity, dividend payments, and capital expenditures, as well as an increase in short-term borrowings to support operational requirements.</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Credit ratings are a significant factor in our ability to raise short- and long-term financing. The credit ratings assigned to us also impact the interest rates paid and our access to commercial paper, credit facilities, and other borrowings. A downgrade of our short-term credit ratings below current levels could impact our ability to access commercial paper markets. If our access to commercial paper markets were to become limited, the Revolver and our other credit facilities would be available to meet our short-term funding requirements, if necessary. When determining a credit rating, we believe that rating agencies primarily consider our competitive position, business outlook, consistency of cash flows, debt level and liquidity, geographic dispersion and management team. We remain committed to maintaining an investment grade rating.</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will explore a debt offering in the first half of 2017 to refinance the senior notes that will mature in 2017, as well as the commercial paper used to fund the Mactac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Contractual Obligations, and Other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15, “Commitments and Contingencies,” to the unaudited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17, “Recent Accounting Requirements,” to the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to the information provided in Part II, Item 7A of our Annual Report on Form 10-K for the 2015 fiscal year ended January 2,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disclosure controls and procedures (as defined in Exchange Act Rules 13a-15(f)) that are designed to ensure that information required to be disclosed in our Exchange Act reports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the required disclosure.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designing and evaluating the disclosure controls and procedures, we recognize that any controls and procedures, no matter how well designed and operated, can provide only reasonable assurance of achieving the desired control objectives, and management necessarily is required to apply its judgement in evaluating the cost-benefit relationship of possible controls and procedures.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disclosure controls system is based upon a global chain of financial and general business reporting lines that converge in our headquarters in Glendale, California. As required by SEC Rule 13a-15(b), we carried out an evaluation, under the supervision and with the participation of our management, including our Chief Executive Officer and Chief Financial Officer, of the effectiveness of the design and operation of our disclosure controls and procedures as of the</w:t>
      </w:r>
    </w:p>
    <w:p>
      <w:pPr>
        <w:sectPr>
          <w:pgSz w:w="11900" w:h="16885" w:orient="portrait"/>
          <w:cols w:equalWidth="0" w:num="1">
            <w:col w:w="11420"/>
          </w:cols>
          <w:pgMar w:left="240" w:top="125" w:right="239" w:bottom="0" w:gutter="0" w:footer="0" w:header="0"/>
        </w:sectPr>
      </w:pPr>
    </w:p>
    <w:bookmarkStart w:id="25" w:name="page26"/>
    <w:bookmarkEnd w:id="25"/>
    <w:p>
      <w:pPr>
        <w:jc w:val="both"/>
        <w:spacing w:after="0" w:line="302" w:lineRule="auto"/>
        <w:rPr>
          <w:sz w:val="20"/>
          <w:szCs w:val="20"/>
          <w:color w:val="auto"/>
        </w:rPr>
      </w:pPr>
      <w:r>
        <w:rPr>
          <w:rFonts w:ascii="Arial" w:cs="Arial" w:eastAsia="Arial" w:hAnsi="Arial"/>
          <w:sz w:val="16"/>
          <w:szCs w:val="16"/>
          <w:color w:val="auto"/>
        </w:rPr>
        <w:t>end of the quarter covered by this report. Based on the foregoing, our Chief Executive Officer and Chief Financial Officer have concluded that our disclosure controls and procedures were effective as of such time to provide reasonable assurance that information was recorded, processed, summarized and reported within the time periods specified in the SEC’s rules and forms, and that such information was accumulated and communicated to our management, including our Chief Executive Officer and Chief Financial Officer, as appropriate, to allow timely decisions regarding the required disclosure.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periodically assess our internal control environment. During 2014, we began a phased implementation of a new transactional system in our RBIS reportable segment that is expected to continue through 2018. Processes affected by this implementation include, among other things, order management, pricing, shipping, general accounting and planning. Where appropriate, we are reviewing related internal controls and making changes. Other than this implementation, there have been no changes in our internal control over financial reporting during the most recent fiscal quarter that have materially affected, or are reasonably likely to materially affect, our internal control over financial reporting. We acquired Mactac on August 1, 2016, and we are currently in the process of reviewing our internal control structure. We will make any necessary changes as we integrate Mactac into our overall internal control over financial reporting process.</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Refer to “Legal Proceedings” in Note 15, “Commitments and Contingencies,” to the unaudited Condensed Consolidated Financial Statements in Part 1, Item 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the risk factors included in Part I, Item 1A, of our Annual Report on Form 10-K for the fiscal year ended January 2,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Repurchases of Equity Securities by Issuer</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Repurchases by us or our “affiliated purchasers” (as defined in Rule 10b-18(a)(3) of the Exchange Act) of registered equity securities in the three fiscal months of the third quarter of 2016 are listed in the following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40" w:type="dxa"/>
            <w:vAlign w:val="bottom"/>
          </w:tcPr>
          <w:p>
            <w:pPr>
              <w:jc w:val="right"/>
              <w:ind w:right="195"/>
              <w:spacing w:after="0"/>
              <w:rPr>
                <w:sz w:val="20"/>
                <w:szCs w:val="20"/>
                <w:color w:val="auto"/>
              </w:rPr>
            </w:pPr>
            <w:r>
              <w:rPr>
                <w:rFonts w:ascii="Arial" w:cs="Arial" w:eastAsia="Arial" w:hAnsi="Arial"/>
                <w:sz w:val="18"/>
                <w:szCs w:val="18"/>
                <w:b w:val="1"/>
                <w:bCs w:val="1"/>
                <w:color w:val="auto"/>
              </w:rPr>
              <w:t>Total number of shares</w:t>
            </w:r>
          </w:p>
        </w:tc>
        <w:tc>
          <w:tcPr>
            <w:tcW w:w="400" w:type="dxa"/>
            <w:vAlign w:val="bottom"/>
          </w:tcPr>
          <w:p>
            <w:pPr>
              <w:spacing w:after="0"/>
              <w:rPr>
                <w:sz w:val="18"/>
                <w:szCs w:val="18"/>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b w:val="1"/>
                <w:bCs w:val="1"/>
                <w:color w:val="auto"/>
              </w:rPr>
              <w:t>Approximate dollar</w:t>
            </w:r>
          </w:p>
        </w:tc>
      </w:tr>
      <w:tr>
        <w:trPr>
          <w:trHeight w:val="216"/>
        </w:trPr>
        <w:tc>
          <w:tcPr>
            <w:tcW w:w="3140" w:type="dxa"/>
            <w:vAlign w:val="bottom"/>
          </w:tcPr>
          <w:p>
            <w:pPr>
              <w:spacing w:after="0"/>
              <w:rPr>
                <w:sz w:val="18"/>
                <w:szCs w:val="18"/>
                <w:color w:val="auto"/>
              </w:rPr>
            </w:pPr>
          </w:p>
        </w:tc>
        <w:tc>
          <w:tcPr>
            <w:tcW w:w="188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 number</w:t>
            </w:r>
          </w:p>
        </w:tc>
        <w:tc>
          <w:tcPr>
            <w:tcW w:w="360" w:type="dxa"/>
            <w:vAlign w:val="bottom"/>
          </w:tcPr>
          <w:p>
            <w:pPr>
              <w:spacing w:after="0"/>
              <w:rPr>
                <w:sz w:val="18"/>
                <w:szCs w:val="18"/>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b w:val="1"/>
                <w:bCs w:val="1"/>
                <w:color w:val="auto"/>
              </w:rPr>
              <w:t>Average</w:t>
            </w:r>
          </w:p>
        </w:tc>
        <w:tc>
          <w:tcPr>
            <w:tcW w:w="2440" w:type="dxa"/>
            <w:vAlign w:val="bottom"/>
          </w:tcPr>
          <w:p>
            <w:pPr>
              <w:jc w:val="right"/>
              <w:ind w:right="195"/>
              <w:spacing w:after="0"/>
              <w:rPr>
                <w:sz w:val="20"/>
                <w:szCs w:val="20"/>
                <w:color w:val="auto"/>
              </w:rPr>
            </w:pPr>
            <w:r>
              <w:rPr>
                <w:rFonts w:ascii="Arial" w:cs="Arial" w:eastAsia="Arial" w:hAnsi="Arial"/>
                <w:sz w:val="18"/>
                <w:szCs w:val="18"/>
                <w:b w:val="1"/>
                <w:bCs w:val="1"/>
                <w:color w:val="auto"/>
              </w:rPr>
              <w:t>purchased as part of</w:t>
            </w:r>
          </w:p>
        </w:tc>
        <w:tc>
          <w:tcPr>
            <w:tcW w:w="400" w:type="dxa"/>
            <w:vAlign w:val="bottom"/>
          </w:tcPr>
          <w:p>
            <w:pPr>
              <w:spacing w:after="0"/>
              <w:rPr>
                <w:sz w:val="18"/>
                <w:szCs w:val="18"/>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value of shares that may</w:t>
            </w:r>
          </w:p>
        </w:tc>
      </w:tr>
      <w:tr>
        <w:trPr>
          <w:trHeight w:val="216"/>
        </w:trPr>
        <w:tc>
          <w:tcPr>
            <w:tcW w:w="3140" w:type="dxa"/>
            <w:vAlign w:val="bottom"/>
          </w:tcPr>
          <w:p>
            <w:pPr>
              <w:spacing w:after="0"/>
              <w:rPr>
                <w:sz w:val="18"/>
                <w:szCs w:val="18"/>
                <w:color w:val="auto"/>
              </w:rPr>
            </w:pPr>
          </w:p>
        </w:tc>
        <w:tc>
          <w:tcPr>
            <w:tcW w:w="1880" w:type="dxa"/>
            <w:vAlign w:val="bottom"/>
          </w:tcPr>
          <w:p>
            <w:pPr>
              <w:jc w:val="right"/>
              <w:ind w:right="170"/>
              <w:spacing w:after="0"/>
              <w:rPr>
                <w:sz w:val="20"/>
                <w:szCs w:val="20"/>
                <w:color w:val="auto"/>
              </w:rPr>
            </w:pPr>
            <w:r>
              <w:rPr>
                <w:rFonts w:ascii="Arial" w:cs="Arial" w:eastAsia="Arial" w:hAnsi="Arial"/>
                <w:sz w:val="18"/>
                <w:szCs w:val="18"/>
                <w:b w:val="1"/>
                <w:bCs w:val="1"/>
                <w:color w:val="auto"/>
              </w:rPr>
              <w:t>of shares</w:t>
            </w:r>
          </w:p>
        </w:tc>
        <w:tc>
          <w:tcPr>
            <w:tcW w:w="360" w:type="dxa"/>
            <w:vAlign w:val="bottom"/>
          </w:tcPr>
          <w:p>
            <w:pPr>
              <w:spacing w:after="0"/>
              <w:rPr>
                <w:sz w:val="18"/>
                <w:szCs w:val="18"/>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price paid</w:t>
            </w:r>
          </w:p>
        </w:tc>
        <w:tc>
          <w:tcPr>
            <w:tcW w:w="2440" w:type="dxa"/>
            <w:vAlign w:val="bottom"/>
          </w:tcPr>
          <w:p>
            <w:pPr>
              <w:jc w:val="right"/>
              <w:ind w:right="195"/>
              <w:spacing w:after="0"/>
              <w:rPr>
                <w:sz w:val="20"/>
                <w:szCs w:val="20"/>
                <w:color w:val="auto"/>
              </w:rPr>
            </w:pPr>
            <w:r>
              <w:rPr>
                <w:rFonts w:ascii="Arial" w:cs="Arial" w:eastAsia="Arial" w:hAnsi="Arial"/>
                <w:sz w:val="18"/>
                <w:szCs w:val="18"/>
                <w:b w:val="1"/>
                <w:bCs w:val="1"/>
                <w:color w:val="auto"/>
              </w:rPr>
              <w:t>publicly announced</w:t>
            </w:r>
          </w:p>
        </w:tc>
        <w:tc>
          <w:tcPr>
            <w:tcW w:w="400" w:type="dxa"/>
            <w:vAlign w:val="bottom"/>
          </w:tcPr>
          <w:p>
            <w:pPr>
              <w:spacing w:after="0"/>
              <w:rPr>
                <w:sz w:val="18"/>
                <w:szCs w:val="18"/>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yet be purchased under</w:t>
            </w:r>
          </w:p>
        </w:tc>
      </w:tr>
      <w:tr>
        <w:trPr>
          <w:trHeight w:val="234"/>
        </w:trPr>
        <w:tc>
          <w:tcPr>
            <w:tcW w:w="3140" w:type="dxa"/>
            <w:vAlign w:val="bottom"/>
            <w:tcBorders>
              <w:bottom w:val="single" w:sz="8" w:color="auto"/>
            </w:tcBorders>
          </w:tcPr>
          <w:p>
            <w:pPr>
              <w:spacing w:after="0" w:line="234" w:lineRule="exact"/>
              <w:rPr>
                <w:sz w:val="20"/>
                <w:szCs w:val="20"/>
                <w:color w:val="auto"/>
              </w:rPr>
            </w:pPr>
            <w:r>
              <w:rPr>
                <w:rFonts w:ascii="Arial" w:cs="Arial" w:eastAsia="Arial" w:hAnsi="Arial"/>
                <w:sz w:val="18"/>
                <w:szCs w:val="18"/>
                <w:b w:val="1"/>
                <w:bCs w:val="1"/>
                <w:color w:val="auto"/>
              </w:rPr>
              <w:t>Period</w:t>
            </w:r>
            <w:r>
              <w:rPr>
                <w:rFonts w:ascii="Arial" w:cs="Arial" w:eastAsia="Arial" w:hAnsi="Arial"/>
                <w:sz w:val="23"/>
                <w:szCs w:val="23"/>
                <w:color w:val="auto"/>
                <w:vertAlign w:val="superscript"/>
              </w:rPr>
              <w:t>(1)</w:t>
            </w:r>
          </w:p>
        </w:tc>
        <w:tc>
          <w:tcPr>
            <w:tcW w:w="1880" w:type="dxa"/>
            <w:vAlign w:val="bottom"/>
            <w:tcBorders>
              <w:bottom w:val="single" w:sz="8" w:color="auto"/>
            </w:tcBorders>
          </w:tcPr>
          <w:p>
            <w:pPr>
              <w:jc w:val="right"/>
              <w:ind w:right="170"/>
              <w:spacing w:after="0" w:line="234" w:lineRule="exact"/>
              <w:rPr>
                <w:sz w:val="20"/>
                <w:szCs w:val="20"/>
                <w:color w:val="auto"/>
              </w:rPr>
            </w:pPr>
            <w:r>
              <w:rPr>
                <w:rFonts w:ascii="Arial" w:cs="Arial" w:eastAsia="Arial" w:hAnsi="Arial"/>
                <w:sz w:val="18"/>
                <w:szCs w:val="18"/>
                <w:b w:val="1"/>
                <w:bCs w:val="1"/>
                <w:color w:val="auto"/>
              </w:rPr>
              <w:t>purchased</w:t>
            </w:r>
            <w:r>
              <w:rPr>
                <w:rFonts w:ascii="Arial" w:cs="Arial" w:eastAsia="Arial" w:hAnsi="Arial"/>
                <w:sz w:val="23"/>
                <w:szCs w:val="23"/>
                <w:color w:val="auto"/>
                <w:vertAlign w:val="superscript"/>
              </w:rPr>
              <w:t>(2)</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8"/>
              </w:rPr>
              <w:t>per share</w:t>
            </w:r>
          </w:p>
        </w:tc>
        <w:tc>
          <w:tcPr>
            <w:tcW w:w="2440" w:type="dxa"/>
            <w:vAlign w:val="bottom"/>
            <w:tcBorders>
              <w:bottom w:val="single" w:sz="8" w:color="auto"/>
            </w:tcBorders>
          </w:tcPr>
          <w:p>
            <w:pPr>
              <w:jc w:val="right"/>
              <w:ind w:right="195"/>
              <w:spacing w:after="0" w:line="235" w:lineRule="exact"/>
              <w:rPr>
                <w:sz w:val="20"/>
                <w:szCs w:val="20"/>
                <w:color w:val="auto"/>
              </w:rPr>
            </w:pPr>
            <w:r>
              <w:rPr>
                <w:rFonts w:ascii="Arial" w:cs="Arial" w:eastAsia="Arial" w:hAnsi="Arial"/>
                <w:sz w:val="27"/>
                <w:szCs w:val="27"/>
                <w:b w:val="1"/>
                <w:bCs w:val="1"/>
                <w:color w:val="auto"/>
                <w:vertAlign w:val="subscript"/>
              </w:rPr>
              <w:t>plans</w:t>
            </w:r>
            <w:r>
              <w:rPr>
                <w:rFonts w:ascii="Arial" w:cs="Arial" w:eastAsia="Arial" w:hAnsi="Arial"/>
                <w:sz w:val="10"/>
                <w:szCs w:val="10"/>
                <w:color w:val="auto"/>
              </w:rPr>
              <w:t>(2)(3)</w:t>
            </w:r>
          </w:p>
        </w:tc>
        <w:tc>
          <w:tcPr>
            <w:tcW w:w="4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10"/>
              <w:spacing w:after="0" w:line="234" w:lineRule="exact"/>
              <w:rPr>
                <w:sz w:val="20"/>
                <w:szCs w:val="20"/>
                <w:color w:val="auto"/>
              </w:rPr>
            </w:pPr>
            <w:r>
              <w:rPr>
                <w:rFonts w:ascii="Arial" w:cs="Arial" w:eastAsia="Arial" w:hAnsi="Arial"/>
                <w:sz w:val="18"/>
                <w:szCs w:val="18"/>
                <w:b w:val="1"/>
                <w:bCs w:val="1"/>
                <w:color w:val="auto"/>
              </w:rPr>
              <w:t>the plans</w:t>
            </w:r>
            <w:r>
              <w:rPr>
                <w:rFonts w:ascii="Arial" w:cs="Arial" w:eastAsia="Arial" w:hAnsi="Arial"/>
                <w:sz w:val="23"/>
                <w:szCs w:val="23"/>
                <w:color w:val="auto"/>
                <w:vertAlign w:val="superscript"/>
              </w:rPr>
              <w:t>(4)</w:t>
            </w: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July 3, 2016 – July 30, 2016</w:t>
            </w:r>
          </w:p>
        </w:tc>
        <w:tc>
          <w:tcPr>
            <w:tcW w:w="1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106.5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73.01</w:t>
            </w:r>
          </w:p>
        </w:tc>
        <w:tc>
          <w:tcPr>
            <w:tcW w:w="24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106.5</w:t>
            </w:r>
          </w:p>
        </w:tc>
        <w:tc>
          <w:tcPr>
            <w:tcW w:w="4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July 31, 2016 – August 27, 2016</w:t>
            </w:r>
          </w:p>
        </w:tc>
        <w:tc>
          <w:tcPr>
            <w:tcW w:w="1880" w:type="dxa"/>
            <w:vAlign w:val="bottom"/>
          </w:tcPr>
          <w:p>
            <w:pPr>
              <w:jc w:val="right"/>
              <w:ind w:right="170"/>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18"/>
                <w:szCs w:val="18"/>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78.03</w:t>
            </w:r>
          </w:p>
        </w:tc>
        <w:tc>
          <w:tcPr>
            <w:tcW w:w="2440" w:type="dxa"/>
            <w:vAlign w:val="bottom"/>
          </w:tcPr>
          <w:p>
            <w:pPr>
              <w:jc w:val="right"/>
              <w:ind w:right="195"/>
              <w:spacing w:after="0"/>
              <w:rPr>
                <w:sz w:val="20"/>
                <w:szCs w:val="20"/>
                <w:color w:val="auto"/>
              </w:rPr>
            </w:pPr>
            <w:r>
              <w:rPr>
                <w:rFonts w:ascii="Arial" w:cs="Arial" w:eastAsia="Arial" w:hAnsi="Arial"/>
                <w:sz w:val="18"/>
                <w:szCs w:val="18"/>
                <w:color w:val="auto"/>
              </w:rPr>
              <w:t>10.0</w:t>
            </w:r>
          </w:p>
        </w:tc>
        <w:tc>
          <w:tcPr>
            <w:tcW w:w="4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3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August 28, 2016 – October 1, 2016</w:t>
            </w:r>
          </w:p>
        </w:tc>
        <w:tc>
          <w:tcPr>
            <w:tcW w:w="18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166.7</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77.14</w:t>
            </w:r>
          </w:p>
        </w:tc>
        <w:tc>
          <w:tcPr>
            <w:tcW w:w="244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166.7</w:t>
            </w:r>
          </w:p>
        </w:tc>
        <w:tc>
          <w:tcPr>
            <w:tcW w:w="40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spacing w:after="0"/>
              <w:rPr>
                <w:sz w:val="18"/>
                <w:szCs w:val="18"/>
                <w:color w:val="auto"/>
              </w:rPr>
            </w:pPr>
          </w:p>
        </w:tc>
      </w:tr>
      <w:tr>
        <w:trPr>
          <w:trHeight w:val="217"/>
        </w:trPr>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283.2</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75.62</w:t>
            </w:r>
          </w:p>
        </w:tc>
        <w:tc>
          <w:tcPr>
            <w:tcW w:w="244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283.2</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185.7</w:t>
            </w:r>
          </w:p>
        </w:tc>
      </w:tr>
    </w:tbl>
    <w:p>
      <w:pPr>
        <w:spacing w:after="0" w:line="30"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The periods shown are our fiscal months during the thirteen-week quarter ended October 1, 2016.</w:t>
      </w:r>
    </w:p>
    <w:p>
      <w:pPr>
        <w:spacing w:after="0" w:line="50" w:lineRule="exact"/>
        <w:rPr>
          <w:rFonts w:ascii="Arial" w:cs="Arial" w:eastAsia="Arial" w:hAnsi="Arial"/>
          <w:sz w:val="18"/>
          <w:szCs w:val="18"/>
          <w:color w:val="auto"/>
          <w:vertAlign w:val="superscript"/>
        </w:rPr>
      </w:pPr>
    </w:p>
    <w:p>
      <w:pPr>
        <w:ind w:left="180" w:hanging="172"/>
        <w:spacing w:after="0" w:line="191" w:lineRule="auto"/>
        <w:tabs>
          <w:tab w:leader="none" w:pos="180" w:val="left"/>
        </w:tabs>
        <w:numPr>
          <w:ilvl w:val="0"/>
          <w:numId w:val="12"/>
        </w:numPr>
        <w:rPr>
          <w:rFonts w:ascii="Arial" w:cs="Arial" w:eastAsia="Arial" w:hAnsi="Arial"/>
          <w:sz w:val="21"/>
          <w:szCs w:val="21"/>
          <w:color w:val="auto"/>
          <w:vertAlign w:val="superscript"/>
        </w:rPr>
      </w:pPr>
      <w:r>
        <w:rPr>
          <w:rFonts w:ascii="Arial" w:cs="Arial" w:eastAsia="Arial" w:hAnsi="Arial"/>
          <w:sz w:val="15"/>
          <w:szCs w:val="15"/>
          <w:color w:val="auto"/>
        </w:rPr>
        <w:t>Shares in thousands.</w:t>
      </w:r>
    </w:p>
    <w:p>
      <w:pPr>
        <w:spacing w:after="0" w:line="50" w:lineRule="exact"/>
        <w:rPr>
          <w:rFonts w:ascii="Arial" w:cs="Arial" w:eastAsia="Arial" w:hAnsi="Arial"/>
          <w:sz w:val="21"/>
          <w:szCs w:val="21"/>
          <w:color w:val="auto"/>
          <w:vertAlign w:val="superscript"/>
        </w:rPr>
      </w:pPr>
    </w:p>
    <w:p>
      <w:pPr>
        <w:jc w:val="both"/>
        <w:ind w:left="180" w:right="20" w:hanging="172"/>
        <w:spacing w:after="0" w:line="230" w:lineRule="auto"/>
        <w:tabs>
          <w:tab w:leader="none" w:pos="196"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On December 4, 2014, our Board of Directors authorized the repurchase of shares of our common stock in the aggregate amount of up to $500 million (exclusive of any fees, commissions or other expenses related to such purchases), in addition to any outstanding shares authorized under any previous Board authorization. This is the only authorization currently in effect and it will remain in effect until the shares authorized thereby have been repurchased.</w:t>
      </w:r>
    </w:p>
    <w:p>
      <w:pPr>
        <w:spacing w:after="0" w:line="4" w:lineRule="exact"/>
        <w:rPr>
          <w:rFonts w:ascii="Arial" w:cs="Arial" w:eastAsia="Arial" w:hAnsi="Arial"/>
          <w:sz w:val="22"/>
          <w:szCs w:val="22"/>
          <w:color w:val="auto"/>
          <w:vertAlign w:val="superscript"/>
        </w:rPr>
      </w:pPr>
    </w:p>
    <w:p>
      <w:pPr>
        <w:ind w:left="180" w:hanging="172"/>
        <w:spacing w:after="0"/>
        <w:tabs>
          <w:tab w:leader="none" w:pos="180" w:val="left"/>
        </w:tabs>
        <w:numPr>
          <w:ilvl w:val="0"/>
          <w:numId w:val="12"/>
        </w:numPr>
        <w:rPr>
          <w:rFonts w:ascii="Arial" w:cs="Arial" w:eastAsia="Arial" w:hAnsi="Arial"/>
          <w:sz w:val="21"/>
          <w:szCs w:val="21"/>
          <w:color w:val="auto"/>
          <w:vertAlign w:val="superscript"/>
        </w:rPr>
      </w:pPr>
      <w:r>
        <w:rPr>
          <w:rFonts w:ascii="Arial" w:cs="Arial" w:eastAsia="Arial" w:hAnsi="Arial"/>
          <w:sz w:val="15"/>
          <w:szCs w:val="15"/>
          <w:color w:val="auto"/>
        </w:rPr>
        <w:t>Dollars in millions.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may be reissued under our stock option and incentive plan or used for other corporate purposes.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80" w:type="dxa"/>
            <w:vAlign w:val="bottom"/>
            <w:gridSpan w:val="2"/>
          </w:tcPr>
          <w:p>
            <w:pPr>
              <w:spacing w:after="0"/>
              <w:rPr>
                <w:sz w:val="20"/>
                <w:szCs w:val="20"/>
                <w:color w:val="auto"/>
              </w:rPr>
            </w:pPr>
            <w:r>
              <w:rPr>
                <w:rFonts w:ascii="Arial" w:cs="Arial" w:eastAsia="Arial" w:hAnsi="Arial"/>
                <w:sz w:val="18"/>
                <w:szCs w:val="18"/>
                <w:color w:val="auto"/>
              </w:rPr>
              <w:t>Not Applicable</w:t>
            </w:r>
          </w:p>
        </w:tc>
        <w:tc>
          <w:tcPr>
            <w:tcW w:w="7280" w:type="dxa"/>
            <w:vAlign w:val="bottom"/>
          </w:tcPr>
          <w:p>
            <w:pPr>
              <w:spacing w:after="0"/>
              <w:rPr>
                <w:sz w:val="20"/>
                <w:szCs w:val="20"/>
                <w:color w:val="auto"/>
              </w:rPr>
            </w:pPr>
          </w:p>
        </w:tc>
      </w:tr>
      <w:tr>
        <w:trPr>
          <w:trHeight w:val="432"/>
        </w:trPr>
        <w:tc>
          <w:tcPr>
            <w:tcW w:w="188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7280" w:type="dxa"/>
            <w:vAlign w:val="bottom"/>
          </w:tcPr>
          <w:p>
            <w:pPr>
              <w:spacing w:after="0"/>
              <w:rPr>
                <w:sz w:val="24"/>
                <w:szCs w:val="24"/>
                <w:color w:val="auto"/>
              </w:rPr>
            </w:pPr>
          </w:p>
        </w:tc>
      </w:tr>
      <w:tr>
        <w:trPr>
          <w:trHeight w:val="418"/>
        </w:trPr>
        <w:tc>
          <w:tcPr>
            <w:tcW w:w="1880" w:type="dxa"/>
            <w:vAlign w:val="bottom"/>
            <w:gridSpan w:val="2"/>
          </w:tcPr>
          <w:p>
            <w:pPr>
              <w:spacing w:after="0"/>
              <w:rPr>
                <w:sz w:val="20"/>
                <w:szCs w:val="20"/>
                <w:color w:val="auto"/>
              </w:rPr>
            </w:pPr>
            <w:r>
              <w:rPr>
                <w:rFonts w:ascii="Arial" w:cs="Arial" w:eastAsia="Arial" w:hAnsi="Arial"/>
                <w:sz w:val="18"/>
                <w:szCs w:val="18"/>
                <w:color w:val="auto"/>
              </w:rPr>
              <w:t>Exhibit 12*</w:t>
            </w:r>
          </w:p>
        </w:tc>
        <w:tc>
          <w:tcPr>
            <w:tcW w:w="7280" w:type="dxa"/>
            <w:vAlign w:val="bottom"/>
          </w:tcPr>
          <w:p>
            <w:pPr>
              <w:ind w:left="100"/>
              <w:spacing w:after="0"/>
              <w:rPr>
                <w:sz w:val="20"/>
                <w:szCs w:val="20"/>
                <w:color w:val="auto"/>
              </w:rPr>
            </w:pPr>
            <w:r>
              <w:rPr>
                <w:rFonts w:ascii="Arial" w:cs="Arial" w:eastAsia="Arial" w:hAnsi="Arial"/>
                <w:sz w:val="18"/>
                <w:szCs w:val="18"/>
                <w:color w:val="auto"/>
              </w:rPr>
              <w:t>Computation of Ratio of Earnings to Fixed Charges</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Exhibit 31.1*</w:t>
            </w:r>
          </w:p>
        </w:tc>
        <w:tc>
          <w:tcPr>
            <w:tcW w:w="7280" w:type="dxa"/>
            <w:vAlign w:val="bottom"/>
          </w:tcPr>
          <w:p>
            <w:pPr>
              <w:ind w:left="100"/>
              <w:spacing w:after="0"/>
              <w:rPr>
                <w:sz w:val="20"/>
                <w:szCs w:val="20"/>
                <w:color w:val="auto"/>
              </w:rPr>
            </w:pPr>
            <w:r>
              <w:rPr>
                <w:rFonts w:ascii="Arial" w:cs="Arial" w:eastAsia="Arial" w:hAnsi="Arial"/>
                <w:sz w:val="18"/>
                <w:szCs w:val="18"/>
                <w:color w:val="auto"/>
                <w:w w:val="91"/>
              </w:rPr>
              <w:t>Certification of Chief Executive Officer pursuant to Section 302 of the Sarbanes-Oxley Act of 2002</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Exhibit 31.2*</w:t>
            </w:r>
          </w:p>
        </w:tc>
        <w:tc>
          <w:tcPr>
            <w:tcW w:w="7280" w:type="dxa"/>
            <w:vAlign w:val="bottom"/>
          </w:tcPr>
          <w:p>
            <w:pPr>
              <w:ind w:left="100"/>
              <w:spacing w:after="0"/>
              <w:rPr>
                <w:sz w:val="20"/>
                <w:szCs w:val="20"/>
                <w:color w:val="auto"/>
              </w:rPr>
            </w:pPr>
            <w:r>
              <w:rPr>
                <w:rFonts w:ascii="Arial" w:cs="Arial" w:eastAsia="Arial" w:hAnsi="Arial"/>
                <w:sz w:val="18"/>
                <w:szCs w:val="18"/>
                <w:color w:val="auto"/>
                <w:w w:val="92"/>
              </w:rPr>
              <w:t>Certification of Chief Financial Officer pursuant to Section 302 of the Sarbanes-Oxley Act of 2002</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Exhibit 32.1**</w:t>
            </w:r>
          </w:p>
        </w:tc>
        <w:tc>
          <w:tcPr>
            <w:tcW w:w="7280" w:type="dxa"/>
            <w:vAlign w:val="bottom"/>
          </w:tcPr>
          <w:p>
            <w:pPr>
              <w:ind w:left="100"/>
              <w:spacing w:after="0"/>
              <w:rPr>
                <w:sz w:val="20"/>
                <w:szCs w:val="20"/>
                <w:color w:val="auto"/>
              </w:rPr>
            </w:pPr>
            <w:r>
              <w:rPr>
                <w:rFonts w:ascii="Arial" w:cs="Arial" w:eastAsia="Arial" w:hAnsi="Arial"/>
                <w:sz w:val="18"/>
                <w:szCs w:val="18"/>
                <w:color w:val="auto"/>
                <w:w w:val="91"/>
              </w:rPr>
              <w:t>Certification of Chief Executive Officer pursuant to Section 906 of the Sarbanes-Oxley Act of 2002</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Exhibit 32.2**</w:t>
            </w:r>
          </w:p>
        </w:tc>
        <w:tc>
          <w:tcPr>
            <w:tcW w:w="7280" w:type="dxa"/>
            <w:vAlign w:val="bottom"/>
          </w:tcPr>
          <w:p>
            <w:pPr>
              <w:ind w:left="100"/>
              <w:spacing w:after="0"/>
              <w:rPr>
                <w:sz w:val="20"/>
                <w:szCs w:val="20"/>
                <w:color w:val="auto"/>
              </w:rPr>
            </w:pPr>
            <w:r>
              <w:rPr>
                <w:rFonts w:ascii="Arial" w:cs="Arial" w:eastAsia="Arial" w:hAnsi="Arial"/>
                <w:sz w:val="18"/>
                <w:szCs w:val="18"/>
                <w:color w:val="auto"/>
                <w:w w:val="92"/>
              </w:rPr>
              <w:t>Certification of Chief Financial Officer pursuant to Section 906 of the Sarbanes-Oxley Act of 2002</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Exhibit 101.INS</w:t>
            </w:r>
          </w:p>
        </w:tc>
        <w:tc>
          <w:tcPr>
            <w:tcW w:w="7280" w:type="dxa"/>
            <w:vAlign w:val="bottom"/>
          </w:tcPr>
          <w:p>
            <w:pPr>
              <w:ind w:left="100"/>
              <w:spacing w:after="0"/>
              <w:rPr>
                <w:sz w:val="20"/>
                <w:szCs w:val="20"/>
                <w:color w:val="auto"/>
              </w:rPr>
            </w:pPr>
            <w:r>
              <w:rPr>
                <w:rFonts w:ascii="Arial" w:cs="Arial" w:eastAsia="Arial" w:hAnsi="Arial"/>
                <w:sz w:val="18"/>
                <w:szCs w:val="18"/>
                <w:color w:val="auto"/>
              </w:rPr>
              <w:t>XBRL Instance Document</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Exhibit 101.SCH</w:t>
            </w:r>
          </w:p>
        </w:tc>
        <w:tc>
          <w:tcPr>
            <w:tcW w:w="7280" w:type="dxa"/>
            <w:vAlign w:val="bottom"/>
          </w:tcPr>
          <w:p>
            <w:pPr>
              <w:ind w:left="100"/>
              <w:spacing w:after="0"/>
              <w:rPr>
                <w:sz w:val="20"/>
                <w:szCs w:val="20"/>
                <w:color w:val="auto"/>
              </w:rPr>
            </w:pPr>
            <w:r>
              <w:rPr>
                <w:rFonts w:ascii="Arial" w:cs="Arial" w:eastAsia="Arial" w:hAnsi="Arial"/>
                <w:sz w:val="18"/>
                <w:szCs w:val="18"/>
                <w:color w:val="auto"/>
              </w:rPr>
              <w:t>XBRL Extension Schema Document</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Exhibit 101.CAL</w:t>
            </w:r>
          </w:p>
        </w:tc>
        <w:tc>
          <w:tcPr>
            <w:tcW w:w="7280" w:type="dxa"/>
            <w:vAlign w:val="bottom"/>
          </w:tcPr>
          <w:p>
            <w:pPr>
              <w:ind w:left="100"/>
              <w:spacing w:after="0"/>
              <w:rPr>
                <w:sz w:val="20"/>
                <w:szCs w:val="20"/>
                <w:color w:val="auto"/>
              </w:rPr>
            </w:pPr>
            <w:r>
              <w:rPr>
                <w:rFonts w:ascii="Arial" w:cs="Arial" w:eastAsia="Arial" w:hAnsi="Arial"/>
                <w:sz w:val="18"/>
                <w:szCs w:val="18"/>
                <w:color w:val="auto"/>
              </w:rPr>
              <w:t>XBRL Extension Calculation Linkbase Document</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Exhibit 101.LAB</w:t>
            </w:r>
          </w:p>
        </w:tc>
        <w:tc>
          <w:tcPr>
            <w:tcW w:w="7280" w:type="dxa"/>
            <w:vAlign w:val="bottom"/>
          </w:tcPr>
          <w:p>
            <w:pPr>
              <w:ind w:left="100"/>
              <w:spacing w:after="0"/>
              <w:rPr>
                <w:sz w:val="20"/>
                <w:szCs w:val="20"/>
                <w:color w:val="auto"/>
              </w:rPr>
            </w:pPr>
            <w:r>
              <w:rPr>
                <w:rFonts w:ascii="Arial" w:cs="Arial" w:eastAsia="Arial" w:hAnsi="Arial"/>
                <w:sz w:val="18"/>
                <w:szCs w:val="18"/>
                <w:color w:val="auto"/>
              </w:rPr>
              <w:t>XBRL Extension Label Linkbase Document</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Exhibit 101.PRE</w:t>
            </w:r>
          </w:p>
        </w:tc>
        <w:tc>
          <w:tcPr>
            <w:tcW w:w="7280" w:type="dxa"/>
            <w:vAlign w:val="bottom"/>
          </w:tcPr>
          <w:p>
            <w:pPr>
              <w:ind w:left="100"/>
              <w:spacing w:after="0"/>
              <w:rPr>
                <w:sz w:val="20"/>
                <w:szCs w:val="20"/>
                <w:color w:val="auto"/>
              </w:rPr>
            </w:pPr>
            <w:r>
              <w:rPr>
                <w:rFonts w:ascii="Arial" w:cs="Arial" w:eastAsia="Arial" w:hAnsi="Arial"/>
                <w:sz w:val="18"/>
                <w:szCs w:val="18"/>
                <w:color w:val="auto"/>
              </w:rPr>
              <w:t>XBRL Extension Presentation Linkbase Document</w:t>
            </w:r>
          </w:p>
        </w:tc>
      </w:tr>
      <w:tr>
        <w:trPr>
          <w:trHeight w:val="230"/>
        </w:trPr>
        <w:tc>
          <w:tcPr>
            <w:tcW w:w="1880" w:type="dxa"/>
            <w:vAlign w:val="bottom"/>
            <w:gridSpan w:val="2"/>
          </w:tcPr>
          <w:p>
            <w:pPr>
              <w:spacing w:after="0"/>
              <w:rPr>
                <w:sz w:val="20"/>
                <w:szCs w:val="20"/>
                <w:color w:val="auto"/>
              </w:rPr>
            </w:pPr>
            <w:r>
              <w:rPr>
                <w:rFonts w:ascii="Arial" w:cs="Arial" w:eastAsia="Arial" w:hAnsi="Arial"/>
                <w:sz w:val="18"/>
                <w:szCs w:val="18"/>
                <w:color w:val="auto"/>
              </w:rPr>
              <w:t>Exhibit 101.DEF</w:t>
            </w:r>
          </w:p>
        </w:tc>
        <w:tc>
          <w:tcPr>
            <w:tcW w:w="7280" w:type="dxa"/>
            <w:vAlign w:val="bottom"/>
          </w:tcPr>
          <w:p>
            <w:pPr>
              <w:ind w:left="100"/>
              <w:spacing w:after="0"/>
              <w:rPr>
                <w:sz w:val="20"/>
                <w:szCs w:val="20"/>
                <w:color w:val="auto"/>
              </w:rPr>
            </w:pPr>
            <w:r>
              <w:rPr>
                <w:rFonts w:ascii="Arial" w:cs="Arial" w:eastAsia="Arial" w:hAnsi="Arial"/>
                <w:sz w:val="18"/>
                <w:szCs w:val="18"/>
                <w:color w:val="auto"/>
              </w:rPr>
              <w:t>XBRL Extension Definition Linkbase Document</w:t>
            </w:r>
          </w:p>
        </w:tc>
      </w:tr>
      <w:tr>
        <w:trPr>
          <w:trHeight w:val="418"/>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tcPr>
          <w:p>
            <w:pPr>
              <w:ind w:left="60"/>
              <w:spacing w:after="0"/>
              <w:rPr>
                <w:sz w:val="20"/>
                <w:szCs w:val="20"/>
                <w:color w:val="auto"/>
              </w:rPr>
            </w:pPr>
            <w:r>
              <w:rPr>
                <w:rFonts w:ascii="Arial" w:cs="Arial" w:eastAsia="Arial" w:hAnsi="Arial"/>
                <w:sz w:val="18"/>
                <w:szCs w:val="18"/>
                <w:color w:val="auto"/>
              </w:rPr>
              <w:t>Filed herewith.</w:t>
            </w:r>
          </w:p>
        </w:tc>
        <w:tc>
          <w:tcPr>
            <w:tcW w:w="7280" w:type="dxa"/>
            <w:vAlign w:val="bottom"/>
          </w:tcPr>
          <w:p>
            <w:pPr>
              <w:spacing w:after="0"/>
              <w:rPr>
                <w:sz w:val="24"/>
                <w:szCs w:val="24"/>
                <w:color w:val="auto"/>
              </w:rPr>
            </w:pPr>
          </w:p>
        </w:tc>
      </w:tr>
      <w:tr>
        <w:trPr>
          <w:trHeight w:val="230"/>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tcPr>
          <w:p>
            <w:pPr>
              <w:ind w:left="60"/>
              <w:spacing w:after="0"/>
              <w:rPr>
                <w:sz w:val="20"/>
                <w:szCs w:val="20"/>
                <w:color w:val="auto"/>
              </w:rPr>
            </w:pPr>
            <w:r>
              <w:rPr>
                <w:rFonts w:ascii="Arial" w:cs="Arial" w:eastAsia="Arial" w:hAnsi="Arial"/>
                <w:sz w:val="18"/>
                <w:szCs w:val="18"/>
                <w:color w:val="auto"/>
                <w:w w:val="97"/>
              </w:rPr>
              <w:t>Furnished herewith.</w:t>
            </w:r>
          </w:p>
        </w:tc>
        <w:tc>
          <w:tcPr>
            <w:tcW w:w="7280" w:type="dxa"/>
            <w:vAlign w:val="bottom"/>
          </w:tcPr>
          <w:p>
            <w:pPr>
              <w:spacing w:after="0"/>
              <w:rPr>
                <w:sz w:val="20"/>
                <w:szCs w:val="20"/>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AVERY DENNISON CORPORATION</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Anne L. Bramman</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Anne L. Bramman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Lori J. Bondar</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Lori J. Bondar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Vice President, Controller, and Chief Accounting Officer</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November 1, 2016</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12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AVERY DENNISON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Nine Months Ended</w:t>
            </w:r>
          </w:p>
        </w:tc>
      </w:tr>
      <w:tr>
        <w:trPr>
          <w:trHeight w:val="210"/>
        </w:trPr>
        <w:tc>
          <w:tcPr>
            <w:tcW w:w="4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millions)</w:t>
            </w:r>
          </w:p>
        </w:tc>
        <w:tc>
          <w:tcPr>
            <w:tcW w:w="16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October 1, 2016</w:t>
            </w:r>
          </w:p>
        </w:tc>
        <w:tc>
          <w:tcPr>
            <w:tcW w:w="16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October 3, 2015</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8"/>
              </w:rPr>
              <w:t>October 1, 2016</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2"/>
              </w:rPr>
              <w:t>October 3, 2015</w:t>
            </w: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Income from continuing operations before taxes</w:t>
            </w: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128.0</w:t>
            </w: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116.1</w:t>
            </w:r>
          </w:p>
        </w:tc>
        <w:tc>
          <w:tcPr>
            <w:tcW w:w="22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350.8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317.4</w:t>
            </w:r>
          </w:p>
        </w:tc>
      </w:tr>
      <w:tr>
        <w:trPr>
          <w:trHeight w:val="216"/>
        </w:trPr>
        <w:tc>
          <w:tcPr>
            <w:tcW w:w="482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Add: Fixed charges</w:t>
            </w:r>
            <w:r>
              <w:rPr>
                <w:rFonts w:ascii="Arial" w:cs="Arial" w:eastAsia="Arial" w:hAnsi="Arial"/>
                <w:sz w:val="23"/>
                <w:szCs w:val="23"/>
                <w:color w:val="auto"/>
                <w:vertAlign w:val="superscript"/>
              </w:rPr>
              <w:t>(1)</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20.5</w:t>
            </w: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21.4</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62.7</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65.4</w:t>
            </w:r>
          </w:p>
        </w:tc>
      </w:tr>
      <w:tr>
        <w:trPr>
          <w:trHeight w:val="216"/>
        </w:trPr>
        <w:tc>
          <w:tcPr>
            <w:tcW w:w="4820" w:type="dxa"/>
            <w:vAlign w:val="bottom"/>
          </w:tcPr>
          <w:p>
            <w:pPr>
              <w:ind w:left="600"/>
              <w:spacing w:after="0"/>
              <w:rPr>
                <w:sz w:val="20"/>
                <w:szCs w:val="20"/>
                <w:color w:val="auto"/>
              </w:rPr>
            </w:pPr>
            <w:r>
              <w:rPr>
                <w:rFonts w:ascii="Arial" w:cs="Arial" w:eastAsia="Arial" w:hAnsi="Arial"/>
                <w:sz w:val="18"/>
                <w:szCs w:val="18"/>
                <w:color w:val="auto"/>
              </w:rPr>
              <w:t>Amortization of capitalized interest</w:t>
            </w:r>
          </w:p>
        </w:tc>
        <w:tc>
          <w:tcPr>
            <w:tcW w:w="620" w:type="dxa"/>
            <w:vAlign w:val="bottom"/>
          </w:tcPr>
          <w:p>
            <w:pPr>
              <w:spacing w:after="0"/>
              <w:rPr>
                <w:sz w:val="18"/>
                <w:szCs w:val="18"/>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1.0</w:t>
            </w:r>
          </w:p>
        </w:tc>
        <w:tc>
          <w:tcPr>
            <w:tcW w:w="920" w:type="dxa"/>
            <w:vAlign w:val="bottom"/>
          </w:tcPr>
          <w:p>
            <w:pPr>
              <w:spacing w:after="0"/>
              <w:rPr>
                <w:sz w:val="18"/>
                <w:szCs w:val="18"/>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16"/>
        </w:trPr>
        <w:tc>
          <w:tcPr>
            <w:tcW w:w="4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Less: Capitalized interest</w:t>
            </w: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w:t>
            </w:r>
          </w:p>
        </w:tc>
        <w:tc>
          <w:tcPr>
            <w:tcW w:w="9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7"/>
        </w:trPr>
        <w:tc>
          <w:tcPr>
            <w:tcW w:w="48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148.7</w:t>
            </w: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137.8</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414.6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383.8</w:t>
            </w:r>
          </w:p>
        </w:tc>
      </w:tr>
      <w:tr>
        <w:trPr>
          <w:trHeight w:val="216"/>
        </w:trPr>
        <w:tc>
          <w:tcPr>
            <w:tcW w:w="48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Fixed charges:</w:t>
            </w:r>
            <w:r>
              <w:rPr>
                <w:rFonts w:ascii="Arial" w:cs="Arial" w:eastAsia="Arial" w:hAnsi="Arial"/>
                <w:sz w:val="23"/>
                <w:szCs w:val="23"/>
                <w:color w:val="auto"/>
                <w:vertAlign w:val="superscript"/>
              </w:rPr>
              <w:t>(1)</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14.7</w:t>
            </w: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45.4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45.3</w:t>
            </w: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Capitalized interest</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w:t>
            </w: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16"/>
        </w:trPr>
        <w:tc>
          <w:tcPr>
            <w:tcW w:w="4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Interest portion of leases</w:t>
            </w: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5.0</w:t>
            </w:r>
          </w:p>
        </w:tc>
        <w:tc>
          <w:tcPr>
            <w:tcW w:w="9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5.8</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15.2</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w:t>
            </w:r>
          </w:p>
        </w:tc>
      </w:tr>
      <w:tr>
        <w:trPr>
          <w:trHeight w:val="217"/>
        </w:trPr>
        <w:tc>
          <w:tcPr>
            <w:tcW w:w="48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20.5</w:t>
            </w:r>
          </w:p>
        </w:tc>
        <w:tc>
          <w:tcPr>
            <w:tcW w:w="9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21.4</w:t>
            </w: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62.7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65.4</w:t>
            </w:r>
          </w:p>
        </w:tc>
      </w:tr>
      <w:tr>
        <w:trPr>
          <w:trHeight w:val="223"/>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Ratio of Earnings to Fixed Charges</w:t>
            </w: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7.3</w:t>
            </w:r>
          </w:p>
        </w:tc>
        <w:tc>
          <w:tcPr>
            <w:tcW w:w="9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6.4</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6.6</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w:t>
            </w:r>
          </w:p>
        </w:tc>
      </w:tr>
    </w:tbl>
    <w:p>
      <w:pPr>
        <w:spacing w:after="0" w:line="206" w:lineRule="exact"/>
        <w:rPr>
          <w:sz w:val="20"/>
          <w:szCs w:val="20"/>
          <w:color w:val="auto"/>
        </w:rPr>
      </w:pPr>
    </w:p>
    <w:p>
      <w:pPr>
        <w:jc w:val="both"/>
        <w:ind w:left="180" w:hanging="172"/>
        <w:spacing w:after="0" w:line="269" w:lineRule="auto"/>
        <w:tabs>
          <w:tab w:leader="none" w:pos="171" w:val="left"/>
        </w:tabs>
        <w:numPr>
          <w:ilvl w:val="0"/>
          <w:numId w:val="13"/>
        </w:numPr>
        <w:rPr>
          <w:rFonts w:ascii="Arial" w:cs="Arial" w:eastAsia="Arial" w:hAnsi="Arial"/>
          <w:sz w:val="19"/>
          <w:szCs w:val="19"/>
          <w:color w:val="auto"/>
          <w:vertAlign w:val="superscript"/>
        </w:rPr>
      </w:pPr>
      <w:r>
        <w:rPr>
          <w:rFonts w:ascii="Arial" w:cs="Arial" w:eastAsia="Arial" w:hAnsi="Arial"/>
          <w:sz w:val="15"/>
          <w:szCs w:val="15"/>
          <w:color w:val="auto"/>
        </w:rPr>
        <w:t>The ratios of earnings to fixed charges were computed by dividing earnings by fixed charges. For this purpose, “earnings” consist of income from continuing operations before taxes plus fixed charges and amortization of capitalized interest, less capitalized interest. “Fixed charges” consist of interest expense, capitalized interest and the portion of rent expense (estimated to be 35%) on operating leases deemed representative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Mitchell R. Butier, certify that:</w:t>
      </w:r>
    </w:p>
    <w:p>
      <w:pPr>
        <w:spacing w:after="0" w:line="225" w:lineRule="exact"/>
        <w:rPr>
          <w:sz w:val="20"/>
          <w:szCs w:val="20"/>
          <w:color w:val="auto"/>
        </w:rPr>
      </w:pPr>
    </w:p>
    <w:p>
      <w:pPr>
        <w:ind w:left="240" w:hanging="232"/>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Avery Dennison Corporation;</w:t>
      </w:r>
    </w:p>
    <w:p>
      <w:pPr>
        <w:spacing w:after="0" w:line="225" w:lineRule="exact"/>
        <w:rPr>
          <w:rFonts w:ascii="Arial" w:cs="Arial" w:eastAsia="Arial" w:hAnsi="Arial"/>
          <w:sz w:val="18"/>
          <w:szCs w:val="18"/>
          <w:color w:val="auto"/>
        </w:rPr>
      </w:pPr>
    </w:p>
    <w:p>
      <w:pPr>
        <w:ind w:left="260" w:right="20" w:hanging="252"/>
        <w:spacing w:after="0" w:line="342" w:lineRule="auto"/>
        <w:tabs>
          <w:tab w:leader="none" w:pos="282"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60" w:hanging="252"/>
        <w:spacing w:after="0" w:line="277" w:lineRule="auto"/>
        <w:tabs>
          <w:tab w:leader="none" w:pos="242"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60" w:hanging="252"/>
        <w:spacing w:after="0" w:line="264" w:lineRule="auto"/>
        <w:tabs>
          <w:tab w:leader="none" w:pos="30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00" w:hanging="249"/>
        <w:spacing w:after="0" w:line="264" w:lineRule="auto"/>
        <w:tabs>
          <w:tab w:leader="none" w:pos="5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00" w:hanging="249"/>
        <w:spacing w:after="0" w:line="264" w:lineRule="auto"/>
        <w:tabs>
          <w:tab w:leader="none" w:pos="49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hanging="249"/>
        <w:spacing w:after="0" w:line="277" w:lineRule="auto"/>
        <w:tabs>
          <w:tab w:leader="none" w:pos="487"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500" w:hanging="249"/>
        <w:spacing w:after="0" w:line="264" w:lineRule="auto"/>
        <w:tabs>
          <w:tab w:leader="none" w:pos="52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60" w:hanging="252"/>
        <w:spacing w:after="0" w:line="308" w:lineRule="auto"/>
        <w:tabs>
          <w:tab w:leader="none" w:pos="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hanging="249"/>
        <w:spacing w:after="0" w:line="277" w:lineRule="auto"/>
        <w:tabs>
          <w:tab w:leader="none" w:pos="47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hanging="249"/>
        <w:spacing w:after="0" w:line="277" w:lineRule="auto"/>
        <w:tabs>
          <w:tab w:leader="none" w:pos="501"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Mitchell R. Butier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Mitchell R. Butier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Anne L. Bramman, certify that:</w:t>
      </w:r>
    </w:p>
    <w:p>
      <w:pPr>
        <w:spacing w:after="0" w:line="225" w:lineRule="exact"/>
        <w:rPr>
          <w:sz w:val="20"/>
          <w:szCs w:val="20"/>
          <w:color w:val="auto"/>
        </w:rPr>
      </w:pPr>
    </w:p>
    <w:p>
      <w:pPr>
        <w:ind w:left="220" w:hanging="212"/>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Avery Dennison Corporation;</w:t>
      </w:r>
    </w:p>
    <w:p>
      <w:pPr>
        <w:spacing w:after="0" w:line="225" w:lineRule="exact"/>
        <w:rPr>
          <w:rFonts w:ascii="Arial" w:cs="Arial" w:eastAsia="Arial" w:hAnsi="Arial"/>
          <w:sz w:val="18"/>
          <w:szCs w:val="18"/>
          <w:color w:val="auto"/>
        </w:rPr>
      </w:pPr>
    </w:p>
    <w:p>
      <w:pPr>
        <w:ind w:left="260" w:hanging="252"/>
        <w:spacing w:after="0" w:line="342" w:lineRule="auto"/>
        <w:tabs>
          <w:tab w:leader="none" w:pos="273"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60" w:hanging="252"/>
        <w:spacing w:after="0" w:line="277" w:lineRule="auto"/>
        <w:tabs>
          <w:tab w:leader="none" w:pos="233"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60" w:hanging="252"/>
        <w:spacing w:after="0" w:line="264" w:lineRule="auto"/>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00" w:hanging="249"/>
        <w:spacing w:after="0" w:line="264" w:lineRule="auto"/>
        <w:tabs>
          <w:tab w:leader="none" w:pos="49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00" w:hanging="249"/>
        <w:spacing w:after="0" w:line="264" w:lineRule="auto"/>
        <w:tabs>
          <w:tab w:leader="none" w:pos="48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hanging="249"/>
        <w:spacing w:after="0" w:line="277" w:lineRule="auto"/>
        <w:tabs>
          <w:tab w:leader="none" w:pos="478"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500" w:hanging="249"/>
        <w:spacing w:after="0" w:line="264" w:lineRule="auto"/>
        <w:tabs>
          <w:tab w:leader="none" w:pos="51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60" w:hanging="252"/>
        <w:spacing w:after="0" w:line="308" w:lineRule="auto"/>
        <w:tabs>
          <w:tab w:leader="none" w:pos="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hanging="249"/>
        <w:spacing w:after="0" w:line="277" w:lineRule="auto"/>
        <w:tabs>
          <w:tab w:leader="none" w:pos="47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hanging="249"/>
        <w:spacing w:after="0" w:line="277" w:lineRule="auto"/>
        <w:tabs>
          <w:tab w:leader="none" w:pos="501"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Anne L. Bramman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Anne L. Bramman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18 U.S.C. Section 1350, as created by Section 906 of the Sarbanes-Oxley Act of 2002, the undersigned officer of Avery Dennison Corporation (the “Company”) hereby certifies, to the best of his knowledge, that:</w:t>
      </w:r>
    </w:p>
    <w:p>
      <w:pPr>
        <w:spacing w:after="0" w:line="170" w:lineRule="exact"/>
        <w:rPr>
          <w:sz w:val="20"/>
          <w:szCs w:val="20"/>
          <w:color w:val="auto"/>
        </w:rPr>
      </w:pPr>
    </w:p>
    <w:p>
      <w:pPr>
        <w:ind w:left="1060" w:hanging="485"/>
        <w:spacing w:after="0" w:line="277" w:lineRule="auto"/>
        <w:tabs>
          <w:tab w:leader="none" w:pos="119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October 1, 2016 (the “Report”) fully complies with the requirements of Section 13(a) or Section 15(d), as applicable, of the Securities Exchange Act of 1934, as amended; and</w:t>
      </w:r>
    </w:p>
    <w:p>
      <w:pPr>
        <w:spacing w:after="0" w:line="170" w:lineRule="exact"/>
        <w:rPr>
          <w:rFonts w:ascii="Arial" w:cs="Arial" w:eastAsia="Arial" w:hAnsi="Arial"/>
          <w:sz w:val="18"/>
          <w:szCs w:val="18"/>
          <w:color w:val="auto"/>
        </w:rPr>
      </w:pPr>
    </w:p>
    <w:p>
      <w:pPr>
        <w:ind w:left="1060" w:hanging="485"/>
        <w:spacing w:after="0" w:line="277" w:lineRule="auto"/>
        <w:tabs>
          <w:tab w:leader="none" w:pos="122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 2016</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Mitchell R. Butier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Mitchell R. Butier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180" w:right="60" w:hanging="172"/>
        <w:spacing w:after="0" w:line="277" w:lineRule="auto"/>
        <w:tabs>
          <w:tab w:leader="none" w:pos="15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above certification accompanies the Company’s Quarterly Report on Form 10-Q and is furnished, not filed, as provided in SEC Release 33-8238, dated June 5,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18 U.S.C. Section 1350, as created by Section 906 of the Sarbanes-Oxley Act of 2002, the undersigned officer of Avery Dennison Corporation (the “Company”) hereby certifies, to the best of her knowledge, that:</w:t>
      </w:r>
    </w:p>
    <w:p>
      <w:pPr>
        <w:spacing w:after="0" w:line="170" w:lineRule="exact"/>
        <w:rPr>
          <w:sz w:val="20"/>
          <w:szCs w:val="20"/>
          <w:color w:val="auto"/>
        </w:rPr>
      </w:pPr>
    </w:p>
    <w:p>
      <w:pPr>
        <w:ind w:left="1060" w:hanging="485"/>
        <w:spacing w:after="0" w:line="277" w:lineRule="auto"/>
        <w:tabs>
          <w:tab w:leader="none" w:pos="119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October 1, 2016 (the “Report”) fully complies with the requirements of Section 13(a) or Section 15(d), as applicable, of the Securities Exchange Act of 1934, as amended; and</w:t>
      </w:r>
    </w:p>
    <w:p>
      <w:pPr>
        <w:spacing w:after="0" w:line="170" w:lineRule="exact"/>
        <w:rPr>
          <w:rFonts w:ascii="Arial" w:cs="Arial" w:eastAsia="Arial" w:hAnsi="Arial"/>
          <w:sz w:val="18"/>
          <w:szCs w:val="18"/>
          <w:color w:val="auto"/>
        </w:rPr>
      </w:pPr>
    </w:p>
    <w:p>
      <w:pPr>
        <w:ind w:left="1060" w:hanging="485"/>
        <w:spacing w:after="0" w:line="277" w:lineRule="auto"/>
        <w:tabs>
          <w:tab w:leader="none" w:pos="122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 2016</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Anne L. Bramman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Anne L. Bramman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 Chief Financial Officer</w:t>
      </w:r>
    </w:p>
    <w:p>
      <w:pPr>
        <w:spacing w:after="0" w:line="211" w:lineRule="exact"/>
        <w:rPr>
          <w:sz w:val="20"/>
          <w:szCs w:val="20"/>
          <w:color w:val="auto"/>
        </w:rPr>
      </w:pPr>
    </w:p>
    <w:p>
      <w:pPr>
        <w:ind w:left="180" w:right="60" w:hanging="172"/>
        <w:spacing w:after="0" w:line="277" w:lineRule="auto"/>
        <w:tabs>
          <w:tab w:leader="none" w:pos="15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above certification accompanies the Company’s Quarterly Report on Form 10-Q and is furnished, not filed, as provided in SEC Release 33-8238, dated June 5,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lowerRoman"/>
      <w:start w:val="2"/>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lvl w:ilvl="1">
      <w:lvlJc w:val="left"/>
      <w:lvlText w:val="%2)"/>
      <w:numFmt w:val="lowerLetter"/>
      <w:start w:val="1"/>
    </w:lvl>
  </w:abstractNum>
  <w:abstractNum w:abstractNumId="14">
    <w:nsid w:val="25E45D32"/>
    <w:multiLevelType w:val="hybridMultilevel"/>
    <w:lvl w:ilvl="0">
      <w:lvlJc w:val="left"/>
      <w:lvlText w:val="%1."/>
      <w:numFmt w:val="decimal"/>
      <w:start w:val="1"/>
    </w:lvl>
    <w:lvl w:ilvl="1">
      <w:lvlJc w:val="left"/>
      <w:lvlText w:val="%2)"/>
      <w:numFmt w:val="lowerLetter"/>
      <w:start w:val="1"/>
    </w:lvl>
  </w:abstractNum>
  <w:abstractNum w:abstractNumId="15">
    <w:nsid w:val="519B500D"/>
    <w:multiLevelType w:val="hybridMultilevel"/>
    <w:lvl w:ilvl="0">
      <w:lvlJc w:val="left"/>
      <w:lvlText w:val="(%1)"/>
      <w:numFmt w:val="lowerRoman"/>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lowerRoman"/>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2019-12-29T10:54:19Z</dcterms:created>
  <dcterms:modified xsi:type="dcterms:W3CDTF">2019-12-29T10:54:19Z</dcterms:modified>
</cp:coreProperties>
</file>