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right="2100" w:hanging="332"/>
        <w:spacing w:after="0" w:line="282" w:lineRule="auto"/>
        <w:tabs>
          <w:tab w:leader="none" w:pos="2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April 2, 2016.</w:t>
      </w:r>
    </w:p>
    <w:p>
      <w:pPr>
        <w:spacing w:after="0" w:line="16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40"/>
        <w:spacing w:after="0"/>
        <w:tabs>
          <w:tab w:leader="none" w:pos="4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-10160</wp:posOffset>
            </wp:positionV>
            <wp:extent cx="2826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6385" cy="8890"/>
                    </a:xfrm>
                    <a:prstGeom prst="rect">
                      <a:avLst/>
                    </a:prstGeom>
                    <a:noFill/>
                  </pic:spPr>
                </pic:pic>
              </a:graphicData>
            </a:graphic>
          </wp:anchor>
        </w:drawing>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1-7685</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AVERY DENNISON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539"/>
              <w:spacing w:after="0"/>
              <w:rPr>
                <w:sz w:val="20"/>
                <w:szCs w:val="20"/>
                <w:color w:val="auto"/>
              </w:rPr>
            </w:pPr>
            <w:r>
              <w:rPr>
                <w:rFonts w:ascii="Arial" w:cs="Arial" w:eastAsia="Arial" w:hAnsi="Arial"/>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20" w:type="dxa"/>
            <w:vAlign w:val="bottom"/>
          </w:tcPr>
          <w:p>
            <w:pPr>
              <w:jc w:val="center"/>
              <w:ind w:left="6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4"/>
              </w:rPr>
              <w:t>incorporation or organization)</w:t>
            </w:r>
          </w:p>
        </w:tc>
        <w:tc>
          <w:tcPr>
            <w:tcW w:w="2820" w:type="dxa"/>
            <w:vAlign w:val="bottom"/>
          </w:tcPr>
          <w:p>
            <w:pPr>
              <w:spacing w:after="0"/>
              <w:rPr>
                <w:sz w:val="15"/>
                <w:szCs w:val="15"/>
                <w:color w:val="auto"/>
              </w:rPr>
            </w:pPr>
          </w:p>
        </w:tc>
      </w:tr>
      <w:tr>
        <w:trPr>
          <w:trHeight w:val="399"/>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88"/>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2"/>
              </w:rPr>
              <w:t>Glendale, California</w:t>
            </w:r>
          </w:p>
        </w:tc>
        <w:tc>
          <w:tcPr>
            <w:tcW w:w="2820" w:type="dxa"/>
            <w:vAlign w:val="bottom"/>
          </w:tcPr>
          <w:p>
            <w:pPr>
              <w:jc w:val="right"/>
              <w:ind w:right="739"/>
              <w:spacing w:after="0"/>
              <w:rPr>
                <w:sz w:val="20"/>
                <w:szCs w:val="20"/>
                <w:color w:val="auto"/>
              </w:rPr>
            </w:pPr>
            <w:r>
              <w:rPr>
                <w:rFonts w:ascii="Arial" w:cs="Arial" w:eastAsia="Arial" w:hAnsi="Arial"/>
                <w:sz w:val="18"/>
                <w:szCs w:val="18"/>
                <w:b w:val="1"/>
                <w:bCs w:val="1"/>
                <w:color w:val="auto"/>
              </w:rPr>
              <w:t>91203</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left="639"/>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(626) 304-2000</w:t>
      </w:r>
    </w:p>
    <w:p>
      <w:pPr>
        <w:spacing w:after="0" w:line="225"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6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5"/>
          </w:tcPr>
          <w:p>
            <w:pPr>
              <w:ind w:left="20"/>
              <w:spacing w:after="0" w:line="198" w:lineRule="exact"/>
              <w:rPr>
                <w:sz w:val="20"/>
                <w:szCs w:val="20"/>
                <w:color w:val="auto"/>
              </w:rPr>
            </w:pPr>
            <w:r>
              <w:rPr>
                <w:rFonts w:ascii="Arial" w:cs="Arial" w:eastAsia="Arial" w:hAnsi="Arial"/>
                <w:sz w:val="18"/>
                <w:szCs w:val="18"/>
                <w:color w:val="auto"/>
              </w:rPr>
              <w:t>x Large accelerated filer</w:t>
            </w:r>
          </w:p>
        </w:tc>
        <w:tc>
          <w:tcPr>
            <w:tcW w:w="180" w:type="dxa"/>
            <w:vAlign w:val="bottom"/>
          </w:tcPr>
          <w:p>
            <w:pPr>
              <w:spacing w:after="0"/>
              <w:rPr>
                <w:sz w:val="17"/>
                <w:szCs w:val="17"/>
                <w:color w:val="auto"/>
              </w:rPr>
            </w:pPr>
          </w:p>
        </w:tc>
        <w:tc>
          <w:tcPr>
            <w:tcW w:w="3340" w:type="dxa"/>
            <w:vAlign w:val="bottom"/>
            <w:gridSpan w:val="9"/>
          </w:tcPr>
          <w:p>
            <w:pPr>
              <w:ind w:left="820"/>
              <w:spacing w:after="0" w:line="198" w:lineRule="exact"/>
              <w:rPr>
                <w:sz w:val="20"/>
                <w:szCs w:val="20"/>
                <w:color w:val="auto"/>
              </w:rPr>
            </w:pPr>
            <w:r>
              <w:rPr>
                <w:rFonts w:ascii="Arial" w:cs="Arial" w:eastAsia="Arial" w:hAnsi="Arial"/>
                <w:sz w:val="18"/>
                <w:szCs w:val="18"/>
                <w:color w:val="auto"/>
              </w:rPr>
              <w:t>o Accelerated filer</w:t>
            </w:r>
          </w:p>
        </w:tc>
        <w:tc>
          <w:tcPr>
            <w:tcW w:w="2660" w:type="dxa"/>
            <w:vAlign w:val="bottom"/>
          </w:tcPr>
          <w:p>
            <w:pPr>
              <w:ind w:left="180"/>
              <w:spacing w:after="0" w:line="198" w:lineRule="exact"/>
              <w:rPr>
                <w:sz w:val="20"/>
                <w:szCs w:val="20"/>
                <w:color w:val="auto"/>
              </w:rPr>
            </w:pPr>
            <w:r>
              <w:rPr>
                <w:rFonts w:ascii="Arial" w:cs="Arial" w:eastAsia="Arial" w:hAnsi="Arial"/>
                <w:sz w:val="18"/>
                <w:szCs w:val="18"/>
                <w:color w:val="auto"/>
              </w:rPr>
              <w:t>o Non-accelerated filer</w:t>
            </w:r>
          </w:p>
        </w:tc>
        <w:tc>
          <w:tcPr>
            <w:tcW w:w="2660" w:type="dxa"/>
            <w:vAlign w:val="bottom"/>
            <w:gridSpan w:val="3"/>
          </w:tcPr>
          <w:p>
            <w:pPr>
              <w:jc w:val="right"/>
              <w:ind w:right="420"/>
              <w:spacing w:after="0" w:line="198" w:lineRule="exact"/>
              <w:rPr>
                <w:sz w:val="20"/>
                <w:szCs w:val="20"/>
                <w:color w:val="auto"/>
              </w:rPr>
            </w:pPr>
            <w:r>
              <w:rPr>
                <w:rFonts w:ascii="Arial" w:cs="Arial" w:eastAsia="Arial" w:hAnsi="Arial"/>
                <w:sz w:val="18"/>
                <w:szCs w:val="18"/>
                <w:color w:val="auto"/>
                <w:w w:val="96"/>
              </w:rPr>
              <w:t>o Smaller reporting company</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7"/>
          </w:tcPr>
          <w:p>
            <w:pPr>
              <w:jc w:val="center"/>
              <w:ind w:right="1610"/>
              <w:spacing w:after="0"/>
              <w:rPr>
                <w:sz w:val="20"/>
                <w:szCs w:val="20"/>
                <w:color w:val="auto"/>
              </w:rPr>
            </w:pPr>
            <w:r>
              <w:rPr>
                <w:rFonts w:ascii="Arial" w:cs="Arial" w:eastAsia="Arial" w:hAnsi="Arial"/>
                <w:sz w:val="14"/>
                <w:szCs w:val="14"/>
                <w:color w:val="auto"/>
                <w:w w:val="94"/>
              </w:rPr>
              <w:t>(Do not check if a smaller reporting company)</w:t>
            </w:r>
          </w:p>
        </w:tc>
        <w:tc>
          <w:tcPr>
            <w:tcW w:w="2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1460" w:type="dxa"/>
            <w:vAlign w:val="bottom"/>
            <w:gridSpan w:val="21"/>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tc>
        <w:tc>
          <w:tcPr>
            <w:tcW w:w="0" w:type="dxa"/>
            <w:vAlign w:val="bottom"/>
          </w:tcPr>
          <w:p>
            <w:pPr>
              <w:spacing w:after="0"/>
              <w:rPr>
                <w:sz w:val="1"/>
                <w:szCs w:val="1"/>
                <w:color w:val="auto"/>
              </w:rPr>
            </w:pPr>
          </w:p>
        </w:tc>
      </w:tr>
      <w:tr>
        <w:trPr>
          <w:trHeight w:val="432"/>
        </w:trPr>
        <w:tc>
          <w:tcPr>
            <w:tcW w:w="8800" w:type="dxa"/>
            <w:vAlign w:val="bottom"/>
            <w:gridSpan w:val="18"/>
          </w:tcPr>
          <w:p>
            <w:pPr>
              <w:spacing w:after="0"/>
              <w:rPr>
                <w:sz w:val="20"/>
                <w:szCs w:val="20"/>
                <w:color w:val="auto"/>
              </w:rPr>
            </w:pPr>
            <w:r>
              <w:rPr>
                <w:rFonts w:ascii="Arial" w:cs="Arial" w:eastAsia="Arial" w:hAnsi="Arial"/>
                <w:sz w:val="18"/>
                <w:szCs w:val="18"/>
                <w:color w:val="auto"/>
              </w:rPr>
              <w:t>Number of shares of $1 par value common stock outstanding as of April 30, 2016: 89,175,966</w:t>
            </w: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gridSpan w:val="2"/>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62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80" w:type="dxa"/>
            <w:vAlign w:val="bottom"/>
            <w:gridSpan w:val="9"/>
          </w:tcPr>
          <w:p>
            <w:pPr>
              <w:jc w:val="center"/>
              <w:ind w:right="1290"/>
              <w:spacing w:after="0"/>
              <w:rPr>
                <w:sz w:val="20"/>
                <w:szCs w:val="20"/>
                <w:color w:val="auto"/>
              </w:rPr>
            </w:pPr>
            <w:r>
              <w:rPr>
                <w:rFonts w:ascii="Arial" w:cs="Arial" w:eastAsia="Arial" w:hAnsi="Arial"/>
                <w:sz w:val="18"/>
                <w:szCs w:val="18"/>
                <w:b w:val="1"/>
                <w:bCs w:val="1"/>
                <w:color w:val="auto"/>
                <w:w w:val="99"/>
              </w:rPr>
              <w:t>AVERY DENNISON CORPORATION</w:t>
            </w: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FISCAL FIRST QUARTER 2016 QUARTERLY REPORT ON FORM 10-Q</w:t>
            </w: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7"/>
          </w:tcPr>
          <w:p>
            <w:pPr>
              <w:jc w:val="center"/>
              <w:ind w:right="1610"/>
              <w:spacing w:after="0"/>
              <w:rPr>
                <w:sz w:val="20"/>
                <w:szCs w:val="20"/>
                <w:color w:val="auto"/>
              </w:rPr>
            </w:pPr>
            <w:r>
              <w:rPr>
                <w:rFonts w:ascii="Arial" w:cs="Arial" w:eastAsia="Arial" w:hAnsi="Arial"/>
                <w:sz w:val="18"/>
                <w:szCs w:val="18"/>
                <w:b w:val="1"/>
                <w:bCs w:val="1"/>
                <w:color w:val="auto"/>
                <w:w w:val="98"/>
              </w:rPr>
              <w:t>TABLE OF CONTENTS</w:t>
            </w: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6"/>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SAFE HARBOR STATEMENT</w:t>
              </w:r>
            </w:hyperlink>
          </w:p>
        </w:tc>
        <w:tc>
          <w:tcPr>
            <w:tcW w:w="16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6"/>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61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 (UNAUDITED)</w:t>
              </w:r>
            </w:hyperlink>
          </w:p>
        </w:tc>
        <w:tc>
          <w:tcPr>
            <w:tcW w:w="2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40" w:type="dxa"/>
            <w:vAlign w:val="bottom"/>
            <w:tcBorders>
              <w:top w:val="single" w:sz="8" w:color="0000EE"/>
            </w:tcBorders>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820" w:type="dxa"/>
            <w:vAlign w:val="bottom"/>
            <w:gridSpan w:val="7"/>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1800" w:type="dxa"/>
            <w:vAlign w:val="bottom"/>
            <w:gridSpan w:val="6"/>
          </w:tcPr>
          <w:p>
            <w:pPr>
              <w:spacing w:after="0"/>
              <w:rPr>
                <w:sz w:val="17"/>
                <w:szCs w:val="17"/>
                <w:color w:val="auto"/>
              </w:rPr>
            </w:pPr>
          </w:p>
        </w:tc>
        <w:tc>
          <w:tcPr>
            <w:tcW w:w="26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April 2, 2016 and January 2, 2016</w:t>
              </w:r>
            </w:hyperlink>
          </w:p>
        </w:tc>
        <w:tc>
          <w:tcPr>
            <w:tcW w:w="2120" w:type="dxa"/>
            <w:vAlign w:val="bottom"/>
            <w:gridSpan w:val="8"/>
          </w:tcPr>
          <w:p>
            <w:pPr>
              <w:spacing w:after="0"/>
              <w:rPr>
                <w:sz w:val="17"/>
                <w:szCs w:val="17"/>
                <w:color w:val="auto"/>
              </w:rPr>
            </w:pPr>
          </w:p>
        </w:tc>
        <w:tc>
          <w:tcPr>
            <w:tcW w:w="2660" w:type="dxa"/>
            <w:vAlign w:val="bottom"/>
          </w:tcPr>
          <w:p>
            <w:pPr>
              <w:spacing w:after="0"/>
              <w:rPr>
                <w:sz w:val="17"/>
                <w:szCs w:val="17"/>
                <w:color w:val="auto"/>
              </w:rPr>
            </w:pPr>
          </w:p>
        </w:tc>
        <w:tc>
          <w:tcPr>
            <w:tcW w:w="2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6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Three Months ended April 2, 2016 and April 4, 2015</w:t>
              </w:r>
            </w:hyperlink>
          </w:p>
        </w:tc>
        <w:tc>
          <w:tcPr>
            <w:tcW w:w="740" w:type="dxa"/>
            <w:vAlign w:val="bottom"/>
            <w:gridSpan w:val="2"/>
          </w:tcPr>
          <w:p>
            <w:pPr>
              <w:spacing w:after="0"/>
              <w:rPr>
                <w:sz w:val="17"/>
                <w:szCs w:val="17"/>
                <w:color w:val="auto"/>
              </w:rPr>
            </w:pPr>
          </w:p>
        </w:tc>
        <w:tc>
          <w:tcPr>
            <w:tcW w:w="2660" w:type="dxa"/>
            <w:vAlign w:val="bottom"/>
          </w:tcPr>
          <w:p>
            <w:pPr>
              <w:spacing w:after="0"/>
              <w:rPr>
                <w:sz w:val="17"/>
                <w:szCs w:val="17"/>
                <w:color w:val="auto"/>
              </w:rPr>
            </w:pPr>
          </w:p>
        </w:tc>
        <w:tc>
          <w:tcPr>
            <w:tcW w:w="2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13"/>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w:t>
              </w:r>
            </w:hyperlink>
          </w:p>
        </w:tc>
        <w:tc>
          <w:tcPr>
            <w:tcW w:w="26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Three Months ended April 2, 2016 and April 4, 2015</w:t>
              </w:r>
            </w:hyperlink>
          </w:p>
        </w:tc>
        <w:tc>
          <w:tcPr>
            <w:tcW w:w="600" w:type="dxa"/>
            <w:vAlign w:val="bottom"/>
            <w:tcBorders>
              <w:top w:val="single" w:sz="8" w:color="0000EE"/>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1020" w:type="dxa"/>
            <w:vAlign w:val="bottom"/>
            <w:gridSpan w:val="4"/>
          </w:tcPr>
          <w:p>
            <w:pPr>
              <w:spacing w:after="0"/>
              <w:rPr>
                <w:sz w:val="17"/>
                <w:szCs w:val="17"/>
                <w:color w:val="auto"/>
              </w:rPr>
            </w:pPr>
          </w:p>
        </w:tc>
        <w:tc>
          <w:tcPr>
            <w:tcW w:w="26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Three Months ended April 2, 2016 and April 4, 2015</w:t>
              </w:r>
            </w:hyperlink>
          </w:p>
        </w:tc>
        <w:tc>
          <w:tcPr>
            <w:tcW w:w="740" w:type="dxa"/>
            <w:vAlign w:val="bottom"/>
            <w:gridSpan w:val="2"/>
          </w:tcPr>
          <w:p>
            <w:pPr>
              <w:spacing w:after="0"/>
              <w:rPr>
                <w:sz w:val="17"/>
                <w:szCs w:val="17"/>
                <w:color w:val="auto"/>
              </w:rPr>
            </w:pPr>
          </w:p>
        </w:tc>
        <w:tc>
          <w:tcPr>
            <w:tcW w:w="2660" w:type="dxa"/>
            <w:vAlign w:val="bottom"/>
          </w:tcPr>
          <w:p>
            <w:pPr>
              <w:spacing w:after="0"/>
              <w:rPr>
                <w:sz w:val="17"/>
                <w:szCs w:val="17"/>
                <w:color w:val="auto"/>
              </w:rPr>
            </w:pPr>
          </w:p>
        </w:tc>
        <w:tc>
          <w:tcPr>
            <w:tcW w:w="2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-3217545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-3217545</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sectPr>
      </w:pPr>
    </w:p>
    <w:bookmarkStart w:id="1" w:name="page2"/>
    <w:bookmarkEnd w:id="1"/>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1500" w:type="dxa"/>
            <w:vAlign w:val="bottom"/>
          </w:tcPr>
          <w:p>
            <w:pPr>
              <w:spacing w:after="0"/>
              <w:rPr>
                <w:sz w:val="17"/>
                <w:szCs w:val="17"/>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1260" w:type="dxa"/>
            <w:vAlign w:val="bottom"/>
            <w:gridSpan w:val="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6440" w:type="dxa"/>
            <w:vAlign w:val="bottom"/>
            <w:gridSpan w:val="1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Non-GAAP Financial Measures</w:t>
              </w:r>
            </w:hyperlink>
          </w:p>
        </w:tc>
        <w:tc>
          <w:tcPr>
            <w:tcW w:w="37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Overview and Outlook</w:t>
              </w:r>
            </w:hyperlink>
          </w:p>
        </w:tc>
        <w:tc>
          <w:tcPr>
            <w:tcW w:w="4000" w:type="dxa"/>
            <w:vAlign w:val="bottom"/>
            <w:gridSpan w:val="7"/>
          </w:tcPr>
          <w:p>
            <w:pPr>
              <w:spacing w:after="0"/>
              <w:rPr>
                <w:sz w:val="17"/>
                <w:szCs w:val="17"/>
                <w:color w:val="auto"/>
              </w:rPr>
            </w:pPr>
          </w:p>
        </w:tc>
        <w:tc>
          <w:tcPr>
            <w:tcW w:w="37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Analysis of Results of Operations for the First Quarter</w:t>
              </w:r>
            </w:hyperlink>
          </w:p>
        </w:tc>
        <w:tc>
          <w:tcPr>
            <w:tcW w:w="2380" w:type="dxa"/>
            <w:vAlign w:val="bottom"/>
            <w:gridSpan w:val="5"/>
          </w:tcPr>
          <w:p>
            <w:pPr>
              <w:spacing w:after="0"/>
              <w:rPr>
                <w:sz w:val="17"/>
                <w:szCs w:val="17"/>
                <w:color w:val="auto"/>
              </w:rPr>
            </w:pPr>
          </w:p>
        </w:tc>
        <w:tc>
          <w:tcPr>
            <w:tcW w:w="37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Results of Operations by Reportable Segment for the First Quarter</w:t>
              </w:r>
            </w:hyperlink>
          </w:p>
        </w:tc>
        <w:tc>
          <w:tcPr>
            <w:tcW w:w="37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Financial Condition</w:t>
              </w:r>
            </w:hyperlink>
          </w:p>
        </w:tc>
        <w:tc>
          <w:tcPr>
            <w:tcW w:w="3340" w:type="dxa"/>
            <w:vAlign w:val="bottom"/>
            <w:tcBorders>
              <w:top w:val="single" w:sz="8" w:color="0000EE"/>
            </w:tcBorders>
            <w:gridSpan w:val="8"/>
          </w:tcPr>
          <w:p>
            <w:pPr>
              <w:spacing w:after="0"/>
              <w:rPr>
                <w:sz w:val="17"/>
                <w:szCs w:val="17"/>
                <w:color w:val="auto"/>
              </w:rPr>
            </w:pPr>
          </w:p>
        </w:tc>
        <w:tc>
          <w:tcPr>
            <w:tcW w:w="1520" w:type="dxa"/>
            <w:vAlign w:val="bottom"/>
            <w:gridSpan w:val="2"/>
          </w:tcPr>
          <w:p>
            <w:pPr>
              <w:spacing w:after="0"/>
              <w:rPr>
                <w:sz w:val="17"/>
                <w:szCs w:val="17"/>
                <w:color w:val="auto"/>
              </w:rPr>
            </w:pPr>
          </w:p>
        </w:tc>
        <w:tc>
          <w:tcPr>
            <w:tcW w:w="37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Recent Accounting Requirements</w:t>
              </w:r>
            </w:hyperlink>
          </w:p>
        </w:tc>
        <w:tc>
          <w:tcPr>
            <w:tcW w:w="376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72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2080" w:type="dxa"/>
            <w:vAlign w:val="bottom"/>
            <w:gridSpan w:val="3"/>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740" w:type="dxa"/>
            <w:vAlign w:val="bottom"/>
            <w:gridSpan w:val="4"/>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Controls and Procedures</w:t>
              </w:r>
            </w:hyperlink>
          </w:p>
        </w:tc>
        <w:tc>
          <w:tcPr>
            <w:tcW w:w="4660" w:type="dxa"/>
            <w:vAlign w:val="bottom"/>
            <w:gridSpan w:val="9"/>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12"/>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4920" w:type="dxa"/>
            <w:vAlign w:val="bottom"/>
            <w:gridSpan w:val="11"/>
          </w:tcPr>
          <w:p>
            <w:pPr>
              <w:spacing w:after="0"/>
              <w:rPr>
                <w:sz w:val="24"/>
                <w:szCs w:val="24"/>
                <w:color w:val="auto"/>
              </w:rPr>
            </w:pPr>
          </w:p>
        </w:tc>
        <w:tc>
          <w:tcPr>
            <w:tcW w:w="3760" w:type="dxa"/>
            <w:vAlign w:val="bottom"/>
          </w:tcPr>
          <w:p>
            <w:pPr>
              <w:spacing w:after="0"/>
              <w:rPr>
                <w:sz w:val="24"/>
                <w:szCs w:val="24"/>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w:t>
              </w:r>
            </w:hyperlink>
          </w:p>
        </w:tc>
        <w:tc>
          <w:tcPr>
            <w:tcW w:w="720" w:type="dxa"/>
            <w:vAlign w:val="bottom"/>
            <w:gridSpan w:val="3"/>
          </w:tcPr>
          <w:p>
            <w:pPr>
              <w:spacing w:after="0"/>
              <w:rPr>
                <w:sz w:val="24"/>
                <w:szCs w:val="24"/>
                <w:color w:val="auto"/>
              </w:rPr>
            </w:pPr>
          </w:p>
        </w:tc>
        <w:tc>
          <w:tcPr>
            <w:tcW w:w="64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644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2100" w:type="dxa"/>
            <w:vAlign w:val="bottom"/>
            <w:gridSpan w:val="4"/>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500" w:type="dxa"/>
            <w:vAlign w:val="bottom"/>
          </w:tcPr>
          <w:p>
            <w:pPr>
              <w:spacing w:after="0"/>
              <w:rPr>
                <w:sz w:val="17"/>
                <w:szCs w:val="17"/>
                <w:color w:val="auto"/>
              </w:rPr>
            </w:pPr>
          </w:p>
        </w:tc>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4120" w:type="dxa"/>
            <w:vAlign w:val="bottom"/>
            <w:gridSpan w:val="8"/>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720" w:type="dxa"/>
            <w:vAlign w:val="bottom"/>
            <w:gridSpan w:val="3"/>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Mine Safety Disclosures</w:t>
              </w:r>
            </w:hyperlink>
          </w:p>
        </w:tc>
        <w:tc>
          <w:tcPr>
            <w:tcW w:w="4660" w:type="dxa"/>
            <w:vAlign w:val="bottom"/>
            <w:gridSpan w:val="9"/>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5.</w:t>
              </w:r>
            </w:hyperlink>
          </w:p>
        </w:tc>
        <w:tc>
          <w:tcPr>
            <w:tcW w:w="720" w:type="dxa"/>
            <w:vAlign w:val="bottom"/>
            <w:gridSpan w:val="3"/>
          </w:tcPr>
          <w:p>
            <w:pPr>
              <w:spacing w:after="0"/>
              <w:rPr>
                <w:sz w:val="17"/>
                <w:szCs w:val="17"/>
                <w:color w:val="auto"/>
              </w:rPr>
            </w:pPr>
          </w:p>
        </w:tc>
        <w:tc>
          <w:tcPr>
            <w:tcW w:w="644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6.</w:t>
              </w:r>
            </w:hyperlink>
          </w:p>
        </w:tc>
        <w:tc>
          <w:tcPr>
            <w:tcW w:w="72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7"/>
                <w:szCs w:val="17"/>
                <w:color w:val="auto"/>
              </w:rPr>
            </w:pPr>
          </w:p>
        </w:tc>
        <w:tc>
          <w:tcPr>
            <w:tcW w:w="5120" w:type="dxa"/>
            <w:vAlign w:val="bottom"/>
            <w:gridSpan w:val="12"/>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60" w:type="dxa"/>
            <w:vAlign w:val="bottom"/>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color w:val="auto"/>
        </w:rPr>
        <w:t>Certain risks and uncertainties are discussed in more detail under “Risk Factors” and “Management’s Discussion and Analysis of Financial Condition and Results of Operations” in our Annual Report on Form 10-K for the fiscal year ended January 2, 2016 and include, but are not limited to, risks and uncertainties relating to the following: fluctuations in demand affecting sales to customers; worldwide and local economic conditions;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timely development and market acceptance of new products, including sustainable or sustainably-sourced products; investment in development activities and new production facilities; integration of acquisitions and completion of potential dispositions;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changes in governmental laws and regulations; protection and infringement of intellectual property; changes in political conditions; the impact of epidemiological events on the economy and our customers and suppliers; acts of war, terrorism, and natural disasters; and other factors.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believe that the most significant risk factors that could affect our financial performance in the near-term include: (1) the impacts of economic conditions on underlying demand for our products and foreign currency fluctuations; (2) competitors’ actions, including pricing, expansion in key markets, and product offerings; and (3) the degree to which higher costs can be offset with productivity measures and/or passed on to customers through selling price increases, without a significant loss of volume.</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0" w:lineRule="exact"/>
        <w:rPr>
          <w:sz w:val="20"/>
          <w:szCs w:val="20"/>
          <w:color w:val="auto"/>
        </w:rPr>
      </w:pPr>
    </w:p>
    <w:p>
      <w:pPr>
        <w:ind w:left="11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ectPr>
          <w:pgSz w:w="11900" w:h="16888" w:orient="portrait"/>
          <w:cols w:equalWidth="0" w:num="1">
            <w:col w:w="11460"/>
          </w:cols>
          <w:pgMar w:left="240" w:top="108" w:right="199" w:bottom="0" w:gutter="0" w:footer="0" w:header="0"/>
        </w:sectPr>
      </w:pPr>
    </w:p>
    <w:bookmarkStart w:id="2" w:name="page3"/>
    <w:bookmarkEnd w:id="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20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April 2, 2016</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January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169.6</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160"/>
              <w:spacing w:after="0" w:line="201" w:lineRule="exact"/>
              <w:rPr>
                <w:sz w:val="20"/>
                <w:szCs w:val="20"/>
                <w:color w:val="auto"/>
              </w:rPr>
            </w:pPr>
            <w:r>
              <w:rPr>
                <w:rFonts w:ascii="Arial" w:cs="Arial" w:eastAsia="Arial" w:hAnsi="Arial"/>
                <w:sz w:val="18"/>
                <w:szCs w:val="18"/>
                <w:color w:val="auto"/>
                <w:w w:val="98"/>
              </w:rPr>
              <w:t>Trade accounts receivable, less allowances of $33.9 and $31.5 at April 2, 2016 and January 2,</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2016, respectively</w:t>
            </w:r>
          </w:p>
        </w:tc>
        <w:tc>
          <w:tcPr>
            <w:tcW w:w="8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1,019.1</w:t>
            </w:r>
          </w:p>
        </w:tc>
        <w:tc>
          <w:tcPr>
            <w:tcW w:w="8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519.5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176.7</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1,887.4</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2,639.2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(1,791.3)</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847.9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695.1</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resulting from business acquisitions, net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Non-current deferred income taxes</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381.8</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395.9</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4,249.4</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264.9</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836.9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current liabilities</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492.4</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1,594.2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Long-term debt and capital leases</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963.3</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retirement benefits and other liabilities</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612.1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Non-current deferred and payable income taxes</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111.5</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15)</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Shareholders’ equity:</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$1 par value per share, authorized — 400,000,000 shares at April 2, 2016 and</w:t>
            </w: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January 2, 2016; issued — 124,126,624 shares at April 2, 2016 and January 2, 2016;</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 89,276,441 shares and 89,967,697 shares at April 2, 2016 and January 2,</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 respectively</w:t>
            </w:r>
          </w:p>
        </w:tc>
        <w:tc>
          <w:tcPr>
            <w:tcW w:w="8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124.1</w:t>
            </w: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828.7</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2,329.7</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160"/>
              <w:spacing w:after="0" w:line="201" w:lineRule="exact"/>
              <w:rPr>
                <w:sz w:val="20"/>
                <w:szCs w:val="20"/>
                <w:color w:val="auto"/>
              </w:rPr>
            </w:pPr>
            <w:r>
              <w:rPr>
                <w:rFonts w:ascii="Arial" w:cs="Arial" w:eastAsia="Arial" w:hAnsi="Arial"/>
                <w:sz w:val="18"/>
                <w:szCs w:val="18"/>
                <w:color w:val="auto"/>
                <w:w w:val="95"/>
              </w:rPr>
              <w:t>Treasury stock at cost, 34,850,183 shares and 34,158,927 shares at April 2, 2016 and January 2,</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2016, respectively</w:t>
            </w:r>
          </w:p>
        </w:tc>
        <w:tc>
          <w:tcPr>
            <w:tcW w:w="80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(1,653.0)</w:t>
            </w:r>
          </w:p>
        </w:tc>
        <w:tc>
          <w:tcPr>
            <w:tcW w:w="8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(661.2)</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shareholders’ equity</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968.3</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4,249.4</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286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April 2, 2016</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April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1,485.5</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1,062.9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422.6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1020" w:type="dxa"/>
            <w:vAlign w:val="bottom"/>
          </w:tcPr>
          <w:p>
            <w:pPr>
              <w:spacing w:after="0"/>
              <w:rPr>
                <w:sz w:val="18"/>
                <w:szCs w:val="18"/>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color w:val="auto"/>
              </w:rPr>
              <w:t>278.2</w:t>
            </w:r>
          </w:p>
        </w:tc>
        <w:tc>
          <w:tcPr>
            <w:tcW w:w="3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123.5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33.9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89.6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.98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per common share</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Common shares, assuming dilution</w:t>
            </w:r>
          </w:p>
        </w:tc>
        <w:tc>
          <w:tcPr>
            <w:tcW w:w="1020" w:type="dxa"/>
            <w:vAlign w:val="bottom"/>
          </w:tcPr>
          <w:p>
            <w:pPr>
              <w:spacing w:after="0"/>
              <w:rPr>
                <w:sz w:val="20"/>
                <w:szCs w:val="20"/>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color w:val="auto"/>
              </w:rPr>
              <w:t>91.1</w:t>
            </w:r>
          </w:p>
        </w:tc>
        <w:tc>
          <w:tcPr>
            <w:tcW w:w="3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bl>
    <w:p>
      <w:pPr>
        <w:sectPr>
          <w:pgSz w:w="11900" w:h="16925" w:orient="portrait"/>
          <w:cols w:equalWidth="0" w:num="1">
            <w:col w:w="11420"/>
          </w:cols>
          <w:pgMar w:left="240" w:top="337"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10"/>
        </w:trPr>
        <w:tc>
          <w:tcPr>
            <w:tcW w:w="7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b w:val="1"/>
                <w:bCs w:val="1"/>
                <w:color w:val="auto"/>
              </w:rPr>
              <w:t>April 2, 2016</w:t>
            </w: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April 4, 2015</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89.6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1000" w:type="dxa"/>
            <w:vAlign w:val="bottom"/>
          </w:tcPr>
          <w:p>
            <w:pPr>
              <w:spacing w:after="0"/>
              <w:rPr>
                <w:sz w:val="18"/>
                <w:szCs w:val="18"/>
                <w:color w:val="auto"/>
              </w:rPr>
            </w:pPr>
          </w:p>
        </w:tc>
        <w:tc>
          <w:tcPr>
            <w:tcW w:w="1860" w:type="dxa"/>
            <w:vAlign w:val="bottom"/>
          </w:tcPr>
          <w:p>
            <w:pPr>
              <w:jc w:val="right"/>
              <w:ind w:right="93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7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10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21.8</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17"/>
        </w:trPr>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111.4</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6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April 2, 2016</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April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89.6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8"/>
                <w:szCs w:val="18"/>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29.0</w:t>
            </w:r>
          </w:p>
        </w:tc>
        <w:tc>
          <w:tcPr>
            <w:tcW w:w="4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Provision for doubtful accounts and sales returns</w:t>
            </w:r>
          </w:p>
        </w:tc>
        <w:tc>
          <w:tcPr>
            <w:tcW w:w="1000" w:type="dxa"/>
            <w:vAlign w:val="bottom"/>
          </w:tcPr>
          <w:p>
            <w:pPr>
              <w:spacing w:after="0"/>
              <w:rPr>
                <w:sz w:val="18"/>
                <w:szCs w:val="18"/>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from asset impairments and sales/disposals of assets</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non-cash expense and loss</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(172.3)</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(6.3)</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000" w:type="dxa"/>
            <w:vAlign w:val="bottom"/>
          </w:tcPr>
          <w:p>
            <w:pPr>
              <w:spacing w:after="0"/>
              <w:rPr>
                <w:sz w:val="18"/>
                <w:szCs w:val="18"/>
                <w:color w:val="auto"/>
              </w:rPr>
            </w:pPr>
          </w:p>
        </w:tc>
        <w:tc>
          <w:tcPr>
            <w:tcW w:w="1860" w:type="dxa"/>
            <w:vAlign w:val="bottom"/>
          </w:tcPr>
          <w:p>
            <w:pPr>
              <w:jc w:val="right"/>
              <w:ind w:right="890"/>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000" w:type="dxa"/>
            <w:vAlign w:val="bottom"/>
          </w:tcPr>
          <w:p>
            <w:pPr>
              <w:spacing w:after="0"/>
              <w:rPr>
                <w:sz w:val="18"/>
                <w:szCs w:val="18"/>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Purchases of investments, net</w:t>
            </w:r>
          </w:p>
        </w:tc>
        <w:tc>
          <w:tcPr>
            <w:tcW w:w="10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(30.9)</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borrowings (maturities of 90 days or less)</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169.4</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Payments of debt (maturities longer than 90 days)</w:t>
            </w:r>
          </w:p>
        </w:tc>
        <w:tc>
          <w:tcPr>
            <w:tcW w:w="1000" w:type="dxa"/>
            <w:vAlign w:val="bottom"/>
          </w:tcPr>
          <w:p>
            <w:pPr>
              <w:spacing w:after="0"/>
              <w:rPr>
                <w:sz w:val="18"/>
                <w:szCs w:val="18"/>
                <w:color w:val="auto"/>
              </w:rPr>
            </w:pPr>
          </w:p>
        </w:tc>
        <w:tc>
          <w:tcPr>
            <w:tcW w:w="1860" w:type="dxa"/>
            <w:vAlign w:val="bottom"/>
          </w:tcPr>
          <w:p>
            <w:pPr>
              <w:jc w:val="right"/>
              <w:ind w:right="89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Share repurchases</w:t>
            </w:r>
          </w:p>
        </w:tc>
        <w:tc>
          <w:tcPr>
            <w:tcW w:w="1000" w:type="dxa"/>
            <w:vAlign w:val="bottom"/>
          </w:tcPr>
          <w:p>
            <w:pPr>
              <w:spacing w:after="0"/>
              <w:rPr>
                <w:sz w:val="18"/>
                <w:szCs w:val="18"/>
                <w:color w:val="auto"/>
              </w:rPr>
            </w:pPr>
          </w:p>
        </w:tc>
        <w:tc>
          <w:tcPr>
            <w:tcW w:w="1860" w:type="dxa"/>
            <w:vAlign w:val="bottom"/>
          </w:tcPr>
          <w:p>
            <w:pPr>
              <w:jc w:val="right"/>
              <w:ind w:right="890"/>
              <w:spacing w:after="0"/>
              <w:rPr>
                <w:sz w:val="20"/>
                <w:szCs w:val="20"/>
                <w:color w:val="auto"/>
              </w:rPr>
            </w:pPr>
            <w:r>
              <w:rPr>
                <w:rFonts w:ascii="Arial" w:cs="Arial" w:eastAsia="Arial" w:hAnsi="Arial"/>
                <w:sz w:val="18"/>
                <w:szCs w:val="18"/>
                <w:color w:val="auto"/>
              </w:rPr>
              <w:t>(95.6)</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10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(9.2)</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47.1</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 on cash balances</w:t>
            </w:r>
          </w:p>
        </w:tc>
        <w:tc>
          <w:tcPr>
            <w:tcW w:w="10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000" w:type="dxa"/>
            <w:vAlign w:val="bottom"/>
          </w:tcPr>
          <w:p>
            <w:pPr>
              <w:spacing w:after="0"/>
              <w:rPr>
                <w:sz w:val="18"/>
                <w:szCs w:val="18"/>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158.8</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169.6</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2015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quarters of 2016 and 2015 consisted of thirteen-week periods ending April 2, 2016 and April 4, 2015,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Prior Period Financial Statement Revision</w:t>
      </w:r>
    </w:p>
    <w:p>
      <w:pPr>
        <w:spacing w:after="0" w:line="229"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In 2015, we determined that certain of our benefit plans (that were frozen between 1994 and 2003) were not properly accounted for since their inception between 1984 and 1988. This resulted in an understatement of long-term retirement benefits and other liabilities and the cumulative historical expenses related to these benefit plans. Additionally, we identified certain liquid short-term bank drafts with maturities greater than 90 days that were improperly classified as cash and cash equivalents instead of other current assets, which resulted in an overstatement of operating cash flows, and tax effects related to certain foreign pension plans that were not properly accounted for on our consolidated financial statements.</w:t>
      </w:r>
    </w:p>
    <w:p>
      <w:pPr>
        <w:spacing w:after="0" w:line="173"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 xml:space="preserve">We assessed the materiality of these errors on our financial statements for prior periods in accordance with United States Securities and Exchange Commission (“SEC”) Staff Accounting Bulletin (“SAB”)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codified in Accounting Standards Codification (“ASC”) 250,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and concluded that they were not material to any prior annual or interim periods. However, the aggregate amount of the prior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revisions of approximately $24 million would have been material to our Consolidated Statements of Income in the period that the errors were identified. Consequently, in accordance with ASC 250 (SAB No. 108, </w:t>
      </w:r>
      <w:r>
        <w:rPr>
          <w:rFonts w:ascii="Arial" w:cs="Arial" w:eastAsia="Arial" w:hAnsi="Arial"/>
          <w:sz w:val="16"/>
          <w:szCs w:val="16"/>
          <w:i w:val="1"/>
          <w:iCs w:val="1"/>
          <w:color w:val="auto"/>
        </w:rPr>
        <w:t>Considering the Effects of Prior Year Misstatements when Quantifying Misstatements in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Year Financial Statements</w:t>
      </w:r>
      <w:r>
        <w:rPr>
          <w:rFonts w:ascii="Arial" w:cs="Arial" w:eastAsia="Arial" w:hAnsi="Arial"/>
          <w:sz w:val="16"/>
          <w:szCs w:val="16"/>
          <w:color w:val="auto"/>
        </w:rPr>
        <w:t>), we have corrected these errors for all prior periods presented by revising the unaudited Condensed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other financial information included herein. We also corrected the timing of immaterial previously recorded out-of-period adjustments and reflected them in the revised prior period financial statements, where applicable. Periods not presented herein will be revised, as applicable, in future filings.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this revision on our unaudited Condensed Consolidated Statements of Income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April 4, 2015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2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As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w w:val="87"/>
              </w:rPr>
              <w:t>Previously</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b w:val="1"/>
                <w:bCs w:val="1"/>
                <w:color w:val="auto"/>
              </w:rPr>
              <w:t>As</w:t>
            </w:r>
          </w:p>
        </w:tc>
      </w:tr>
      <w:tr>
        <w:trPr>
          <w:trHeight w:val="234"/>
        </w:trPr>
        <w:tc>
          <w:tcPr>
            <w:tcW w:w="6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0"/>
                <w:szCs w:val="20"/>
                <w:color w:val="auto"/>
              </w:rPr>
            </w:pP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Revised</w:t>
            </w:r>
          </w:p>
        </w:tc>
      </w:tr>
      <w:tr>
        <w:trPr>
          <w:trHeight w:val="210"/>
        </w:trPr>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300.9</w:t>
            </w:r>
          </w:p>
        </w:tc>
        <w:tc>
          <w:tcPr>
            <w:tcW w:w="7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300.4</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5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99.5</w:t>
            </w:r>
          </w:p>
        </w:tc>
        <w:tc>
          <w:tcPr>
            <w:tcW w:w="760" w:type="dxa"/>
            <w:vAlign w:val="bottom"/>
          </w:tcPr>
          <w:p>
            <w:pPr>
              <w:spacing w:after="0"/>
              <w:rPr>
                <w:sz w:val="18"/>
                <w:szCs w:val="18"/>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27.9</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71.6</w:t>
            </w:r>
          </w:p>
        </w:tc>
        <w:tc>
          <w:tcPr>
            <w:tcW w:w="760" w:type="dxa"/>
            <w:vAlign w:val="bottom"/>
          </w:tcPr>
          <w:p>
            <w:pPr>
              <w:spacing w:after="0"/>
              <w:rPr>
                <w:sz w:val="18"/>
                <w:szCs w:val="18"/>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Net income per common share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r>
      <w:tr>
        <w:trPr>
          <w:trHeight w:val="223"/>
        </w:trPr>
        <w:tc>
          <w:tcPr>
            <w:tcW w:w="66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per common share, assuming dilution</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.77</w:t>
            </w:r>
          </w:p>
        </w:tc>
        <w:tc>
          <w:tcPr>
            <w:tcW w:w="7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r>
      <w:tr>
        <w:trPr>
          <w:trHeight w:val="432"/>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132"/>
        </w:trPr>
        <w:tc>
          <w:tcPr>
            <w:tcW w:w="128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66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Avery Dennison Corporation</w:t>
            </w:r>
          </w:p>
        </w:tc>
      </w:tr>
      <w:tr>
        <w:trPr>
          <w:trHeight w:val="432"/>
        </w:trPr>
        <w:tc>
          <w:tcPr>
            <w:tcW w:w="9180" w:type="dxa"/>
            <w:vAlign w:val="bottom"/>
            <w:gridSpan w:val="5"/>
          </w:tcPr>
          <w:p>
            <w:pPr>
              <w:spacing w:after="0"/>
              <w:rPr>
                <w:sz w:val="20"/>
                <w:szCs w:val="20"/>
                <w:color w:val="auto"/>
              </w:rPr>
            </w:pPr>
            <w:r>
              <w:rPr>
                <w:rFonts w:ascii="Arial" w:cs="Arial" w:eastAsia="Arial" w:hAnsi="Arial"/>
                <w:sz w:val="18"/>
                <w:szCs w:val="18"/>
                <w:color w:val="auto"/>
                <w:w w:val="91"/>
              </w:rPr>
              <w:t>The effects of the revision on our unaudited Condensed Consolidated Statements of Comprehensive Income were as follows: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April 4, 2015</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As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w w:val="87"/>
              </w:rPr>
              <w:t>Previously</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b w:val="1"/>
                <w:bCs w:val="1"/>
                <w:color w:val="auto"/>
              </w:rPr>
              <w:t>As</w:t>
            </w:r>
          </w:p>
        </w:tc>
      </w:tr>
      <w:tr>
        <w:trPr>
          <w:trHeight w:val="234"/>
        </w:trPr>
        <w:tc>
          <w:tcPr>
            <w:tcW w:w="6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rPr>
              <w:t>Reported</w:t>
            </w: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Revised</w:t>
            </w:r>
          </w:p>
        </w:tc>
      </w:tr>
      <w:tr>
        <w:trPr>
          <w:trHeight w:val="210"/>
        </w:trPr>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71.6</w:t>
            </w:r>
          </w:p>
        </w:tc>
        <w:tc>
          <w:tcPr>
            <w:tcW w:w="7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(72.1)</w:t>
            </w:r>
          </w:p>
        </w:tc>
        <w:tc>
          <w:tcPr>
            <w:tcW w:w="76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6.4</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(66.4)</w:t>
            </w:r>
          </w:p>
        </w:tc>
        <w:tc>
          <w:tcPr>
            <w:tcW w:w="76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r>
      <w:tr>
        <w:trPr>
          <w:trHeight w:val="223"/>
        </w:trPr>
        <w:tc>
          <w:tcPr>
            <w:tcW w:w="6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w:t>
            </w:r>
          </w:p>
        </w:tc>
        <w:tc>
          <w:tcPr>
            <w:tcW w:w="7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r>
      <w:tr>
        <w:trPr>
          <w:trHeight w:val="432"/>
        </w:trPr>
        <w:tc>
          <w:tcPr>
            <w:tcW w:w="8420" w:type="dxa"/>
            <w:vAlign w:val="bottom"/>
            <w:gridSpan w:val="4"/>
          </w:tcPr>
          <w:p>
            <w:pPr>
              <w:spacing w:after="0"/>
              <w:rPr>
                <w:sz w:val="20"/>
                <w:szCs w:val="20"/>
                <w:color w:val="auto"/>
              </w:rPr>
            </w:pPr>
            <w:r>
              <w:rPr>
                <w:rFonts w:ascii="Arial" w:cs="Arial" w:eastAsia="Arial" w:hAnsi="Arial"/>
                <w:sz w:val="18"/>
                <w:szCs w:val="18"/>
                <w:color w:val="auto"/>
                <w:w w:val="93"/>
              </w:rPr>
              <w:t>The effects of the revision on our unaudited Condensed Consolidated Statements of Cash Flows were as follows:</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April 4, 2015</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As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w w:val="87"/>
              </w:rPr>
              <w:t>Previously</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b w:val="1"/>
                <w:bCs w:val="1"/>
                <w:color w:val="auto"/>
              </w:rPr>
              <w:t>As</w:t>
            </w:r>
          </w:p>
        </w:tc>
      </w:tr>
      <w:tr>
        <w:trPr>
          <w:trHeight w:val="249"/>
        </w:trPr>
        <w:tc>
          <w:tcPr>
            <w:tcW w:w="6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1"/>
                <w:szCs w:val="21"/>
                <w:color w:val="auto"/>
              </w:rPr>
            </w:pP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21"/>
                <w:szCs w:val="21"/>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Revised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-3321050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sectPr>
      </w:pPr>
    </w:p>
    <w:p>
      <w:pPr>
        <w:spacing w:after="0"/>
        <w:tabs>
          <w:tab w:leader="none" w:pos="7020" w:val="left"/>
          <w:tab w:leader="none" w:pos="7780" w:val="left"/>
          <w:tab w:leader="none" w:pos="8700" w:val="left"/>
          <w:tab w:leader="none" w:pos="9360" w:val="left"/>
          <w:tab w:leader="none" w:pos="10340" w:val="left"/>
          <w:tab w:leader="none" w:pos="11060" w:val="left"/>
        </w:tabs>
        <w:rPr>
          <w:sz w:val="20"/>
          <w:szCs w:val="20"/>
          <w:color w:val="auto"/>
        </w:rPr>
      </w:pPr>
      <w:r>
        <w:rPr>
          <w:rFonts w:ascii="Arial" w:cs="Arial" w:eastAsia="Arial" w:hAnsi="Arial"/>
          <w:sz w:val="18"/>
          <w:szCs w:val="18"/>
          <w:color w:val="auto"/>
        </w:rPr>
        <w:t>Net cash (used in) provided by operating activities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4.6</w:t>
      </w:r>
    </w:p>
    <w:p>
      <w:pPr>
        <w:sectPr>
          <w:pgSz w:w="11900" w:h="16838" w:orient="portrait"/>
          <w:cols w:equalWidth="0" w:num="1">
            <w:col w:w="11460"/>
          </w:cols>
          <w:pgMar w:left="240" w:top="368" w:right="19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140" w:type="dxa"/>
            <w:vAlign w:val="bottom"/>
          </w:tcPr>
          <w:p>
            <w:pPr>
              <w:jc w:val="right"/>
              <w:ind w:right="510"/>
              <w:spacing w:after="0"/>
              <w:rPr>
                <w:sz w:val="20"/>
                <w:szCs w:val="20"/>
                <w:color w:val="auto"/>
              </w:rPr>
            </w:pPr>
            <w:r>
              <w:rPr>
                <w:rFonts w:ascii="Arial" w:cs="Arial" w:eastAsia="Arial" w:hAnsi="Arial"/>
                <w:sz w:val="18"/>
                <w:szCs w:val="18"/>
                <w:color w:val="auto"/>
              </w:rPr>
              <w:t>(14.5)</w:t>
            </w: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(3.7)</w:t>
            </w: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227.0</w:t>
            </w:r>
          </w:p>
        </w:tc>
        <w:tc>
          <w:tcPr>
            <w:tcW w:w="16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(19.8)</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r>
      <w:tr>
        <w:trPr>
          <w:trHeight w:val="223"/>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3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212.5</w:t>
            </w:r>
          </w:p>
        </w:tc>
        <w:tc>
          <w:tcPr>
            <w:tcW w:w="1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(23.5)</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3. Inventories</w:t>
            </w:r>
          </w:p>
        </w:tc>
        <w:tc>
          <w:tcPr>
            <w:tcW w:w="3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Net inventories consisted of:</w:t>
            </w:r>
          </w:p>
        </w:tc>
        <w:tc>
          <w:tcPr>
            <w:tcW w:w="3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April 2, 2016</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January 2, 2016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197.9</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Work-in-progress</w:t>
            </w:r>
          </w:p>
        </w:tc>
        <w:tc>
          <w:tcPr>
            <w:tcW w:w="324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155.5</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143.0</w:t>
            </w:r>
          </w:p>
        </w:tc>
      </w:tr>
      <w:tr>
        <w:trPr>
          <w:trHeight w:val="216"/>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166.1</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17"/>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519.5</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carrying amount of goodwill for the three months ended April 2, 2016,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Retail Branding</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5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Pressure-sensitive</w:t>
            </w:r>
          </w:p>
        </w:tc>
        <w:tc>
          <w:tcPr>
            <w:tcW w:w="1980" w:type="dxa"/>
            <w:vAlign w:val="bottom"/>
            <w:gridSpan w:val="2"/>
          </w:tcPr>
          <w:p>
            <w:pPr>
              <w:ind w:left="320"/>
              <w:spacing w:after="0"/>
              <w:rPr>
                <w:sz w:val="20"/>
                <w:szCs w:val="20"/>
                <w:color w:val="auto"/>
              </w:rPr>
            </w:pPr>
            <w:r>
              <w:rPr>
                <w:rFonts w:ascii="Arial" w:cs="Arial" w:eastAsia="Arial" w:hAnsi="Arial"/>
                <w:sz w:val="18"/>
                <w:szCs w:val="18"/>
                <w:b w:val="1"/>
                <w:bCs w:val="1"/>
                <w:color w:val="auto"/>
              </w:rPr>
              <w:t>and Information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Materials</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Solutions</w:t>
            </w: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January 2, 2016</w:t>
            </w: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277.9</w:t>
            </w:r>
          </w:p>
        </w:tc>
        <w:tc>
          <w:tcPr>
            <w:tcW w:w="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408.3</w:t>
            </w: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686.2</w:t>
            </w: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Translation adjustments</w:t>
            </w:r>
          </w:p>
        </w:tc>
        <w:tc>
          <w:tcPr>
            <w:tcW w:w="2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17"/>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 as of April 2, 2016</w:t>
            </w:r>
          </w:p>
        </w:tc>
        <w:tc>
          <w:tcPr>
            <w:tcW w:w="2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284.5</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410.6</w:t>
            </w:r>
          </w:p>
        </w:tc>
        <w:tc>
          <w:tcPr>
            <w:tcW w:w="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695.1</w:t>
            </w:r>
          </w:p>
        </w:tc>
      </w:tr>
    </w:tbl>
    <w:p>
      <w:pPr>
        <w:spacing w:after="0" w:line="202"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color w:val="auto"/>
        </w:rPr>
        <w:t>The carrying amounts of goodwill at April 2, 2016 and January 2, 2016 were net of accumulated impairment losses of $820 million, which were included in our Retail Branding and Information Solutions (“RBIS”) reportable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was no goodwill associated with our Vancive Medical Technologies reportable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Capital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 of our long-term debt is primarily based on the credit spread above U.S. Treasury securities on notes with similar rates, credit ratings, and remaining maturities. The fair value of short-term borrowings, which includes commercial paper issuances and short-term lines of credit, approximates carrying value given the short duration of these obligations. The fair value of our total debt was $1.28 billion at April 2, 2016 and $1.08 billion at January 2, 2016. Fair value amounts were determined based primarily on Level 2 inputs, which are inputs other than quoted prices in active markets that are either directly or indirectly observable.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$700 million revolving credit facility (the “Revolver”) contains financial covenants requiring that we maintain specified ratios of total debt and interest expense in relation to certain measures of income. As of April 2, 2016 and January 2, 2016, we were in compliance with our financial covenants.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we entered into an agreement with three commercial paper dealers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are backed by the Revolver. There are no financial covenants under this program. As of April 2, 2016, there were no balances outstanding under this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2015, we offered eligible former employees who are vested participants in our Avery Dennison Pension Plan the opportunity to receive their benefits immediately as either a lump-sum payment or an annuity, rather than waiting until they are retirement eligible under the terms of the plan. Based on the acceptances we received to this offer, approximately $70 million of pension obligation related to this plan is expected to be settled out of existing plan assets during the second quarter of 2016. We anticipate a one-time non-cash pre-tax charge of approximately $40 million related to this settlement, subject to pension asset and liability valuations on the settlement date. No additional contributions to the plan are required for this settlement.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3"/>
          </w:tcPr>
          <w:p>
            <w:pPr>
              <w:spacing w:after="0"/>
              <w:rPr>
                <w:sz w:val="20"/>
                <w:szCs w:val="20"/>
                <w:color w:val="auto"/>
              </w:rPr>
            </w:pPr>
            <w:r>
              <w:rPr>
                <w:rFonts w:ascii="Arial" w:cs="Arial" w:eastAsia="Arial" w:hAnsi="Arial"/>
                <w:sz w:val="18"/>
                <w:szCs w:val="18"/>
                <w:color w:val="auto"/>
                <w:w w:val="98"/>
              </w:rPr>
              <w:t>The following table sets forth the components of net periodic benefit cost (credit) for our defined benefit plans:</w:t>
            </w:r>
          </w:p>
        </w:tc>
        <w:tc>
          <w:tcPr>
            <w:tcW w:w="2700" w:type="dxa"/>
            <w:vAlign w:val="bottom"/>
          </w:tcPr>
          <w:p>
            <w:pPr>
              <w:spacing w:after="0"/>
              <w:rPr>
                <w:sz w:val="20"/>
                <w:szCs w:val="20"/>
                <w:color w:val="auto"/>
              </w:rPr>
            </w:pPr>
          </w:p>
        </w:tc>
      </w:tr>
      <w:tr>
        <w:trPr>
          <w:trHeight w:val="414"/>
        </w:trPr>
        <w:tc>
          <w:tcPr>
            <w:tcW w:w="3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U.S. Postretirement</w:t>
            </w:r>
          </w:p>
        </w:tc>
      </w:tr>
      <w:tr>
        <w:trPr>
          <w:trHeight w:val="234"/>
        </w:trPr>
        <w:tc>
          <w:tcPr>
            <w:tcW w:w="3340" w:type="dxa"/>
            <w:vAlign w:val="bottom"/>
          </w:tcPr>
          <w:p>
            <w:pPr>
              <w:spacing w:after="0"/>
              <w:rPr>
                <w:sz w:val="20"/>
                <w:szCs w:val="20"/>
                <w:color w:val="auto"/>
              </w:rPr>
            </w:pPr>
          </w:p>
        </w:tc>
        <w:tc>
          <w:tcPr>
            <w:tcW w:w="5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Pension Benefits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Health Benefits</w:t>
            </w:r>
          </w:p>
        </w:tc>
      </w:tr>
      <w:tr>
        <w:trPr>
          <w:trHeight w:val="210"/>
        </w:trPr>
        <w:tc>
          <w:tcPr>
            <w:tcW w:w="3340" w:type="dxa"/>
            <w:vAlign w:val="bottom"/>
          </w:tcPr>
          <w:p>
            <w:pPr>
              <w:spacing w:after="0"/>
              <w:rPr>
                <w:sz w:val="18"/>
                <w:szCs w:val="18"/>
                <w:color w:val="auto"/>
              </w:rPr>
            </w:pPr>
          </w:p>
        </w:tc>
        <w:tc>
          <w:tcPr>
            <w:tcW w:w="5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bl>
    <w:p>
      <w:pPr>
        <w:sectPr>
          <w:pgSz w:w="11900" w:h="16838"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4"/>
              </w:rPr>
              <w:t>April 2, 2016</w:t>
            </w: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4"/>
              </w:rPr>
              <w:t>April 4, 2015</w:t>
            </w: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April 2, 2016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3340" w:type="dxa"/>
            <w:vAlign w:val="bottom"/>
          </w:tcPr>
          <w:p>
            <w:pPr>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8"/>
                <w:szCs w:val="18"/>
                <w:color w:val="auto"/>
              </w:rPr>
            </w:pP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Int’l</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Int’l</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6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6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7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 (credit)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3.9</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5.1</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Research and Development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 was $22.3 million and $25.6 million for the three months ended April 2, 2016 and April 4, 2015, respectively. This expense was included in “Marketing, general and administrative expense” in the unaudited Condensed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Stock-based compensation expense was $7.5 million and $7.4 million for the three months ended April 2, 2016 and April 4, 2015, respectively. This expense was included in “Marketing, general and administrative expense” in the unaudited Condensed Consolidated Statements of Income.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 2016, we had approximately $52 million of unrecognized compensation expense related to unvested stock-based awards, which is expected to be recognized over the remaining weighted-average period of approximately three years.</w:t>
      </w:r>
    </w:p>
    <w:p>
      <w:pPr>
        <w:spacing w:after="0" w:line="17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Compensation expense related to long-term incentive units was $9.5 million and $5.2 million for the three months ended April 2, 2016 and April 4, 2015, respectively. This expense was included in “Marketing, general and administrative expense” in the unaudited Condensed Consolidated Statements of Income.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April 2, 2016, we recorded $5.7 million in restructuring charges related to restructuring actions initiated during the third quarter of 2015 that we expect to continue through 2016 (“2015/2016 Actions”). These charges consisted of severance and related costs for the reduction of approximately 65 positions, lease cancellation costs, and asset impairment charges.</w:t>
      </w:r>
    </w:p>
    <w:p>
      <w:pPr>
        <w:spacing w:after="0" w:line="19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employees impacted by our 2015/2016 Actions taken through April 2, 2016 remained employed with us as of such date.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2014/2015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85 employees impacted by our 2014/2015 Actions remained employed with us as of April 2, 2016. We expect charges and payments related to these actions to be substantially completed in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Restructuring charges were included in “Other expense, net” in the unaudited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April 2, 2016, restructuring charges and payments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Accrual at</w:t>
            </w:r>
          </w:p>
        </w:tc>
        <w:tc>
          <w:tcPr>
            <w:tcW w:w="14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Charges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Foreign</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Accrual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January 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(Reversals),</w:t>
            </w:r>
          </w:p>
        </w:tc>
        <w:tc>
          <w:tcPr>
            <w:tcW w:w="50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Cash</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Non-cash</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Currency</w:t>
            </w:r>
          </w:p>
        </w:tc>
        <w:tc>
          <w:tcPr>
            <w:tcW w:w="46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April 2,</w:t>
            </w:r>
          </w:p>
        </w:tc>
        <w:tc>
          <w:tcPr>
            <w:tcW w:w="0" w:type="dxa"/>
            <w:vAlign w:val="bottom"/>
          </w:tcPr>
          <w:p>
            <w:pPr>
              <w:spacing w:after="0"/>
              <w:rPr>
                <w:sz w:val="1"/>
                <w:szCs w:val="1"/>
                <w:color w:val="auto"/>
              </w:rPr>
            </w:pPr>
          </w:p>
        </w:tc>
      </w:tr>
      <w:tr>
        <w:trPr>
          <w:trHeight w:val="234"/>
        </w:trPr>
        <w:tc>
          <w:tcPr>
            <w:tcW w:w="2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Payments</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Impairment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Translation</w:t>
            </w:r>
          </w:p>
        </w:tc>
        <w:tc>
          <w:tcPr>
            <w:tcW w:w="4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2015/2016 Actions</w:t>
            </w: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Severance and related costs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Lease cancellation costs</w:t>
            </w:r>
          </w:p>
        </w:tc>
        <w:tc>
          <w:tcPr>
            <w:tcW w:w="118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2014/2015 Actions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Prior actions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Severance and related costs</w:t>
            </w: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5.6</w:t>
            </w: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(12.7)</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w w:val="91"/>
              </w:rPr>
              <w:t>Avery Dennison Corporation</w:t>
            </w:r>
          </w:p>
        </w:tc>
      </w:tr>
      <w:tr>
        <w:trPr>
          <w:trHeight w:val="432"/>
        </w:trPr>
        <w:tc>
          <w:tcPr>
            <w:tcW w:w="8220" w:type="dxa"/>
            <w:vAlign w:val="bottom"/>
            <w:gridSpan w:val="3"/>
          </w:tcPr>
          <w:p>
            <w:pPr>
              <w:spacing w:after="0"/>
              <w:rPr>
                <w:sz w:val="20"/>
                <w:szCs w:val="20"/>
                <w:color w:val="auto"/>
              </w:rPr>
            </w:pPr>
            <w:r>
              <w:rPr>
                <w:rFonts w:ascii="Arial" w:cs="Arial" w:eastAsia="Arial" w:hAnsi="Arial"/>
                <w:sz w:val="18"/>
                <w:szCs w:val="18"/>
                <w:color w:val="auto"/>
                <w:w w:val="92"/>
              </w:rPr>
              <w:t>The table below shows the total amount of restructuring charges incurred by reportable segment and Corporate:</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2, 2016</w:t>
            </w:r>
          </w:p>
        </w:tc>
        <w:tc>
          <w:tcPr>
            <w:tcW w:w="9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c>
          <w:tcPr>
            <w:tcW w:w="20" w:type="dxa"/>
            <w:vAlign w:val="bottom"/>
          </w:tcPr>
          <w:p>
            <w:pPr>
              <w:spacing w:after="0"/>
              <w:rPr>
                <w:sz w:val="18"/>
                <w:szCs w:val="18"/>
                <w:color w:val="auto"/>
              </w:rPr>
            </w:pPr>
          </w:p>
        </w:tc>
      </w:tr>
      <w:tr>
        <w:trPr>
          <w:trHeight w:val="210"/>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Restructuring charges by reportable segment and Corporate</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Pressure-sensitive Materials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Vancive Medical Technologies</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7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7"/>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 2016, the aggregate U.S. dollar equivalent notional value of our outstanding commodity contracts and foreign exchange contracts was $2.6 million and $1.37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all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and balance sheet locations of derivatives as of April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8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Fair Value</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1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17"/>
        </w:trPr>
        <w:tc>
          <w:tcPr>
            <w:tcW w:w="2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and balance sheet locations of derivatives as of January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8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Fair Value</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1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17"/>
        </w:trPr>
        <w:tc>
          <w:tcPr>
            <w:tcW w:w="2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components of net gains (losses) recognized in income related to fair value hedge contracts. The corresponding gains or losses on the underlying hedged items approximated the net gains (losses) on these fair value hedge contracts.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60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Location of Net Gains (Losses) in Income</w:t>
            </w:r>
          </w:p>
        </w:tc>
        <w:tc>
          <w:tcPr>
            <w:tcW w:w="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Three Months Ended</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60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April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4, 2015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Cost of products sold</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56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Marketing, general and administrative expense</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w:t>
            </w: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w:t>
      </w:r>
    </w:p>
    <w:p>
      <w:pPr>
        <w:sectPr>
          <w:pgSz w:w="11900" w:h="16838" w:orient="portrait"/>
          <w:cols w:equalWidth="0" w:num="1">
            <w:col w:w="11420"/>
          </w:cols>
          <w:pgMar w:left="240" w:top="341" w:right="239" w:bottom="0" w:gutter="0" w:footer="0" w:header="0"/>
        </w:sectPr>
      </w:pPr>
    </w:p>
    <w:bookmarkStart w:id="8" w:name="page9"/>
    <w:bookmarkEnd w:id="8"/>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Gains and losses on the derivative, representing either hedge ineffectiveness or hedge components excluded from the assessment of effectiveness, are recognized in current earnings.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Gains (losses) recognized in “Accumulated other comprehensive loss” (effective portion) on derivatives related to cash flow hedge contracts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960" w:type="dxa"/>
            <w:vAlign w:val="bottom"/>
            <w:tcBorders>
              <w:bottom w:val="single" w:sz="8" w:color="auto"/>
            </w:tcBorders>
          </w:tcPr>
          <w:p>
            <w:pPr>
              <w:spacing w:after="0"/>
              <w:rPr>
                <w:sz w:val="20"/>
                <w:szCs w:val="20"/>
                <w:color w:val="auto"/>
              </w:rPr>
            </w:pPr>
          </w:p>
        </w:tc>
      </w:tr>
      <w:tr>
        <w:trPr>
          <w:trHeight w:val="210"/>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April 2, 2016</w:t>
            </w: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1.5</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8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(.5)</w:t>
            </w:r>
          </w:p>
        </w:tc>
      </w:tr>
      <w:tr>
        <w:trPr>
          <w:trHeight w:val="217"/>
        </w:trPr>
        <w:tc>
          <w:tcPr>
            <w:tcW w:w="6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 of gain or loss recognized in income related to the ineffective portion of, and the amount excluded from, effectiveness testing for cash flow hedges and derivatives not designated as hedging instruments was not material for the three months ended April 2, 2016 and April 4, 2015,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 2016, we expected a net loss of approximately $4 million to be reclassified from “Accumulated other comprehensive loss” to earnings within the next 12 months. See Note 13, “Comprehensive Income,” for more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11. Taxes Based on Income</w:t>
            </w: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w w:val="96"/>
              </w:rPr>
              <w:t>The following table summarizes our income before taxes, provision for income taxes, and effective tax rate:</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8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Three Months Ended</w:t>
            </w:r>
          </w:p>
        </w:tc>
        <w:tc>
          <w:tcPr>
            <w:tcW w:w="700" w:type="dxa"/>
            <w:vAlign w:val="bottom"/>
            <w:tcBorders>
              <w:bottom w:val="single" w:sz="8" w:color="auto"/>
            </w:tcBorders>
          </w:tcPr>
          <w:p>
            <w:pPr>
              <w:spacing w:after="0"/>
              <w:rPr>
                <w:sz w:val="24"/>
                <w:szCs w:val="24"/>
                <w:color w:val="auto"/>
              </w:rPr>
            </w:pPr>
          </w:p>
        </w:tc>
      </w:tr>
      <w:tr>
        <w:trPr>
          <w:trHeight w:val="210"/>
        </w:trPr>
        <w:tc>
          <w:tcPr>
            <w:tcW w:w="8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April 2, 2016</w:t>
            </w: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123.5</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r>
      <w:tr>
        <w:trPr>
          <w:trHeight w:val="216"/>
        </w:trPr>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33.9</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28.1</w:t>
            </w:r>
          </w:p>
        </w:tc>
      </w:tr>
      <w:tr>
        <w:trPr>
          <w:trHeight w:val="217"/>
        </w:trPr>
        <w:tc>
          <w:tcPr>
            <w:tcW w:w="8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27.4%</w:t>
            </w:r>
          </w:p>
        </w:tc>
        <w:tc>
          <w:tcPr>
            <w:tcW w:w="7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for the three months ended April 2, 2016 and April 4, 2015 included $2.6 million and $3.3 million, respectively, of a discrete tax benefit due to decreases in certain tax reserves, including interest and penalties, as a result of closing tax years. Additionally, the effective tax rate for the three months ended April 4, 2015 included $1.6 million of a net benefit related to changes in the effective tax rates in certain foreign municipalities.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tax rate for the three months ended April 2, 2016 compared to the same period last year reflects a decrease in tax expense related to favorable changes in the geographic mix of income before taxes and certain tax reserves.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With some exceptions, we and our subsidiaries are no longer subject to income tax examinations by tax authorities for years prior to 2006.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during the next 12 months, we may realize a decrease in our uncertain tax positions, including interest and penalties, of approximately $9 million, primarily as a result of closing tax years.</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 was computed as follows:</w:t>
      </w:r>
    </w:p>
    <w:p>
      <w:pPr>
        <w:spacing w:after="0" w:line="221"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5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April 2, 2016</w:t>
            </w:r>
          </w:p>
        </w:tc>
        <w:tc>
          <w:tcPr>
            <w:tcW w:w="4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April 4, 2015</w:t>
            </w:r>
          </w:p>
        </w:tc>
      </w:tr>
      <w:tr>
        <w:trPr>
          <w:trHeight w:val="210"/>
        </w:trPr>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7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Net income available to common shareholders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89.6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10"/>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75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56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89.4</w:t>
            </w:r>
          </w:p>
        </w:tc>
        <w:tc>
          <w:tcPr>
            <w:tcW w:w="4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16"/>
        </w:trPr>
        <w:tc>
          <w:tcPr>
            <w:tcW w:w="300" w:type="dxa"/>
            <w:vAlign w:val="bottom"/>
            <w:tcBorders>
              <w:bottom w:val="single" w:sz="8" w:color="auto"/>
            </w:tcBorders>
            <w:shd w:val="clear" w:color="auto" w:fill="CCEEFF"/>
          </w:tcPr>
          <w:p>
            <w:pPr>
              <w:spacing w:after="0"/>
              <w:rPr>
                <w:sz w:val="18"/>
                <w:szCs w:val="18"/>
                <w:color w:val="auto"/>
              </w:rPr>
            </w:pPr>
          </w:p>
        </w:tc>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Dilutive shares (additional common shares issuable under stock-based awards)</w:t>
            </w:r>
          </w:p>
        </w:tc>
        <w:tc>
          <w:tcPr>
            <w:tcW w:w="5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0"/>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w:t>
            </w:r>
          </w:p>
        </w:tc>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 average number of common shares outstanding, assuming dilution</w:t>
            </w: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91.1</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r>
      <w:tr>
        <w:trPr>
          <w:trHeight w:val="210"/>
        </w:trPr>
        <w:tc>
          <w:tcPr>
            <w:tcW w:w="7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(A) ÷ (B)</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17"/>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per common share, assuming dilution (A) ÷ (C)</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.5 million shares and 1 million shares for the three months ended April 2, 2016 and April 4,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three-month period ended April 2,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Pension and</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20" w:type="dxa"/>
            <w:vAlign w:val="bottom"/>
          </w:tcPr>
          <w:p>
            <w:pPr>
              <w:jc w:val="right"/>
              <w:ind w:right="210"/>
              <w:spacing w:after="0"/>
              <w:rPr>
                <w:sz w:val="20"/>
                <w:szCs w:val="20"/>
                <w:color w:val="auto"/>
              </w:rPr>
            </w:pPr>
            <w:r>
              <w:rPr>
                <w:rFonts w:ascii="Arial" w:cs="Arial" w:eastAsia="Arial" w:hAnsi="Arial"/>
                <w:sz w:val="18"/>
                <w:szCs w:val="18"/>
                <w:b w:val="1"/>
                <w:bCs w:val="1"/>
                <w:color w:val="auto"/>
              </w:rPr>
              <w:t>Foreign</w:t>
            </w: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2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w:t>
            </w: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1880" w:type="dxa"/>
            <w:vAlign w:val="bottom"/>
          </w:tcPr>
          <w:p>
            <w:pPr>
              <w:ind w:left="380"/>
              <w:spacing w:after="0"/>
              <w:rPr>
                <w:sz w:val="20"/>
                <w:szCs w:val="20"/>
                <w:color w:val="auto"/>
              </w:rPr>
            </w:pPr>
            <w:r>
              <w:rPr>
                <w:rFonts w:ascii="Arial" w:cs="Arial" w:eastAsia="Arial" w:hAnsi="Arial"/>
                <w:sz w:val="18"/>
                <w:szCs w:val="18"/>
                <w:b w:val="1"/>
                <w:bCs w:val="1"/>
                <w:color w:val="auto"/>
              </w:rPr>
              <w:t>Cash Flow</w:t>
            </w:r>
          </w:p>
        </w:tc>
        <w:tc>
          <w:tcPr>
            <w:tcW w:w="1120" w:type="dxa"/>
            <w:vAlign w:val="bottom"/>
          </w:tcPr>
          <w:p>
            <w:pPr>
              <w:spacing w:after="0"/>
              <w:rPr>
                <w:sz w:val="18"/>
                <w:szCs w:val="18"/>
                <w:color w:val="auto"/>
              </w:rPr>
            </w:pPr>
          </w:p>
        </w:tc>
      </w:tr>
      <w:tr>
        <w:trPr>
          <w:trHeight w:val="234"/>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Benefits</w:t>
            </w:r>
          </w:p>
        </w:tc>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Hedges</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Total</w:t>
            </w:r>
          </w:p>
        </w:tc>
      </w:tr>
      <w:tr>
        <w:trPr>
          <w:trHeight w:val="23"/>
        </w:trPr>
        <w:tc>
          <w:tcPr>
            <w:tcW w:w="3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2, 2016</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(158.9)</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(521.6)</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income (loss) before reclassifications, net</w:t>
            </w: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of tax</w:t>
            </w:r>
          </w:p>
        </w:tc>
        <w:tc>
          <w:tcPr>
            <w:tcW w:w="6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4.2</w:t>
            </w:r>
          </w:p>
        </w:tc>
        <w:tc>
          <w:tcPr>
            <w:tcW w:w="6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Net current-period other comprehensive income (loss), net of tax</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18.9</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17"/>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April 2, 2016</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(140.0)</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(517.4)</w:t>
            </w:r>
          </w:p>
        </w:tc>
        <w:tc>
          <w:tcPr>
            <w:tcW w:w="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three-month period ended April 4,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Pension and</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Foreign</w:t>
            </w:r>
          </w:p>
        </w:tc>
        <w:tc>
          <w:tcPr>
            <w:tcW w:w="6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Currency</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9"/>
              </w:rPr>
              <w:t>Postretirement</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Cash Flow</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Translation</w:t>
            </w:r>
          </w:p>
        </w:tc>
        <w:tc>
          <w:tcPr>
            <w:tcW w:w="6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Benefits</w:t>
            </w:r>
          </w:p>
        </w:tc>
        <w:tc>
          <w:tcPr>
            <w:tcW w:w="1920" w:type="dxa"/>
            <w:vAlign w:val="bottom"/>
            <w:gridSpan w:val="2"/>
          </w:tcPr>
          <w:p>
            <w:pPr>
              <w:ind w:left="740"/>
              <w:spacing w:after="0"/>
              <w:rPr>
                <w:sz w:val="20"/>
                <w:szCs w:val="20"/>
                <w:color w:val="auto"/>
              </w:rPr>
            </w:pPr>
            <w:r>
              <w:rPr>
                <w:rFonts w:ascii="Arial" w:cs="Arial" w:eastAsia="Arial" w:hAnsi="Arial"/>
                <w:sz w:val="18"/>
                <w:szCs w:val="18"/>
                <w:b w:val="1"/>
                <w:bCs w:val="1"/>
                <w:color w:val="auto"/>
              </w:rPr>
              <w:t>Hedges</w:t>
            </w:r>
          </w:p>
        </w:tc>
        <w:tc>
          <w:tcPr>
            <w:tcW w:w="3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3, 2015</w:t>
            </w:r>
          </w:p>
        </w:tc>
        <w:tc>
          <w:tcPr>
            <w:tcW w:w="5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(19.9)</w:t>
            </w:r>
          </w:p>
        </w:tc>
        <w:tc>
          <w:tcPr>
            <w:tcW w:w="6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 net of tax</w:t>
            </w:r>
          </w:p>
        </w:tc>
        <w:tc>
          <w:tcPr>
            <w:tcW w:w="5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(72.0)</w:t>
            </w:r>
          </w:p>
        </w:tc>
        <w:tc>
          <w:tcPr>
            <w:tcW w:w="6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Net current-period other comprehensive (loss) income, net of tax</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(72.0)</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April 4, 2015</w:t>
            </w: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(91.9)</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Avery Dennison Corporation</w:t>
            </w:r>
          </w:p>
        </w:tc>
        <w:tc>
          <w:tcPr>
            <w:tcW w:w="0" w:type="dxa"/>
            <w:vAlign w:val="bottom"/>
          </w:tcPr>
          <w:p>
            <w:pPr>
              <w:spacing w:after="0"/>
              <w:rPr>
                <w:sz w:val="1"/>
                <w:szCs w:val="1"/>
                <w:color w:val="auto"/>
              </w:rPr>
            </w:pPr>
          </w:p>
        </w:tc>
      </w:tr>
      <w:tr>
        <w:trPr>
          <w:trHeight w:val="432"/>
        </w:trPr>
        <w:tc>
          <w:tcPr>
            <w:tcW w:w="9260" w:type="dxa"/>
            <w:vAlign w:val="bottom"/>
            <w:gridSpan w:val="8"/>
          </w:tcPr>
          <w:p>
            <w:pPr>
              <w:spacing w:after="0"/>
              <w:rPr>
                <w:sz w:val="20"/>
                <w:szCs w:val="20"/>
                <w:color w:val="auto"/>
              </w:rPr>
            </w:pPr>
            <w:r>
              <w:rPr>
                <w:rFonts w:ascii="Arial" w:cs="Arial" w:eastAsia="Arial" w:hAnsi="Arial"/>
                <w:sz w:val="18"/>
                <w:szCs w:val="18"/>
                <w:color w:val="auto"/>
                <w:w w:val="94"/>
              </w:rPr>
              <w:t>The amounts reclassified from “Accumulated other comprehensive loss” to increase (decrease) net income were as follows: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w w:val="99"/>
              </w:rPr>
              <w:t>Three Months Ended</w:t>
            </w:r>
          </w:p>
        </w:tc>
        <w:tc>
          <w:tcPr>
            <w:tcW w:w="22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Affected Line Item in the</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Statements Where Net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April 2, 2016</w:t>
            </w: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April 4, 2015</w:t>
            </w:r>
          </w:p>
        </w:tc>
        <w:tc>
          <w:tcPr>
            <w:tcW w:w="1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Income is Presented</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Foreign exchange contracts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9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Total before tax</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8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900" w:type="dxa"/>
            <w:vAlign w:val="bottom"/>
          </w:tcPr>
          <w:p>
            <w:pPr>
              <w:ind w:left="100"/>
              <w:spacing w:after="0"/>
              <w:rPr>
                <w:sz w:val="20"/>
                <w:szCs w:val="20"/>
                <w:color w:val="auto"/>
              </w:rPr>
            </w:pPr>
            <w:r>
              <w:rPr>
                <w:rFonts w:ascii="Arial" w:cs="Arial" w:eastAsia="Arial" w:hAnsi="Arial"/>
                <w:sz w:val="18"/>
                <w:szCs w:val="18"/>
                <w:color w:val="auto"/>
              </w:rPr>
              <w:t>Net of tax</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Pension and other postretirement benefits</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1.2</w:t>
            </w:r>
          </w:p>
        </w:tc>
        <w:tc>
          <w:tcPr>
            <w:tcW w:w="22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of tax</w:t>
            </w: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(5.7)</w:t>
            </w:r>
          </w:p>
        </w:tc>
        <w:tc>
          <w:tcPr>
            <w:tcW w:w="1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Total, net of tax</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-3054350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See Note 6, “Pension and Other Postretirement Benefits,”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income tax expense (benefit) allocated to each component of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April 2, 2016</w:t>
            </w:r>
          </w:p>
        </w:tc>
        <w:tc>
          <w:tcPr>
            <w:tcW w:w="7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Pension and other postretirement benefits</w:t>
            </w:r>
          </w:p>
        </w:tc>
        <w:tc>
          <w:tcPr>
            <w:tcW w:w="6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7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flow hedges</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Income tax expense allocated to components of other comprehensive income</w:t>
            </w:r>
          </w:p>
        </w:tc>
        <w:tc>
          <w:tcPr>
            <w:tcW w:w="1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Note 14. Fair Value Measurements</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Recurring Fair Value Measurements</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520" w:type="dxa"/>
            <w:vAlign w:val="bottom"/>
            <w:gridSpan w:val="9"/>
          </w:tcPr>
          <w:p>
            <w:pPr>
              <w:spacing w:after="0"/>
              <w:rPr>
                <w:sz w:val="20"/>
                <w:szCs w:val="20"/>
                <w:color w:val="auto"/>
              </w:rPr>
            </w:pPr>
            <w:r>
              <w:rPr>
                <w:rFonts w:ascii="Arial" w:cs="Arial" w:eastAsia="Arial" w:hAnsi="Arial"/>
                <w:sz w:val="18"/>
                <w:szCs w:val="18"/>
                <w:color w:val="auto"/>
                <w:w w:val="96"/>
              </w:rPr>
              <w:t>The following table provides the assets and liabilities carried at fair value, measured on a recurring basis, as of April 2, 2016:</w:t>
            </w: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0"/>
              </w:rPr>
              <w:t>Fair Value Measurements Using</w:t>
            </w: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720" w:type="dxa"/>
            <w:vAlign w:val="bottom"/>
          </w:tcPr>
          <w:p>
            <w:pPr>
              <w:spacing w:after="0"/>
              <w:rPr>
                <w:sz w:val="16"/>
                <w:szCs w:val="16"/>
                <w:color w:val="auto"/>
              </w:rPr>
            </w:pPr>
          </w:p>
        </w:tc>
        <w:tc>
          <w:tcPr>
            <w:tcW w:w="1900" w:type="dxa"/>
            <w:vAlign w:val="bottom"/>
            <w:gridSpan w:val="2"/>
          </w:tcPr>
          <w:p>
            <w:pPr>
              <w:jc w:val="right"/>
              <w:ind w:right="370"/>
              <w:spacing w:after="0" w:line="191" w:lineRule="exact"/>
              <w:rPr>
                <w:sz w:val="20"/>
                <w:szCs w:val="20"/>
                <w:color w:val="auto"/>
              </w:rPr>
            </w:pPr>
            <w:r>
              <w:rPr>
                <w:rFonts w:ascii="Arial" w:cs="Arial" w:eastAsia="Arial" w:hAnsi="Arial"/>
                <w:sz w:val="18"/>
                <w:szCs w:val="18"/>
                <w:b w:val="1"/>
                <w:bCs w:val="1"/>
                <w:color w:val="auto"/>
                <w:w w:val="97"/>
              </w:rPr>
              <w:t>Significant Other</w:t>
            </w:r>
          </w:p>
        </w:tc>
        <w:tc>
          <w:tcPr>
            <w:tcW w:w="19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rPr>
              <w:t>Significant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Active Markets</w:t>
            </w:r>
          </w:p>
        </w:tc>
        <w:tc>
          <w:tcPr>
            <w:tcW w:w="720" w:type="dxa"/>
            <w:vAlign w:val="bottom"/>
          </w:tcPr>
          <w:p>
            <w:pPr>
              <w:spacing w:after="0"/>
              <w:rPr>
                <w:sz w:val="18"/>
                <w:szCs w:val="18"/>
                <w:color w:val="auto"/>
              </w:rPr>
            </w:pPr>
          </w:p>
        </w:tc>
        <w:tc>
          <w:tcPr>
            <w:tcW w:w="19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0"/>
              </w:rPr>
              <w:t>Observable Inputs</w:t>
            </w:r>
          </w:p>
        </w:tc>
        <w:tc>
          <w:tcPr>
            <w:tcW w:w="1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6"/>
              </w:rPr>
              <w:t>Unobservable Inputs</w:t>
            </w:r>
          </w:p>
        </w:tc>
        <w:tc>
          <w:tcPr>
            <w:tcW w:w="0" w:type="dxa"/>
            <w:vAlign w:val="bottom"/>
          </w:tcPr>
          <w:p>
            <w:pPr>
              <w:spacing w:after="0"/>
              <w:rPr>
                <w:sz w:val="1"/>
                <w:szCs w:val="1"/>
                <w:color w:val="auto"/>
              </w:rPr>
            </w:pPr>
          </w:p>
        </w:tc>
      </w:tr>
      <w:tr>
        <w:trPr>
          <w:trHeight w:val="234"/>
        </w:trPr>
        <w:tc>
          <w:tcPr>
            <w:tcW w:w="3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7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21.7</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3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68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14.1</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9.3</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8.7</w:t>
            </w:r>
          </w:p>
        </w:tc>
        <w:tc>
          <w:tcPr>
            <w:tcW w:w="7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January 2, 2016:</w:t>
      </w:r>
    </w:p>
    <w:p>
      <w:pPr>
        <w:spacing w:after="0" w:line="221"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Fair Value Measurements Using</w:t>
      </w:r>
    </w:p>
    <w:p>
      <w:pPr>
        <w:spacing w:after="0" w:line="21" w:lineRule="exact"/>
        <w:rPr>
          <w:sz w:val="20"/>
          <w:szCs w:val="20"/>
          <w:color w:val="auto"/>
        </w:rPr>
      </w:pPr>
    </w:p>
    <w:p>
      <w:pPr>
        <w:spacing w:after="0"/>
        <w:tabs>
          <w:tab w:leader="none" w:pos="4260" w:val="left"/>
          <w:tab w:leader="none" w:pos="5560" w:val="left"/>
          <w:tab w:leader="none" w:pos="7700" w:val="left"/>
          <w:tab w:leader="none" w:pos="9920" w:val="left"/>
        </w:tabs>
        <w:rPr>
          <w:sz w:val="20"/>
          <w:szCs w:val="20"/>
          <w:color w:val="auto"/>
        </w:rPr>
      </w:pPr>
      <w:r>
        <w:rPr>
          <w:rFonts w:ascii="Arial" w:cs="Arial" w:eastAsia="Arial" w:hAnsi="Arial"/>
          <w:sz w:val="28"/>
          <w:szCs w:val="28"/>
          <w:color w:val="auto"/>
          <w:vertAlign w:val="superscript"/>
        </w:rPr>
        <w:t>(In millions)</w:t>
      </w:r>
      <w:r>
        <w:rPr>
          <w:sz w:val="20"/>
          <w:szCs w:val="20"/>
          <w:color w:val="auto"/>
        </w:rPr>
        <w:tab/>
      </w: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Quoted Prices in</w:t>
      </w:r>
      <w:r>
        <w:rPr>
          <w:sz w:val="20"/>
          <w:szCs w:val="20"/>
          <w:color w:val="auto"/>
        </w:rPr>
        <w:tab/>
      </w:r>
      <w:r>
        <w:rPr>
          <w:rFonts w:ascii="Arial" w:cs="Arial" w:eastAsia="Arial" w:hAnsi="Arial"/>
          <w:sz w:val="18"/>
          <w:szCs w:val="18"/>
          <w:b w:val="1"/>
          <w:bCs w:val="1"/>
          <w:color w:val="auto"/>
        </w:rPr>
        <w:t>Significant Other</w:t>
      </w:r>
      <w:r>
        <w:rPr>
          <w:sz w:val="20"/>
          <w:szCs w:val="20"/>
          <w:color w:val="auto"/>
        </w:rPr>
        <w:tab/>
      </w:r>
      <w:r>
        <w:rPr>
          <w:rFonts w:ascii="Arial" w:cs="Arial" w:eastAsia="Arial" w:hAnsi="Arial"/>
          <w:sz w:val="16"/>
          <w:szCs w:val="16"/>
          <w:b w:val="1"/>
          <w:bCs w:val="1"/>
          <w:color w:val="auto"/>
        </w:rPr>
        <w:t>Significant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-199390</wp:posOffset>
            </wp:positionV>
            <wp:extent cx="40989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Active Markets</w:t>
            </w:r>
          </w:p>
        </w:tc>
        <w:tc>
          <w:tcPr>
            <w:tcW w:w="21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Observable Inputs</w:t>
            </w:r>
          </w:p>
        </w:tc>
        <w:tc>
          <w:tcPr>
            <w:tcW w:w="20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Unobservable 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80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17.9</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11.3</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138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24.8</w:t>
            </w:r>
          </w:p>
        </w:tc>
        <w:tc>
          <w:tcPr>
            <w:tcW w:w="540" w:type="dxa"/>
            <w:vAlign w:val="bottom"/>
          </w:tcPr>
          <w:p>
            <w:pPr>
              <w:spacing w:after="0"/>
              <w:rPr>
                <w:sz w:val="18"/>
                <w:szCs w:val="18"/>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24.8</w:t>
            </w:r>
          </w:p>
        </w:tc>
        <w:tc>
          <w:tcPr>
            <w:tcW w:w="8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Trading securities include fixed income securities (primarily U.S. government and corporate debt securities) measured at fair value using quoted prices/bids and a money market fund measured at fair value using net asset value. As of April 2, 2016, trading securities of $.2 million and $21.5 million were included in “Cash and cash equivalents” and “Other current assets,” respectively, in the unaudited Condensed Consolidated Balance Sheets. As of January 2, 2016, trading securities of $.3 million and $17.6 million were included in “Cash and cash equivalents” and “Other current assets,” respectively, in the unaudited Condensed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90 days) are valued at face value due to the short-term nature of these instruments and were included in “Other current assets” in the unaudited Condensed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We are involved in various lawsuits, claims, inquiries, and other regulatory and compliance matters, most of which are routine to the nature of our business. We have accrued liabilities for matters where it is probable that a loss will be incurred and the amount of loss can be reasonably estimated. 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As of April 2, 2016, we have been designated by the U.S. Environmental Protection Agency (“EPA”) and/or other responsible state agencies as a potentially responsible party (“PRP”) at thirteen waste disposal or waste recycling sites that are the subject of separate investigations or proceedings concerning alleged soil and/or groundwater contamination. No settlement of our liability related to any of the sites has been agreed upon. We are participating with other PRPs at these sites and anticipate that our share of remediation costs will be determined pursuant to agreements that we negotiate with the EPA or other governmental authorities.</w:t>
      </w:r>
    </w:p>
    <w:p>
      <w:pPr>
        <w:spacing w:after="0" w:line="19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We have accrued liabilities for sites where it is probable that a loss or cost will be incurred and the amount of loss or cost can be reasonably estimated. 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three months ended April 2, 2016 related to our environmental liabilities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2, 2016</w:t>
            </w:r>
          </w:p>
        </w:tc>
        <w:tc>
          <w:tcPr>
            <w:tcW w:w="4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Charges (reversals), net</w:t>
            </w:r>
          </w:p>
        </w:tc>
        <w:tc>
          <w:tcPr>
            <w:tcW w:w="45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4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April 2, 2016</w:t>
            </w:r>
          </w:p>
        </w:tc>
        <w:tc>
          <w:tcPr>
            <w:tcW w:w="4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April 2, 2016 and January 2, 2016, approximately $10 million and $7 million of the balance was classified as short-term and included in “Other current liabilities” in the unaudited Condensed Consolidated Balance Sheets, respectively.</w:t>
      </w:r>
    </w:p>
    <w:p>
      <w:pPr>
        <w:spacing w:after="0" w:line="17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ectPr>
          <w:pgSz w:w="11900" w:h="16838" w:orient="portrait"/>
          <w:cols w:equalWidth="0" w:num="1">
            <w:col w:w="11460"/>
          </w:cols>
          <w:pgMar w:left="240" w:top="121" w:right="199" w:bottom="9" w:gutter="0" w:footer="0" w:header="0"/>
        </w:sectPr>
      </w:pPr>
    </w:p>
    <w:bookmarkStart w:id="11" w:name="page12"/>
    <w:bookmarkEnd w:id="11"/>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Financial information by reportable segment is set forth below:</w:t>
            </w: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Three Months Ended</w:t>
            </w:r>
          </w:p>
        </w:tc>
        <w:tc>
          <w:tcPr>
            <w:tcW w:w="760" w:type="dxa"/>
            <w:vAlign w:val="bottom"/>
            <w:tcBorders>
              <w:bottom w:val="single" w:sz="8" w:color="auto"/>
            </w:tcBorders>
          </w:tcPr>
          <w:p>
            <w:pPr>
              <w:spacing w:after="0"/>
              <w:rPr>
                <w:sz w:val="24"/>
                <w:szCs w:val="24"/>
                <w:color w:val="auto"/>
              </w:rPr>
            </w:pPr>
          </w:p>
        </w:tc>
      </w:tr>
      <w:tr>
        <w:trPr>
          <w:trHeight w:val="210"/>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April 2, 2016</w:t>
            </w: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to unaffiliated customers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1,092.0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1,120.6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378.1</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388.1</w:t>
            </w:r>
          </w:p>
        </w:tc>
      </w:tr>
      <w:tr>
        <w:trPr>
          <w:trHeight w:val="216"/>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Vancive Medical Technologies</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15.4</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r>
      <w:tr>
        <w:trPr>
          <w:trHeight w:val="217"/>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1,485.5</w:t>
            </w: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1,528.0</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Intersegment sales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Pressure-sensitive Materials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16.7</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8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Vancive Medical Technologies</w:t>
            </w: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7"/>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sales</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17.5</w:t>
            </w: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138.5</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Vancive Medical Technologies</w:t>
            </w:r>
          </w:p>
        </w:tc>
        <w:tc>
          <w:tcPr>
            <w:tcW w:w="80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(24.9)</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(15.3)</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17"/>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123.5</w:t>
            </w: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expense, net by reportable segment</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Pressure-sensitive Materials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8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Vancive Medical Technologies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17"/>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expense, net by type</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Severance and related costs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items: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 on assets held for sale</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8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asset</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Divestiture-related costs</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17"/>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Requirements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2016, the Financial Accounting Standards Board (“FASB”) issued guidance to simplify several aspects of the accounting for share-based payment transactions, including the income tax consequences, classification of awards as either equity or liabilities, and classification on the statement of cash flows. The guidance will be effective for fiscal years and interim periods beginning after December 15, 2016, and early adoption is permitted. Different components of the guidance require prospective, retrospective and/or modified retrospective adoption. We are currently assessing the timing of our adoption and the impact of this standard on our financial position, results of operations, cash flows, and disclosures.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guidance on accounting for leases that requires lessees to recognize most leases on their balance sheets for the rights and obligations created by those leases. This guidance also requires enhanced disclosures regarding the amount, timing, and uncertainty of cash flows arising from leases and will be effective for interim and annual periods beginning after December 15, 2018. Early adoption is permitted. A modified retrospective approach is required for adoption with respect to all leases that exist at or commence after the date of initial application with an option to use certain practical expedients. We are currently assessing the impact of this standard on our financial position, results of operations, cash flows, and disclosures.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amended guidance to simplify the subsequent measurement of inventory by requiring inventory to be measured at the lower of cost and net realizable value. Net realizable value is the estimated selling price in the ordinary course of business, less reasonably predictable costs of completion, disposal and transportation. This guidance is effective for annual periods beginning after December 15, 2016, and interim periods within those fiscal years. We elected to early adopt this amended guidance in the first quarter of 2016 prospectively. The adoption did not have an impact on our financial position, results of operations, cash flows, or disclosures.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2014, the FASB issued a new standard that requires an entity to evaluate whether there are conditions or events, considered in the aggregate, that raise substantial doubt about the entity’s ability to continue as a going concern. Management’s evaluation should be based on relevant conditions and events that are known and reasonably knowable at the date that the financial statements are issued. Under this new standard, substantial doubt exists when it is probable that the entity will be unable to meet its obligations as they become due within one year of the date the financial statements are issued. If applicable, certain disclosures are required, including management’s plans to mitigate those relevant conditions or events to alleviate the substantial doubt. This standard is effective for annual periods and interim periods within those annual periods ending after December 15, 2016. Early adoption is permitted. We do not expect that adoption of this standard will have any impact on our financial position, results of operations, cash flows, or disclosures.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w:t>
      </w:r>
    </w:p>
    <w:p>
      <w:pPr>
        <w:sectPr>
          <w:pgSz w:w="11900" w:h="16921" w:orient="portrait"/>
          <w:cols w:equalWidth="0" w:num="1">
            <w:col w:w="11420"/>
          </w:cols>
          <w:pgMar w:left="240" w:top="125" w:right="239" w:bottom="0" w:gutter="0" w:footer="0" w:header="0"/>
        </w:sectPr>
      </w:pPr>
    </w:p>
    <w:bookmarkStart w:id="12" w:name="page13"/>
    <w:bookmarkEnd w:id="12"/>
    <w:p>
      <w:pPr>
        <w:jc w:val="both"/>
        <w:spacing w:after="0" w:line="288" w:lineRule="auto"/>
        <w:rPr>
          <w:sz w:val="20"/>
          <w:szCs w:val="20"/>
          <w:color w:val="auto"/>
        </w:rPr>
      </w:pPr>
      <w:r>
        <w:rPr>
          <w:rFonts w:ascii="Arial" w:cs="Arial" w:eastAsia="Arial" w:hAnsi="Arial"/>
          <w:sz w:val="16"/>
          <w:szCs w:val="16"/>
          <w:color w:val="auto"/>
        </w:rPr>
        <w:t>specific guidance. This revised guidance will require an entity to recognize revenue when it transfers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contract(s), which includes (i) identifying the contract(s) with the customer,</w:t>
      </w:r>
    </w:p>
    <w:p>
      <w:pPr>
        <w:jc w:val="both"/>
        <w:ind w:firstLine="8"/>
        <w:spacing w:after="0" w:line="287" w:lineRule="auto"/>
        <w:tabs>
          <w:tab w:leader="none" w:pos="27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identifying the separate performance obligations in the contract, (iii) determining the transaction price, (iv) 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or with the cumulative effect of adoption recognized at the date of initial application. Early adoption is permitted for fiscal periods beginning after December 15, 2016. Based on the information we have evaluated to date, we do not anticipate that the adoption of this revised guidance will have a significant impact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we entered into an agreement to acquire the European business of MACtac from Platinum Equity for a purchase price of €200 million, including assumed debt. The purchase price is subject to adjustment in accordance with the terms of the agreement. The acquisition is expected to close within three months, subject to customary conditions and regulatory approvals in certain jurisdictions.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0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Non-GAAP Financial Measures</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2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Overview and Outlook</w:t>
              </w:r>
            </w:hyperlink>
          </w:p>
        </w:tc>
        <w:tc>
          <w:tcPr>
            <w:tcW w:w="5300" w:type="dxa"/>
            <w:vAlign w:val="bottom"/>
            <w:gridSpan w:val="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Analysis of Results of Operations for the First Quarter</w:t>
              </w:r>
            </w:hyperlink>
          </w:p>
        </w:tc>
        <w:tc>
          <w:tcPr>
            <w:tcW w:w="3680" w:type="dxa"/>
            <w:vAlign w:val="bottom"/>
            <w:gridSpan w:val="2"/>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7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Results of Operations by Reportable Segment for the First Quarter</w:t>
              </w:r>
            </w:hyperlink>
          </w:p>
        </w:tc>
        <w:tc>
          <w:tcPr>
            <w:tcW w:w="2820" w:type="dxa"/>
            <w:vAlign w:val="bottom"/>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600" w:type="dxa"/>
            <w:vAlign w:val="bottom"/>
            <w:gridSpan w:val="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Financial Condition</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7600" w:type="dxa"/>
            <w:vAlign w:val="bottom"/>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Recent Accounting Requirements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that are prepared in accordance with GAAP. Based upon feedback from our investors and financial analysts, we believe that supplemental non-GAAP financial measures provide information that is useful to the assessment of our performance and operating trends, as well as liquidity. The measures we use may not be comparable to similarly named non-GAAP measures used by other companies.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non-GAAP financial measures exclude the impact of certain events, activities or strategic decisions. By excluding the accounting effects, both positive and negative, of certain items, we believe that we are providing meaningful supplemental information to facilitate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non-GAAP financial measures in this MD&amp;A:</w:t>
      </w:r>
    </w:p>
    <w:p>
      <w:pPr>
        <w:spacing w:after="0" w:line="225" w:lineRule="exact"/>
        <w:rPr>
          <w:sz w:val="20"/>
          <w:szCs w:val="20"/>
          <w:color w:val="auto"/>
        </w:rPr>
      </w:pPr>
    </w:p>
    <w:p>
      <w:pPr>
        <w:jc w:val="both"/>
        <w:ind w:firstLine="8"/>
        <w:spacing w:after="0" w:line="253"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Organic sales change </w:t>
      </w:r>
      <w:r>
        <w:rPr>
          <w:rFonts w:ascii="Arial" w:cs="Arial" w:eastAsia="Arial" w:hAnsi="Arial"/>
          <w:sz w:val="18"/>
          <w:szCs w:val="18"/>
          <w:color w:val="auto"/>
        </w:rPr>
        <w:t>refers to the increase or decrease in sales excluding the estimated impact of currency translation, product line exits,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divestitures, and, where applicable, the extra week in a fiscal year. The estimated impact of currency translation is calculated on a constant currency basis, with prior period results translated at current period average exchange rates to exclude the effect of currency fluctuations. We believe organic sales change assists investors in evaluating the underlying sales growth from the ongoing activities of our businesses and provides improved comparability of results period to period.</w:t>
      </w:r>
    </w:p>
    <w:p>
      <w:pPr>
        <w:spacing w:after="0" w:line="3" w:lineRule="exact"/>
        <w:rPr>
          <w:rFonts w:ascii="Arial" w:cs="Arial" w:eastAsia="Arial" w:hAnsi="Arial"/>
          <w:sz w:val="18"/>
          <w:szCs w:val="18"/>
          <w:color w:val="auto"/>
        </w:rPr>
      </w:pPr>
    </w:p>
    <w:p>
      <w:pPr>
        <w:jc w:val="both"/>
        <w:ind w:firstLine="8"/>
        <w:spacing w:after="0" w:line="281" w:lineRule="auto"/>
        <w:tabs>
          <w:tab w:leader="none" w:pos="16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refers to cash flow from operations, less payments for property, plant and equipment, software and other deferred charges, plus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sales of property, plant and equipment, plus (minus) net proceeds from sales (purchases) of investments. We believe that this non-GAAP financial measure assists investors by showing the amount of cash we have available for discretionary debt reductions, dividends, share repurchases, and acquisitions.</w:t>
      </w:r>
    </w:p>
    <w:p>
      <w:pPr>
        <w:spacing w:after="0" w:line="2" w:lineRule="exact"/>
        <w:rPr>
          <w:rFonts w:ascii="Arial" w:cs="Arial" w:eastAsia="Arial" w:hAnsi="Arial"/>
          <w:sz w:val="16"/>
          <w:szCs w:val="16"/>
          <w:color w:val="auto"/>
        </w:rPr>
      </w:pPr>
    </w:p>
    <w:p>
      <w:pPr>
        <w:jc w:val="both"/>
        <w:ind w:firstLine="8"/>
        <w:spacing w:after="0" w:line="252"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Operational working capital </w:t>
      </w:r>
      <w:r>
        <w:rPr>
          <w:rFonts w:ascii="Arial" w:cs="Arial" w:eastAsia="Arial" w:hAnsi="Arial"/>
          <w:sz w:val="18"/>
          <w:szCs w:val="18"/>
          <w:color w:val="auto"/>
        </w:rPr>
        <w:t>refers to trade accounts receivable and inventories, net of accounts payable, and excludes cash and cash equivalents,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deferred taxes, other current assets and other current liabilities, as well as current assets and current liabilities of held-for-sale businesses. We use this non-GAAP financial measure to assess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Additionally, the excluded items are not significantly influenced by our day-to-day activities managed at the operating level and do not necessarily reflect the underlying trends in our operations.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3" w:name="page14"/>
    <w:bookmarkEnd w:id="13"/>
    <w:p>
      <w:pPr>
        <w:spacing w:after="0" w:line="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Financial Statement Revision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prior period amounts have been revised to reflect the impact of certain adjustments. Refer to Note 2, “Prior Period Financial Statement Revision,” to the unaudited Condensed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14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April 2, 2016</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change in net sales due to</w:t>
            </w:r>
          </w:p>
        </w:tc>
        <w:tc>
          <w:tcPr>
            <w:tcW w:w="52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Organic sales change</w:t>
            </w:r>
          </w:p>
        </w:tc>
        <w:tc>
          <w:tcPr>
            <w:tcW w:w="528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16"/>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line divestiture</w:t>
            </w:r>
          </w:p>
        </w:tc>
        <w:tc>
          <w:tcPr>
            <w:tcW w:w="5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r>
      <w:tr>
        <w:trPr>
          <w:trHeight w:val="217"/>
        </w:trPr>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increased approximately $18 million in the first quarter of 2016 compared to the same period last year. Major factors affecting net income in the first three months of 2016 included: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Positive factors:</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Benefits from productivity initiatives, including savings from restructuring actions, net of transition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volume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restructuring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Offsetting factors:</w:t>
      </w:r>
    </w:p>
    <w:p>
      <w:pPr>
        <w:spacing w:after="0" w:line="23"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employee-related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geographic mix</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April 2, 2016, we recorded $5.7 million in restructuring charges related to restructuring actions initiated during the third quarter of 2015 that we expect to continue through 2016 (“2015/2016 Actions”). These charges consisted of severance and related costs for the reduction of approximately 65 positions, lease cancellation costs, and asset impairment charges.</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employees impacted by our 2015/2016 Actions taken through April 2, 2016 remained employed with us as of such date.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2014/2015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85 employees impacted by our 2014/2015 Actions remained employed with us as of April 2, 2016.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Cost Reduction Actions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2016, we expect to realize approximately $75 million in savings, net of transition costs, from our 2015/2016 Actions and 2014/2015 Actions. We anticipate carryover savings from these actions in 2017.</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are included in “Other expense, net” in the unaudited Condensed Consolidated Statements of Income. Refer to Note 9, “Cost Reduction Actions,” to the unaudited Condensed Consolidated Financial Statements for more information.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we entered into an agreement to acquire the European business of MACtac (“MACtac”) from Platinum Equity for a purchase price of €200 million, including assumed debt. The purchase price is subject to adjustment in accordance with the terms of the agreement. The acquisition is expected to close within three months, subject to customary conditions and regulatory approvals in certain jurisdictions.</w:t>
      </w:r>
    </w:p>
    <w:p>
      <w:pPr>
        <w:sectPr>
          <w:pgSz w:w="11900" w:h="16904" w:orient="portrait"/>
          <w:cols w:equalWidth="0" w:num="1">
            <w:col w:w="11420"/>
          </w:cols>
          <w:pgMar w:left="240" w:top="125"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Borders>
              <w:bottom w:val="single" w:sz="8" w:color="auto"/>
            </w:tcBorders>
          </w:tcPr>
          <w:p>
            <w:pPr>
              <w:spacing w:after="0"/>
              <w:rPr>
                <w:sz w:val="24"/>
                <w:szCs w:val="24"/>
                <w:color w:val="auto"/>
              </w:rPr>
            </w:pPr>
          </w:p>
        </w:tc>
      </w:tr>
      <w:tr>
        <w:trPr>
          <w:trHeight w:val="210"/>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April 2, 2016</w:t>
            </w:r>
          </w:p>
        </w:tc>
        <w:tc>
          <w:tcPr>
            <w:tcW w:w="14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8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(25.2)</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8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Purchases of investments, net</w:t>
            </w:r>
          </w:p>
        </w:tc>
        <w:tc>
          <w:tcPr>
            <w:tcW w:w="8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(3.8)</w:t>
            </w: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(37.2)</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in the first three months of 2016 decreased compared to the same period last year primarily due to higher incentive compensation payments and operational working capital, partially offset by higher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factors that we believe may contribute to results for 2016 are described below:</w:t>
      </w:r>
    </w:p>
    <w:p>
      <w:pPr>
        <w:spacing w:after="0" w:line="225" w:lineRule="exact"/>
        <w:rPr>
          <w:sz w:val="20"/>
          <w:szCs w:val="20"/>
          <w:color w:val="auto"/>
        </w:rPr>
      </w:pPr>
    </w:p>
    <w:p>
      <w:pPr>
        <w:ind w:left="760" w:hanging="42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organic sales growth of 3% to 4.5% and increased earnings.</w:t>
      </w:r>
    </w:p>
    <w:p>
      <w:pPr>
        <w:spacing w:after="0" w:line="23" w:lineRule="exact"/>
        <w:rPr>
          <w:rFonts w:ascii="Arial" w:cs="Arial" w:eastAsia="Arial" w:hAnsi="Arial"/>
          <w:sz w:val="18"/>
          <w:szCs w:val="18"/>
          <w:color w:val="auto"/>
        </w:rPr>
      </w:pPr>
    </w:p>
    <w:p>
      <w:pPr>
        <w:ind w:left="760" w:right="140" w:hanging="42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currency rates in effect during April 2016, we expect currency translation to reduce net sales by approximately 2% and reduce pre-tax income by approximately $15 million.</w:t>
      </w:r>
    </w:p>
    <w:p>
      <w:pPr>
        <w:ind w:left="760" w:right="140" w:hanging="42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acquisition of MACtac closes with expected timing, we anticipate the acquisition will increase full year reported net sales by approximately 1% with an immaterial impact on net income.</w:t>
      </w:r>
    </w:p>
    <w:p>
      <w:pPr>
        <w:ind w:left="760" w:hanging="42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fund the acquisition of MACtac with cash and existing credit facilities.</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our full year effective tax rate to be in the low to mid-thirty percent range.</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anticipate capital and software expenditures of approximately $200 million.</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estimate cash restructuring charges of approximately $25 million.</w:t>
      </w:r>
    </w:p>
    <w:p>
      <w:pPr>
        <w:spacing w:after="0" w:line="9" w:lineRule="exact"/>
        <w:rPr>
          <w:rFonts w:ascii="Arial" w:cs="Arial" w:eastAsia="Arial" w:hAnsi="Arial"/>
          <w:sz w:val="18"/>
          <w:szCs w:val="18"/>
          <w:color w:val="auto"/>
        </w:rPr>
      </w:pPr>
    </w:p>
    <w:p>
      <w:pPr>
        <w:ind w:left="760" w:right="140" w:hanging="42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anticipate a one-time non-cash pre-tax charge of approximately $40 million to settle certain U.S. pension obligations, subject to pension asset and liability valuations on the settlement date.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FIRST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Taxes</w:t>
      </w:r>
    </w:p>
    <w:p>
      <w:pPr>
        <w:spacing w:after="0" w:line="22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200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April 2, 2016</w:t>
            </w:r>
          </w:p>
        </w:tc>
        <w:tc>
          <w:tcPr>
            <w:tcW w:w="14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April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1,485.5</w:t>
            </w:r>
          </w:p>
        </w:tc>
        <w:tc>
          <w:tcPr>
            <w:tcW w:w="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1,062.9</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422.6</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9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278.2</w:t>
            </w:r>
          </w:p>
        </w:tc>
        <w:tc>
          <w:tcPr>
            <w:tcW w:w="5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15.3</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5.6</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123.5</w:t>
            </w: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a Percentage of Sales</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w:t>
            </w: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28.4%</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profit margin for the first quarter of 2016 increased compared to the same period last year reflecting benefits from productivity initiatives, including savings from restructuring, net of transition costs, and higher volume, partially offset by geographic mix and higher employee-related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Marketing, general and administrative expense decreased in the first quarter of 2016 compared to the same period last year reflecting benefits from productivity initiatives, including savings from restructuring, net of transition costs, and the impact of currency, partially offset by higher employee-related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Borders>
              <w:bottom w:val="single" w:sz="8" w:color="auto"/>
            </w:tcBorders>
          </w:tcPr>
          <w:p>
            <w:pPr>
              <w:spacing w:after="0"/>
              <w:rPr>
                <w:sz w:val="24"/>
                <w:szCs w:val="24"/>
                <w:color w:val="auto"/>
              </w:rPr>
            </w:pPr>
          </w:p>
        </w:tc>
      </w:tr>
      <w:tr>
        <w:trPr>
          <w:trHeight w:val="210"/>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April 2, 2016</w:t>
            </w:r>
          </w:p>
        </w:tc>
        <w:tc>
          <w:tcPr>
            <w:tcW w:w="14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Restructuring charges: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84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Impairment charges on assets held for sale</w:t>
            </w:r>
          </w:p>
        </w:tc>
        <w:tc>
          <w:tcPr>
            <w:tcW w:w="84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337" w:right="239" w:bottom="0" w:gutter="0" w:footer="0" w:header="0"/>
        </w:sectPr>
      </w:pPr>
    </w:p>
    <w:bookmarkStart w:id="15" w:name="page16"/>
    <w:bookmarkEnd w:id="15"/>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Gain on sale of asset</w:t>
            </w:r>
          </w:p>
        </w:tc>
        <w:tc>
          <w:tcPr>
            <w:tcW w:w="380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Divestiture-related costs</w:t>
            </w:r>
          </w:p>
        </w:tc>
        <w:tc>
          <w:tcPr>
            <w:tcW w:w="38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3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5.6</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9, “Cost Reduction Actions,” to the unaudited Condensed Consolidated Financial Statements for more information regarding charges associated with restructuring.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amounts)</w:t>
            </w:r>
          </w:p>
        </w:tc>
        <w:tc>
          <w:tcPr>
            <w:tcW w:w="20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April 2, 2016</w:t>
            </w:r>
          </w:p>
        </w:tc>
        <w:tc>
          <w:tcPr>
            <w:tcW w:w="14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April 4, 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123.5</w:t>
            </w:r>
          </w:p>
        </w:tc>
        <w:tc>
          <w:tcPr>
            <w:tcW w:w="5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33.9</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89.6</w:t>
            </w:r>
          </w:p>
        </w:tc>
        <w:tc>
          <w:tcPr>
            <w:tcW w:w="5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.98</w:t>
            </w: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27.4%</w:t>
            </w: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9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The effective tax rate for the three months ended April 2, 2016 and April 4, 2015 included $2.6 million and $3.3 million, respectively, of a discrete tax benefit due to decreases in certain tax reserves, including interest and penalties, as a result of closing tax years. Additionally, the effective tax rate for the three months ended April 4, 2015 included $1.6 million of a net benefit related to changes in the effective tax rates in certain foreign municipalities.</w:t>
      </w:r>
    </w:p>
    <w:p>
      <w:pPr>
        <w:spacing w:after="0" w:line="17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effective tax rate for the three months ended April 2, 2016 compared to the same period last year reflects a decrease in tax expense related to favorable changes in the geographic mix of income before taxes and certain tax reserves.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00" w:type="dxa"/>
            <w:vAlign w:val="bottom"/>
            <w:gridSpan w:val="4"/>
          </w:tcPr>
          <w:p>
            <w:pPr>
              <w:ind w:left="1200"/>
              <w:spacing w:after="0"/>
              <w:rPr>
                <w:sz w:val="20"/>
                <w:szCs w:val="20"/>
                <w:color w:val="auto"/>
              </w:rPr>
            </w:pPr>
            <w:r>
              <w:rPr>
                <w:rFonts w:ascii="Arial" w:cs="Arial" w:eastAsia="Arial" w:hAnsi="Arial"/>
                <w:sz w:val="18"/>
                <w:szCs w:val="18"/>
                <w:color w:val="auto"/>
                <w:w w:val="91"/>
              </w:rPr>
              <w:t>Avery Dennison Corporation</w:t>
            </w:r>
          </w:p>
        </w:tc>
      </w:tr>
      <w:tr>
        <w:trPr>
          <w:trHeight w:val="392"/>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OPERATIONS BY REPORTABLE SEGMENT FOR THE FIRST QUARTER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7320" w:type="dxa"/>
            <w:vAlign w:val="bottom"/>
            <w:gridSpan w:val="3"/>
          </w:tcPr>
          <w:p>
            <w:pPr>
              <w:spacing w:after="0"/>
              <w:rPr>
                <w:sz w:val="20"/>
                <w:szCs w:val="20"/>
                <w:color w:val="auto"/>
              </w:rPr>
            </w:pPr>
            <w:r>
              <w:rPr>
                <w:rFonts w:ascii="Arial" w:cs="Arial" w:eastAsia="Arial" w:hAnsi="Arial"/>
                <w:sz w:val="18"/>
                <w:szCs w:val="18"/>
                <w:color w:val="auto"/>
              </w:rPr>
              <w:t>Operating income refers to income before interest and taxes.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Pressure-sensitive Materials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April 2, 2016</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c>
          <w:tcPr>
            <w:tcW w:w="20" w:type="dxa"/>
            <w:vAlign w:val="bottom"/>
          </w:tcPr>
          <w:p>
            <w:pPr>
              <w:spacing w:after="0"/>
              <w:rPr>
                <w:sz w:val="18"/>
                <w:szCs w:val="18"/>
                <w:color w:val="auto"/>
              </w:rPr>
            </w:pPr>
          </w:p>
        </w:tc>
      </w:tr>
      <w:tr>
        <w:trPr>
          <w:trHeight w:val="210"/>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1,108.7</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1,136.3</w:t>
            </w:r>
          </w:p>
        </w:tc>
        <w:tc>
          <w:tcPr>
            <w:tcW w:w="20" w:type="dxa"/>
            <w:vAlign w:val="bottom"/>
          </w:tcPr>
          <w:p>
            <w:pPr>
              <w:spacing w:after="0"/>
              <w:rPr>
                <w:sz w:val="18"/>
                <w:szCs w:val="18"/>
                <w:color w:val="auto"/>
              </w:rPr>
            </w:pPr>
          </w:p>
        </w:tc>
      </w:tr>
      <w:tr>
        <w:trPr>
          <w:trHeight w:val="216"/>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Less intersegment sales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(16.7)</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0"/>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1,092.0</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1,120.6</w:t>
            </w:r>
          </w:p>
        </w:tc>
        <w:tc>
          <w:tcPr>
            <w:tcW w:w="20" w:type="dxa"/>
            <w:vAlign w:val="bottom"/>
          </w:tcPr>
          <w:p>
            <w:pPr>
              <w:spacing w:after="0"/>
              <w:rPr>
                <w:sz w:val="18"/>
                <w:szCs w:val="18"/>
                <w:color w:val="auto"/>
              </w:rPr>
            </w:pPr>
          </w:p>
        </w:tc>
      </w:tr>
      <w:tr>
        <w:trPr>
          <w:trHeight w:val="223"/>
        </w:trPr>
        <w:tc>
          <w:tcPr>
            <w:tcW w:w="7320" w:type="dxa"/>
            <w:vAlign w:val="bottom"/>
            <w:tcBorders>
              <w:bottom w:val="single" w:sz="8" w:color="auto"/>
            </w:tcBorders>
            <w:gridSpan w:val="3"/>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138.5</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9"/>
                <w:szCs w:val="19"/>
                <w:color w:val="auto"/>
              </w:rPr>
            </w:pPr>
          </w:p>
        </w:tc>
      </w:tr>
      <w:tr>
        <w:trPr>
          <w:trHeight w:val="296"/>
        </w:trPr>
        <w:tc>
          <w:tcPr>
            <w:tcW w:w="7320" w:type="dxa"/>
            <w:vAlign w:val="bottom"/>
            <w:gridSpan w:val="3"/>
            <w:shd w:val="clear" w:color="auto" w:fill="CCEEFF"/>
          </w:tcPr>
          <w:p>
            <w:pPr>
              <w:spacing w:after="0"/>
              <w:rPr>
                <w:sz w:val="20"/>
                <w:szCs w:val="20"/>
                <w:color w:val="auto"/>
              </w:rPr>
            </w:pPr>
            <w:r>
              <w:rPr>
                <w:rFonts w:ascii="Arial" w:cs="Arial" w:eastAsia="Arial" w:hAnsi="Arial"/>
                <w:sz w:val="23"/>
                <w:szCs w:val="23"/>
                <w:color w:val="auto"/>
                <w:w w:val="94"/>
                <w:vertAlign w:val="superscript"/>
              </w:rPr>
              <w:t>(1)</w:t>
            </w:r>
            <w:r>
              <w:rPr>
                <w:rFonts w:ascii="Arial" w:cs="Arial" w:eastAsia="Arial" w:hAnsi="Arial"/>
                <w:sz w:val="18"/>
                <w:szCs w:val="18"/>
                <w:color w:val="auto"/>
                <w:w w:val="94"/>
              </w:rPr>
              <w:t xml:space="preserve">  Included costs associated with restructuring in both quarters and a gain on sale of an asset in</w:t>
            </w: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59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426"/>
        </w:trPr>
        <w:tc>
          <w:tcPr>
            <w:tcW w:w="732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April 2, 2016</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Estimated change in sales due to</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Organic sales change</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Reported sales change</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the first quarter of 2016, sales increased on an organic basis primarily due to higher volume. Sales increased on an organic basis at a high-single digit rate in emerging markets and at low-single digit rates in both North America and Western Europe.</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the first quarter of 2016, sales increased on an organic basis at a mid-single digit rate for the Materials product group and decreased at a mid-single digit rate for the Performance Tapes product group.</w:t>
      </w:r>
    </w:p>
    <w:p>
      <w:pPr>
        <w:sectPr>
          <w:pgSz w:w="11900" w:h="16888" w:orient="portrait"/>
          <w:cols w:equalWidth="0" w:num="1">
            <w:col w:w="11460"/>
          </w:cols>
          <w:pgMar w:left="240" w:top="125" w:right="199" w:bottom="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Operating income increased in the first quarter of 2016 compared to the same period last year due to benefits from productivity initiatives, including savings from restructuring, net of transition costs, and higher volume, partially offset by higher employee-related costs, the unfavorable impact of foreign currency translation, and geographic mix.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Retail Branding and Information Solutions</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r>
      <w:tr>
        <w:trPr>
          <w:trHeight w:val="210"/>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April 2, 2016</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378.7</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r>
      <w:tr>
        <w:trPr>
          <w:trHeight w:val="216"/>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378.1</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388.1</w:t>
            </w:r>
          </w:p>
        </w:tc>
      </w:tr>
      <w:tr>
        <w:trPr>
          <w:trHeight w:val="223"/>
        </w:trPr>
        <w:tc>
          <w:tcPr>
            <w:tcW w:w="73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96"/>
        </w:trPr>
        <w:tc>
          <w:tcPr>
            <w:tcW w:w="7320" w:type="dxa"/>
            <w:vAlign w:val="bottom"/>
            <w:shd w:val="clear" w:color="auto" w:fill="CCEEFF"/>
          </w:tcPr>
          <w:p>
            <w:pPr>
              <w:spacing w:after="0"/>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Included costs associated with restructuring in both quarters and impairment charges on assets</w:t>
            </w: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0"/>
        </w:trPr>
        <w:tc>
          <w:tcPr>
            <w:tcW w:w="73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held for sale, a legal settlement, and divestiture-related costs in 2015.</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426"/>
        </w:trPr>
        <w:tc>
          <w:tcPr>
            <w:tcW w:w="73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23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7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April 2, 2016</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change in sales due to</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Organic sales change</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line divestiture</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2016, sales increased on an organic basis primarily due to higher volume, largely related to sales of radio-frequency identification products.</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first quarter of 2016 primarily reflecting benefits from productivity initiatives, including savings from restructuring actions, net of transition costs, and the net impact of volume and product mix, partially offset by higher employee-related costs and the net impact of pricing and raw material input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Vancive Medical Technologies</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April 2, 2016</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15.4</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loss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1"/>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Included costs associated with restructuring in both quarters.</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26"/>
        </w:trPr>
        <w:tc>
          <w:tcPr>
            <w:tcW w:w="73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23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April 2, 2016</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change in sales due to</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Organic sales change</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Reported sales change</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sales decreased on an organic basis primarily due to lower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loss decreased in the first quarter of 2016 compared to the same period last year primarily due to a reduction in operating costs, partially offset by lower volume.</w:t>
      </w:r>
    </w:p>
    <w:p>
      <w:pPr>
        <w:spacing w:after="0" w:line="18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ectPr>
          <w:pgSz w:w="11900" w:h="16838" w:orient="portrait"/>
          <w:cols w:equalWidth="0" w:num="1">
            <w:col w:w="11420"/>
          </w:cols>
          <w:pgMar w:left="240" w:top="341"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CONDITION</w:t>
            </w:r>
          </w:p>
        </w:tc>
        <w:tc>
          <w:tcPr>
            <w:tcW w:w="5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r>
      <w:tr>
        <w:trPr>
          <w:trHeight w:val="210"/>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April 2, 2016</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r>
      <w:tr>
        <w:trPr>
          <w:trHeight w:val="210"/>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89.6</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44.3</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 and sales returns</w:t>
            </w: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11.2</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Net losses from asset impairments and sales/disposals of assets</w:t>
            </w:r>
          </w:p>
        </w:tc>
        <w:tc>
          <w:tcPr>
            <w:tcW w:w="6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non-cash expense and loss</w:t>
            </w:r>
          </w:p>
        </w:tc>
        <w:tc>
          <w:tcPr>
            <w:tcW w:w="6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12.8</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16"/>
        </w:trPr>
        <w:tc>
          <w:tcPr>
            <w:tcW w:w="7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6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(172.3)</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17"/>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three months of 2016, cash flow from operating activities decreased compared to the same period last year primarily due to higher incentive compensation payments and operational working capital, partially offset by higher net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April 2, 2016</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60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Purchases of investments, net</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7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(30.9)</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Software Spending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three months of 2016 and 2015, we invested in new equipment to support growth, primarily in Asia, and to improve manufacturing productivity.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April 2, 2016</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borrowings (maturities of 90 days or less)</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169.4</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Payments of debt (maturities longer than 90 days)</w:t>
            </w:r>
          </w:p>
        </w:tc>
        <w:tc>
          <w:tcPr>
            <w:tcW w:w="60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(33.0)</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Share repurchases</w:t>
            </w:r>
          </w:p>
        </w:tc>
        <w:tc>
          <w:tcPr>
            <w:tcW w:w="60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(95.6)</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16.0</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16"/>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(9.2)</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17"/>
        </w:trPr>
        <w:tc>
          <w:tcPr>
            <w:tcW w:w="7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47.1</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and Repayment of Debt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Given the seasonality of our cash flow, during the first three months of 2016 and 2015, our commercial paper borrowings were used mainly to fund share repurchase activity, dividend payments, and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paid dividends of $.37 per share in the first three months of 2016 compared to $.35 per share in the same period last year. In April 2016, we increased our quarterly dividend to $.41 per share, representing an 11% increase from our previous dividend rate of $.37 per share.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first three months of 2016, we repurchased approximately 1.5 million shares of our common stock at an aggregate cost of $95.6 million. During the first three months of 2015, we repurchased approximately .6 million shares of our common stock at an aggregate cost of $33.8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2016, approximately $272 million remained authorized for repurchase under our outstanding board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ectPr>
          <w:pgSz w:w="11900" w:h="16838" w:orient="portrait"/>
          <w:cols w:equalWidth="0" w:num="1">
            <w:col w:w="11420"/>
          </w:cols>
          <w:pgMar w:left="240" w:top="324" w:right="239" w:bottom="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In the three months ended April 2, 2016, goodwill increased by approximately $9 million to $695 million as result of the impact of foreign currency translation.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April 2, 2016, other intangibles resulting from business acquisitions, net, decreased by approximately $5 million to $41 million, which primarily reflected current year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“Goodwill,” to the unaudited Condensed Consolidated Financial Statements for more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April 2, 2016, other assets decreased by approximately $10 million to $396 million, which reflected amortization expense related to software and other deferred charges, net of purchases, as well as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 Accounts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three months ended April 2, 2016, the balance of our shareholders’ equity increased by approximately $3 million to $968 million, which primarily reflected net income, the use of treasury shares to settle exercises of stock options and vesting of stock-based awards and fund contributions to our U.S. defined contribution plan, and the favorable impact of foreign currency translation. These increases were largely offset by share repurchases and dividend payments.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Impact of Foreign Currency Translation</w:t>
            </w: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April 2, 2016</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4, 2015</w:t>
            </w: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sales</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net income</w:t>
            </w:r>
          </w:p>
        </w:tc>
        <w:tc>
          <w:tcPr>
            <w:tcW w:w="6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International operations generated approximately 73% of our net sales during the three months ended April 2, 2016. Our future results are subject to changes in political and economic conditions in the regions in which we operate and the impact of fluctuations in foreign currency exchange and interest rates.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unfavorable impact of foreign currency translation on net sales in the first three months of 2016 compared to the same period last year was primarily related to euro-denominated sales, as well as sales in Brazil.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Operational Working Capital Ratios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Working capital (current assets minus current liabilities and net assets held for sale), as a percentage of annualized net sales, improved in the first three months of 2016 compared to the same period last year, primarily due to the decrease in current deferred taxes as a result of the prospective adoption of accounting guidance to classify deferred taxes as non-current in the fourth quarter of 2015. This decrease was partially offset by increases in trade accounts receivable and inventories.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cash flow and return on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April 2, 2016</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Working capital</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290.7</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362.2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Reconciling items:</w:t>
            </w: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(169.6)</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Current deferred and refundable income taxes and other current assets</w:t>
            </w:r>
          </w:p>
        </w:tc>
        <w:tc>
          <w:tcPr>
            <w:tcW w:w="58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(176.7)</w:t>
            </w:r>
          </w:p>
        </w:tc>
        <w:tc>
          <w:tcPr>
            <w:tcW w:w="4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(260.5)</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264.9</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265.7</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Current deferred and payable income taxes and other current accrued liabilities</w:t>
            </w: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492.4</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493.4</w:t>
            </w:r>
          </w:p>
        </w:tc>
      </w:tr>
      <w:tr>
        <w:trPr>
          <w:trHeight w:val="210"/>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Operational working capital</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701.7</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671.8</w:t>
            </w:r>
          </w:p>
        </w:tc>
      </w:tr>
      <w:tr>
        <w:trPr>
          <w:trHeight w:val="210"/>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Annualized net sales (quarter sales, multiplied by four)</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5,942.0</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6,112.0</w:t>
            </w:r>
          </w:p>
        </w:tc>
      </w:tr>
      <w:tr>
        <w:trPr>
          <w:trHeight w:val="217"/>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as a percentage of annualized net sales (A) ÷ (C)</w:t>
            </w:r>
          </w:p>
        </w:tc>
        <w:tc>
          <w:tcPr>
            <w:tcW w:w="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Operational working capital, as a percentage of annualized net sales (B) ÷ (C)</w:t>
            </w: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11.8%</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sales outstanding was 63 in the first three months of 2016 compared to 59 in the first three months of 2015. The average number of days outstanding was calculated using the trade accounts receivable balance at quarter-end divided by the average daily sales for the quarter. The increase in the average number of days sales outstanding from the prior year primarily reflected the impact of foreign currency translation and the timing of collections.</w:t>
      </w:r>
    </w:p>
    <w:p>
      <w:pPr>
        <w:sectPr>
          <w:pgSz w:w="11900" w:h="16838" w:orient="portrait"/>
          <w:cols w:equalWidth="0" w:num="1">
            <w:col w:w="11420"/>
          </w:cols>
          <w:pgMar w:left="240" w:top="125"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Inventory Ratio</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Average inventory turnover decreased to 8.2 in the first three months of 2016 from 8.6 in the first three months of 2015. The average inventory turnover was calculated using the annualized cost of sales (quarterly cost of sales, multiplied by four) divided by the inventory balance at quarter-end. The decrease in the current year average inventory turnover primarily reflected the impact of foreign currency translation.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payable outstanding was 72 in the first three months of 2016 compared to 68 in the first three months of 2015. The average number of days payable outstanding was calculated using the accounts payable balance at quarter-end divided by the average daily cost of products sold for the quarter. The increase in average number of days payable outstanding from the prior year primarily reflected the impact of foreign currency translation and the timing of vendor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resources include cash flows from operations, cash and cash equivalents and debt financing. At April 2, 2016, we had cash and cash equivalents of $169.6 million held in accounts at third-party financial institutions.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balances are held in numerous locations throughout the world. At April 2, 2016, the majority of our cash and cash equivalents was held by our foreign subsidiaries.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meet U.S. cash requirements, we have several cost-effective liquidity options available. These options include borrowing funds at reasonable rates, including borrowings from foreign subsidiaries, and repatriating foreign earnings. However, if we were to repatriate incremental foreign earnings, we may be subject to additional taxes in the U.S.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Revolver is used as a back-up facility for our commercial paper program and can be used to finance other corporate requirements. The Revolver matures on October 3, 2019. The maturity date may be extended for additional one-year periods under certain circumstances. The commitments under the Revolver may be increased by up to $325 million, subject to lender approval and other customary requirements. As of April 2, 2016, there was no balance outstanding under the Revolver. Refer to Note 5, “Debt and Capital Leases,” to the unaudited Condensed Consolidated Financial Statements for more information.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we entered into an agreement with three commercial paper dealers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are backed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 the Revolver. There are no financial covenants under this program. As of April 2, 2016, there were no balances outstanding under this program.</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financial market risk resulting from changes in interest and foreign currency rates, and to possible liquidity and credit risks of our counterparties.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we entered into an agreement to acquire MACtac from Platinum Equity for a purchase price of €200 million, including assumed debt. The purchase price is subject to adjustment in accordance with the terms of the agreement. We expect to fund the acquisition of MACtac with cash and existing credit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from Debt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debt increased by approximately $169 million in the first three months of 2016 to $1.23 billion, primarily reflecting an increase in commercial paper borrowings used to fund share repurchase activity, dividend payments, and capital expenditures given the seasonality of our cash flow during the first three months of the year, as well as an increase in short-term borrowings to support operational requirements.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below current levels could impact our ability to access the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ectPr>
          <w:pgSz w:w="11900" w:h="16838" w:orient="portrait"/>
          <w:cols w:equalWidth="0" w:num="1">
            <w:col w:w="11420"/>
          </w:cols>
          <w:pgMar w:left="240" w:top="125" w:right="239" w:bottom="0" w:gutter="0" w:footer="0" w:header="0"/>
        </w:sectPr>
      </w:pPr>
    </w:p>
    <w:bookmarkStart w:id="20" w:name="page21"/>
    <w:bookmarkEnd w:id="20"/>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information provided in Part II, Item 7A of our Annual Report on Form 10-K for the fiscal year ended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judgement in evaluating the cost-benefit relationship of possible controls and procedures.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periodically assess our internal control environment. During 2014, we began a phased implementation of a new transactional system in our RBIS segment that is expected to continue through 2018. Processes affected by this implementation include, among other things, order management, pricing, shipping, general accounting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“Legal Proceedings” in Note 15, “Commitments and Contingencies,” to the unaudited Condensed Consolidated Financial Statements in Part 1,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 of our Annual Report on Form 10-K for the fiscal year ended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first quarter of 2016 are listed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0" w:type="dxa"/>
            <w:vAlign w:val="bottom"/>
          </w:tcPr>
          <w:p>
            <w:pPr>
              <w:jc w:val="right"/>
              <w:ind w:right="255"/>
              <w:spacing w:after="0"/>
              <w:rPr>
                <w:sz w:val="20"/>
                <w:szCs w:val="20"/>
                <w:color w:val="auto"/>
              </w:rPr>
            </w:pPr>
            <w:r>
              <w:rPr>
                <w:rFonts w:ascii="Arial" w:cs="Arial" w:eastAsia="Arial" w:hAnsi="Arial"/>
                <w:sz w:val="18"/>
                <w:szCs w:val="18"/>
                <w:b w:val="1"/>
                <w:bCs w:val="1"/>
                <w:color w:val="auto"/>
              </w:rPr>
              <w:t>Total number of shares</w:t>
            </w:r>
          </w:p>
        </w:tc>
        <w:tc>
          <w:tcPr>
            <w:tcW w:w="520" w:type="dxa"/>
            <w:vAlign w:val="bottom"/>
          </w:tcPr>
          <w:p>
            <w:pPr>
              <w:spacing w:after="0"/>
              <w:rPr>
                <w:sz w:val="18"/>
                <w:szCs w:val="18"/>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Approximate dollar</w:t>
            </w:r>
          </w:p>
        </w:tc>
      </w:tr>
      <w:tr>
        <w:trPr>
          <w:trHeight w:val="216"/>
        </w:trPr>
        <w:tc>
          <w:tcPr>
            <w:tcW w:w="3340" w:type="dxa"/>
            <w:vAlign w:val="bottom"/>
          </w:tcPr>
          <w:p>
            <w:pPr>
              <w:spacing w:after="0"/>
              <w:rPr>
                <w:sz w:val="18"/>
                <w:szCs w:val="18"/>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number</w:t>
            </w:r>
          </w:p>
        </w:tc>
        <w:tc>
          <w:tcPr>
            <w:tcW w:w="13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Average</w:t>
            </w:r>
          </w:p>
        </w:tc>
        <w:tc>
          <w:tcPr>
            <w:tcW w:w="2400" w:type="dxa"/>
            <w:vAlign w:val="bottom"/>
          </w:tcPr>
          <w:p>
            <w:pPr>
              <w:jc w:val="right"/>
              <w:ind w:right="255"/>
              <w:spacing w:after="0"/>
              <w:rPr>
                <w:sz w:val="20"/>
                <w:szCs w:val="20"/>
                <w:color w:val="auto"/>
              </w:rPr>
            </w:pPr>
            <w:r>
              <w:rPr>
                <w:rFonts w:ascii="Arial" w:cs="Arial" w:eastAsia="Arial" w:hAnsi="Arial"/>
                <w:sz w:val="18"/>
                <w:szCs w:val="18"/>
                <w:b w:val="1"/>
                <w:bCs w:val="1"/>
                <w:color w:val="auto"/>
              </w:rPr>
              <w:t>purchased as part of</w:t>
            </w:r>
          </w:p>
        </w:tc>
        <w:tc>
          <w:tcPr>
            <w:tcW w:w="2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value of shares that may</w:t>
            </w:r>
          </w:p>
        </w:tc>
      </w:tr>
      <w:tr>
        <w:trPr>
          <w:trHeight w:val="216"/>
        </w:trPr>
        <w:tc>
          <w:tcPr>
            <w:tcW w:w="3340" w:type="dxa"/>
            <w:vAlign w:val="bottom"/>
          </w:tcPr>
          <w:p>
            <w:pPr>
              <w:spacing w:after="0"/>
              <w:rPr>
                <w:sz w:val="18"/>
                <w:szCs w:val="18"/>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b w:val="1"/>
                <w:bCs w:val="1"/>
                <w:color w:val="auto"/>
              </w:rPr>
              <w:t>of shares</w:t>
            </w:r>
          </w:p>
        </w:tc>
        <w:tc>
          <w:tcPr>
            <w:tcW w:w="13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price paid</w:t>
            </w:r>
          </w:p>
        </w:tc>
        <w:tc>
          <w:tcPr>
            <w:tcW w:w="2400" w:type="dxa"/>
            <w:vAlign w:val="bottom"/>
          </w:tcPr>
          <w:p>
            <w:pPr>
              <w:jc w:val="right"/>
              <w:ind w:right="255"/>
              <w:spacing w:after="0"/>
              <w:rPr>
                <w:sz w:val="20"/>
                <w:szCs w:val="20"/>
                <w:color w:val="auto"/>
              </w:rPr>
            </w:pPr>
            <w:r>
              <w:rPr>
                <w:rFonts w:ascii="Arial" w:cs="Arial" w:eastAsia="Arial" w:hAnsi="Arial"/>
                <w:sz w:val="18"/>
                <w:szCs w:val="18"/>
                <w:b w:val="1"/>
                <w:bCs w:val="1"/>
                <w:color w:val="auto"/>
              </w:rPr>
              <w:t>publicly announced</w:t>
            </w:r>
          </w:p>
        </w:tc>
        <w:tc>
          <w:tcPr>
            <w:tcW w:w="2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yet be purchased under</w:t>
            </w:r>
          </w:p>
        </w:tc>
      </w:tr>
      <w:tr>
        <w:trPr>
          <w:trHeight w:val="234"/>
        </w:trPr>
        <w:tc>
          <w:tcPr>
            <w:tcW w:w="33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3"/>
                <w:szCs w:val="23"/>
                <w:color w:val="auto"/>
                <w:vertAlign w:val="superscript"/>
              </w:rPr>
              <w:t>(1)</w:t>
            </w:r>
          </w:p>
        </w:tc>
        <w:tc>
          <w:tcPr>
            <w:tcW w:w="2000" w:type="dxa"/>
            <w:vAlign w:val="bottom"/>
            <w:tcBorders>
              <w:bottom w:val="single" w:sz="8" w:color="auto"/>
            </w:tcBorders>
          </w:tcPr>
          <w:p>
            <w:pPr>
              <w:jc w:val="right"/>
              <w:ind w:right="210"/>
              <w:spacing w:after="0" w:line="234"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color w:val="auto"/>
                <w:vertAlign w:val="superscript"/>
              </w:rPr>
              <w:t>(2)</w:t>
            </w:r>
          </w:p>
        </w:tc>
        <w:tc>
          <w:tcPr>
            <w:tcW w:w="13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per share</w:t>
            </w:r>
          </w:p>
        </w:tc>
        <w:tc>
          <w:tcPr>
            <w:tcW w:w="2400" w:type="dxa"/>
            <w:vAlign w:val="bottom"/>
            <w:tcBorders>
              <w:bottom w:val="single" w:sz="8" w:color="auto"/>
            </w:tcBorders>
          </w:tcPr>
          <w:p>
            <w:pPr>
              <w:jc w:val="right"/>
              <w:ind w:right="215"/>
              <w:spacing w:after="0" w:line="235" w:lineRule="exact"/>
              <w:rPr>
                <w:sz w:val="20"/>
                <w:szCs w:val="20"/>
                <w:color w:val="auto"/>
              </w:rPr>
            </w:pPr>
            <w:r>
              <w:rPr>
                <w:rFonts w:ascii="Arial" w:cs="Arial" w:eastAsia="Arial" w:hAnsi="Arial"/>
                <w:sz w:val="27"/>
                <w:szCs w:val="27"/>
                <w:b w:val="1"/>
                <w:bCs w:val="1"/>
                <w:color w:val="auto"/>
                <w:vertAlign w:val="subscript"/>
              </w:rPr>
              <w:t>plans</w:t>
            </w:r>
            <w:r>
              <w:rPr>
                <w:rFonts w:ascii="Arial" w:cs="Arial" w:eastAsia="Arial" w:hAnsi="Arial"/>
                <w:sz w:val="10"/>
                <w:szCs w:val="10"/>
                <w:color w:val="auto"/>
              </w:rPr>
              <w:t>(2)(3)</w:t>
            </w: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rPr>
              <w:t>the plans</w:t>
            </w:r>
            <w:r>
              <w:rPr>
                <w:rFonts w:ascii="Arial" w:cs="Arial" w:eastAsia="Arial" w:hAnsi="Arial"/>
                <w:sz w:val="23"/>
                <w:szCs w:val="23"/>
                <w:color w:val="auto"/>
                <w:vertAlign w:val="superscript"/>
              </w:rPr>
              <w:t>(4)</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January 3, 2016 – January 30, 2016</w:t>
            </w:r>
          </w:p>
        </w:tc>
        <w:tc>
          <w:tcPr>
            <w:tcW w:w="2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612.7</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60.17</w:t>
            </w:r>
          </w:p>
        </w:tc>
        <w:tc>
          <w:tcPr>
            <w:tcW w:w="24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612.7</w:t>
            </w: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January 31, 2016 – February 27, 2016</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495.4</w:t>
            </w:r>
          </w:p>
        </w:tc>
        <w:tc>
          <w:tcPr>
            <w:tcW w:w="58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62.38</w:t>
            </w:r>
          </w:p>
        </w:tc>
        <w:tc>
          <w:tcPr>
            <w:tcW w:w="2400" w:type="dxa"/>
            <w:vAlign w:val="bottom"/>
          </w:tcPr>
          <w:p>
            <w:pPr>
              <w:jc w:val="right"/>
              <w:ind w:right="215"/>
              <w:spacing w:after="0"/>
              <w:rPr>
                <w:sz w:val="20"/>
                <w:szCs w:val="20"/>
                <w:color w:val="auto"/>
              </w:rPr>
            </w:pPr>
            <w:r>
              <w:rPr>
                <w:rFonts w:ascii="Arial" w:cs="Arial" w:eastAsia="Arial" w:hAnsi="Arial"/>
                <w:sz w:val="18"/>
                <w:szCs w:val="18"/>
                <w:color w:val="auto"/>
              </w:rPr>
              <w:t>495.4</w:t>
            </w: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2015 – April 2, 2016</w:t>
            </w:r>
          </w:p>
        </w:tc>
        <w:tc>
          <w:tcPr>
            <w:tcW w:w="2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404.6</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68.85</w:t>
            </w:r>
          </w:p>
        </w:tc>
        <w:tc>
          <w:tcPr>
            <w:tcW w:w="2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404.6</w:t>
            </w:r>
          </w:p>
        </w:tc>
        <w:tc>
          <w:tcPr>
            <w:tcW w:w="5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r>
      <w:tr>
        <w:trPr>
          <w:trHeight w:val="200"/>
        </w:trPr>
        <w:tc>
          <w:tcPr>
            <w:tcW w:w="3340" w:type="dxa"/>
            <w:vAlign w:val="bottom"/>
          </w:tcPr>
          <w:p>
            <w:pPr>
              <w:spacing w:after="0" w:line="200" w:lineRule="exact"/>
              <w:rPr>
                <w:sz w:val="20"/>
                <w:szCs w:val="20"/>
                <w:color w:val="auto"/>
              </w:rPr>
            </w:pPr>
            <w:r>
              <w:rPr>
                <w:rFonts w:ascii="Arial" w:cs="Arial" w:eastAsia="Arial" w:hAnsi="Arial"/>
                <w:sz w:val="18"/>
                <w:szCs w:val="18"/>
                <w:color w:val="auto"/>
              </w:rPr>
              <w:t>Total</w:t>
            </w:r>
          </w:p>
        </w:tc>
        <w:tc>
          <w:tcPr>
            <w:tcW w:w="2000" w:type="dxa"/>
            <w:vAlign w:val="bottom"/>
          </w:tcPr>
          <w:p>
            <w:pPr>
              <w:jc w:val="right"/>
              <w:ind w:right="210"/>
              <w:spacing w:after="0" w:line="200" w:lineRule="exact"/>
              <w:rPr>
                <w:sz w:val="20"/>
                <w:szCs w:val="20"/>
                <w:color w:val="auto"/>
              </w:rPr>
            </w:pPr>
            <w:r>
              <w:rPr>
                <w:rFonts w:ascii="Arial" w:cs="Arial" w:eastAsia="Arial" w:hAnsi="Arial"/>
                <w:sz w:val="18"/>
                <w:szCs w:val="18"/>
                <w:color w:val="auto"/>
              </w:rPr>
              <w:t>1,512.7</w:t>
            </w:r>
          </w:p>
        </w:tc>
        <w:tc>
          <w:tcPr>
            <w:tcW w:w="580" w:type="dxa"/>
            <w:vAlign w:val="bottom"/>
          </w:tcPr>
          <w:p>
            <w:pPr>
              <w:jc w:val="right"/>
              <w:ind w:right="5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line="200" w:lineRule="exact"/>
              <w:rPr>
                <w:sz w:val="20"/>
                <w:szCs w:val="20"/>
                <w:color w:val="auto"/>
              </w:rPr>
            </w:pPr>
            <w:r>
              <w:rPr>
                <w:rFonts w:ascii="Arial" w:cs="Arial" w:eastAsia="Arial" w:hAnsi="Arial"/>
                <w:sz w:val="18"/>
                <w:szCs w:val="18"/>
                <w:color w:val="auto"/>
              </w:rPr>
              <w:t>63.22</w:t>
            </w:r>
          </w:p>
        </w:tc>
        <w:tc>
          <w:tcPr>
            <w:tcW w:w="2400" w:type="dxa"/>
            <w:vAlign w:val="bottom"/>
          </w:tcPr>
          <w:p>
            <w:pPr>
              <w:jc w:val="right"/>
              <w:ind w:right="215"/>
              <w:spacing w:after="0" w:line="200" w:lineRule="exact"/>
              <w:rPr>
                <w:sz w:val="20"/>
                <w:szCs w:val="20"/>
                <w:color w:val="auto"/>
              </w:rPr>
            </w:pPr>
            <w:r>
              <w:rPr>
                <w:rFonts w:ascii="Arial" w:cs="Arial" w:eastAsia="Arial" w:hAnsi="Arial"/>
                <w:sz w:val="18"/>
                <w:szCs w:val="18"/>
                <w:color w:val="auto"/>
              </w:rPr>
              <w:t>1,512.7</w:t>
            </w:r>
          </w:p>
        </w:tc>
        <w:tc>
          <w:tcPr>
            <w:tcW w:w="520" w:type="dxa"/>
            <w:vAlign w:val="bottom"/>
          </w:tcPr>
          <w:p>
            <w:pPr>
              <w:jc w:val="right"/>
              <w:ind w:right="30"/>
              <w:spacing w:after="0" w:line="200"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line="200" w:lineRule="exact"/>
              <w:rPr>
                <w:sz w:val="20"/>
                <w:szCs w:val="20"/>
                <w:color w:val="auto"/>
              </w:rPr>
            </w:pPr>
            <w:r>
              <w:rPr>
                <w:rFonts w:ascii="Arial" w:cs="Arial" w:eastAsia="Arial" w:hAnsi="Arial"/>
                <w:sz w:val="18"/>
                <w:szCs w:val="18"/>
                <w:color w:val="auto"/>
              </w:rPr>
              <w:t>271.6</w:t>
            </w:r>
          </w:p>
        </w:tc>
      </w:tr>
    </w:tbl>
    <w:p>
      <w:pPr>
        <w:spacing w:after="0" w:line="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periods shown are our fiscal periods during the thirteen-week quarter ended April 2, 2016.</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Shares in thousands.</w:t>
      </w:r>
    </w:p>
    <w:p>
      <w:pPr>
        <w:spacing w:after="0" w:line="2" w:lineRule="exact"/>
        <w:rPr>
          <w:rFonts w:ascii="Arial" w:cs="Arial" w:eastAsia="Arial" w:hAnsi="Arial"/>
          <w:sz w:val="23"/>
          <w:szCs w:val="23"/>
          <w:color w:val="auto"/>
          <w:vertAlign w:val="superscript"/>
        </w:rPr>
      </w:pPr>
    </w:p>
    <w:p>
      <w:pPr>
        <w:jc w:val="both"/>
        <w:ind w:left="320" w:hanging="312"/>
        <w:spacing w:after="0" w:line="246"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December 4, 2014, our Board of Directors authorized the repurchase of shares of our common stock in the aggregate amount of up to $500 million (exclusive of any fees, commissions or other expenses related to such purchases), in addition to any outstanding shares authorized under any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903" w:orient="portrait"/>
          <w:cols w:equalWidth="0" w:num="1">
            <w:col w:w="11420"/>
          </w:cols>
          <w:pgMar w:left="240" w:top="121" w:right="239" w:bottom="0" w:gutter="0" w:footer="0" w:header="0"/>
        </w:sectPr>
      </w:pPr>
    </w:p>
    <w:bookmarkStart w:id="21" w:name="page22"/>
    <w:bookmarkEnd w:id="21"/>
    <w:p>
      <w:pPr>
        <w:ind w:left="320"/>
        <w:spacing w:after="0" w:line="229" w:lineRule="auto"/>
        <w:rPr>
          <w:sz w:val="20"/>
          <w:szCs w:val="20"/>
          <w:color w:val="auto"/>
        </w:rPr>
      </w:pPr>
      <w:r>
        <w:rPr>
          <w:rFonts w:ascii="Arial" w:cs="Arial" w:eastAsia="Arial" w:hAnsi="Arial"/>
          <w:sz w:val="18"/>
          <w:szCs w:val="18"/>
          <w:color w:val="auto"/>
        </w:rPr>
        <w:t>Board authorization. This is the only authorization currently in effect and it will remain in effect until the shares authorized thereby have been repurchased.</w:t>
      </w:r>
    </w:p>
    <w:p>
      <w:pPr>
        <w:spacing w:after="0" w:line="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Dollars in millions.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may be reissued under our stock option and incentive plan or used for other corporate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Exhibit 10.1*</w:t>
      </w:r>
      <w:r>
        <w:rPr>
          <w:rFonts w:ascii="Arial" w:cs="Arial" w:eastAsia="Arial" w:hAnsi="Arial"/>
          <w:sz w:val="16"/>
          <w:szCs w:val="16"/>
          <w:color w:val="auto"/>
        </w:rPr>
        <w:t>†</w:t>
      </w:r>
      <w:r>
        <w:rPr>
          <w:rFonts w:ascii="Arial" w:cs="Arial" w:eastAsia="Arial" w:hAnsi="Arial"/>
          <w:sz w:val="17"/>
          <w:szCs w:val="17"/>
          <w:color w:val="auto"/>
        </w:rPr>
        <w:t xml:space="preserve"> Exhibit 10.2*</w:t>
      </w:r>
      <w:r>
        <w:rPr>
          <w:rFonts w:ascii="Arial" w:cs="Arial" w:eastAsia="Arial" w:hAnsi="Arial"/>
          <w:sz w:val="16"/>
          <w:szCs w:val="16"/>
          <w:color w:val="auto"/>
        </w:rPr>
        <w:t>†</w:t>
      </w:r>
      <w:r>
        <w:rPr>
          <w:rFonts w:ascii="Arial" w:cs="Arial" w:eastAsia="Arial" w:hAnsi="Arial"/>
          <w:sz w:val="17"/>
          <w:szCs w:val="17"/>
          <w:color w:val="auto"/>
        </w:rPr>
        <w:t xml:space="preserve"> Exhibit 12* Exhibit 31.1* Exhibit 31.2* Exhibit 32.1** Exhibit 32.2** Exhibit 101.INS Exhibit 101.SCH Exhibit 101.CAL Exhibit 101.LAB Exhibit 101.PRE Exhibit 101.DEF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Offer Letter to Dean A. Scarborough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Offer Letter to Mitchell R. Butier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Definition Linkbase Document</w:t>
      </w:r>
    </w:p>
    <w:p>
      <w:pPr>
        <w:spacing w:after="0" w:line="211" w:lineRule="exact"/>
        <w:rPr>
          <w:sz w:val="20"/>
          <w:szCs w:val="20"/>
          <w:color w:val="auto"/>
        </w:rPr>
      </w:pPr>
    </w:p>
    <w:p>
      <w:pPr>
        <w:sectPr>
          <w:pgSz w:w="11900" w:h="16838" w:orient="portrait"/>
          <w:cols w:equalWidth="0" w:num="2">
            <w:col w:w="1260" w:space="680"/>
            <w:col w:w="948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11240" w:hanging="11232"/>
        <w:spacing w:after="0" w:line="422" w:lineRule="auto"/>
        <w:tabs>
          <w:tab w:leader="none" w:pos="2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as an exhibit to this Form 10-Q pursuant to Part II, Item 6 of Form 10-Q.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Lori J. Bondar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Controller,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420"/>
          </w:cols>
          <w:pgMar w:left="240" w:top="125" w:right="239" w:bottom="0" w:gutter="0" w:footer="0" w:header="0"/>
          <w:type w:val="continuous"/>
        </w:sectPr>
      </w:pPr>
    </w:p>
    <w:bookmarkStart w:id="22" w:name="page23"/>
    <w:bookmarkEnd w:id="22"/>
    <w:p>
      <w:pPr>
        <w:ind w:left="46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May 3, 2016</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 w:name="page24"/>
    <w:bookmarkEnd w:id="23"/>
    <w:p>
      <w:pPr>
        <w:ind w:left="1032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161925</wp:posOffset>
            </wp:positionV>
            <wp:extent cx="118364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836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color w:val="auto"/>
              </w:rPr>
              <w:t>February 25, 2016</w:t>
            </w:r>
          </w:p>
        </w:tc>
        <w:tc>
          <w:tcPr>
            <w:tcW w:w="5500" w:type="dxa"/>
            <w:vAlign w:val="bottom"/>
          </w:tcPr>
          <w:p>
            <w:pPr>
              <w:ind w:left="3800"/>
              <w:spacing w:after="0"/>
              <w:rPr>
                <w:sz w:val="20"/>
                <w:szCs w:val="20"/>
                <w:color w:val="auto"/>
              </w:rPr>
            </w:pPr>
            <w:r>
              <w:rPr>
                <w:rFonts w:ascii="Arial" w:cs="Arial" w:eastAsia="Arial" w:hAnsi="Arial"/>
                <w:sz w:val="14"/>
                <w:szCs w:val="14"/>
                <w:color w:val="auto"/>
              </w:rPr>
              <w:t>207 N Goode Ave Ste 500</w:t>
            </w:r>
          </w:p>
        </w:tc>
      </w:tr>
      <w:tr>
        <w:trPr>
          <w:trHeight w:val="153"/>
        </w:trPr>
        <w:tc>
          <w:tcPr>
            <w:tcW w:w="5280" w:type="dxa"/>
            <w:vAlign w:val="bottom"/>
          </w:tcPr>
          <w:p>
            <w:pPr>
              <w:spacing w:after="0"/>
              <w:rPr>
                <w:sz w:val="13"/>
                <w:szCs w:val="13"/>
                <w:color w:val="auto"/>
              </w:rPr>
            </w:pPr>
          </w:p>
        </w:tc>
        <w:tc>
          <w:tcPr>
            <w:tcW w:w="5500" w:type="dxa"/>
            <w:vAlign w:val="bottom"/>
          </w:tcPr>
          <w:p>
            <w:pPr>
              <w:ind w:left="3800"/>
              <w:spacing w:after="0" w:line="153" w:lineRule="exact"/>
              <w:rPr>
                <w:sz w:val="20"/>
                <w:szCs w:val="20"/>
                <w:color w:val="auto"/>
              </w:rPr>
            </w:pPr>
            <w:r>
              <w:rPr>
                <w:rFonts w:ascii="Arial" w:cs="Arial" w:eastAsia="Arial" w:hAnsi="Arial"/>
                <w:sz w:val="14"/>
                <w:szCs w:val="14"/>
                <w:color w:val="auto"/>
              </w:rPr>
              <w:t>Glendale, California 92103</w:t>
            </w:r>
          </w:p>
        </w:tc>
      </w:tr>
      <w:tr>
        <w:trPr>
          <w:trHeight w:val="162"/>
        </w:trPr>
        <w:tc>
          <w:tcPr>
            <w:tcW w:w="5280" w:type="dxa"/>
            <w:vAlign w:val="bottom"/>
          </w:tcPr>
          <w:p>
            <w:pPr>
              <w:spacing w:after="0"/>
              <w:rPr>
                <w:sz w:val="14"/>
                <w:szCs w:val="14"/>
                <w:color w:val="auto"/>
              </w:rPr>
            </w:pPr>
          </w:p>
        </w:tc>
        <w:tc>
          <w:tcPr>
            <w:tcW w:w="5500" w:type="dxa"/>
            <w:vAlign w:val="bottom"/>
          </w:tcPr>
          <w:p>
            <w:pPr>
              <w:ind w:left="3800"/>
              <w:spacing w:after="0"/>
              <w:rPr>
                <w:sz w:val="20"/>
                <w:szCs w:val="20"/>
                <w:color w:val="auto"/>
              </w:rPr>
            </w:pPr>
            <w:r>
              <w:rPr>
                <w:rFonts w:ascii="Arial" w:cs="Arial" w:eastAsia="Arial" w:hAnsi="Arial"/>
                <w:sz w:val="14"/>
                <w:szCs w:val="14"/>
                <w:color w:val="auto"/>
              </w:rPr>
              <w:t>Phone 626 304-2000</w:t>
            </w:r>
          </w:p>
        </w:tc>
      </w:tr>
      <w:tr>
        <w:trPr>
          <w:trHeight w:val="172"/>
        </w:trPr>
        <w:tc>
          <w:tcPr>
            <w:tcW w:w="5280" w:type="dxa"/>
            <w:vAlign w:val="bottom"/>
          </w:tcPr>
          <w:p>
            <w:pPr>
              <w:spacing w:after="0"/>
              <w:rPr>
                <w:sz w:val="14"/>
                <w:szCs w:val="14"/>
                <w:color w:val="auto"/>
              </w:rPr>
            </w:pPr>
          </w:p>
        </w:tc>
        <w:tc>
          <w:tcPr>
            <w:tcW w:w="5500" w:type="dxa"/>
            <w:vAlign w:val="bottom"/>
          </w:tcPr>
          <w:p>
            <w:pPr>
              <w:ind w:left="3800"/>
              <w:spacing w:after="0"/>
              <w:rPr>
                <w:sz w:val="20"/>
                <w:szCs w:val="20"/>
                <w:color w:val="auto"/>
              </w:rPr>
            </w:pPr>
            <w:r>
              <w:rPr>
                <w:rFonts w:ascii="Arial" w:cs="Arial" w:eastAsia="Arial" w:hAnsi="Arial"/>
                <w:sz w:val="14"/>
                <w:szCs w:val="14"/>
                <w:color w:val="auto"/>
              </w:rPr>
              <w:t>Fax 626 792-7312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Dean Scarborough</w:t>
      </w:r>
    </w:p>
    <w:p>
      <w:pPr>
        <w:spacing w:after="0" w:line="225" w:lineRule="auto"/>
        <w:rPr>
          <w:sz w:val="20"/>
          <w:szCs w:val="20"/>
          <w:color w:val="auto"/>
        </w:rPr>
      </w:pPr>
      <w:r>
        <w:rPr>
          <w:rFonts w:ascii="Arial" w:cs="Arial" w:eastAsia="Arial" w:hAnsi="Arial"/>
          <w:sz w:val="20"/>
          <w:szCs w:val="20"/>
          <w:color w:val="auto"/>
        </w:rPr>
        <w:t>[Address]</w:t>
      </w:r>
    </w:p>
    <w:p>
      <w:pPr>
        <w:spacing w:after="0" w:line="225" w:lineRule="auto"/>
        <w:rPr>
          <w:sz w:val="20"/>
          <w:szCs w:val="20"/>
          <w:color w:val="auto"/>
        </w:rPr>
      </w:pPr>
      <w:r>
        <w:rPr>
          <w:rFonts w:ascii="Arial" w:cs="Arial" w:eastAsia="Arial" w:hAnsi="Arial"/>
          <w:sz w:val="20"/>
          <w:szCs w:val="20"/>
          <w:color w:val="auto"/>
        </w:rPr>
        <w:t>[Address]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Dean:</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Board of Directors and I are pleased to confirm the details of your new position of Executive Chairman of the Board, effective May 1, 2016, subject to your election by the Company’s stockholders at the 2016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Specific details of this offer are as follows:</w:t>
      </w:r>
    </w:p>
    <w:p>
      <w:pPr>
        <w:spacing w:after="0" w:line="192"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As of May 1, 2016, your new annualized rate of pay will be $875,000, paid semi-monthly. As of January 1, 2017,</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you remain employed at that time, your new annualized rate of pay will be $230,000, paid semi-monthly.</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AIP Award: </w:t>
      </w:r>
      <w:r>
        <w:rPr>
          <w:rFonts w:ascii="Arial" w:cs="Arial" w:eastAsia="Arial" w:hAnsi="Arial"/>
          <w:sz w:val="20"/>
          <w:szCs w:val="20"/>
          <w:color w:val="auto"/>
        </w:rPr>
        <w:t>You will continue to be eligible to be considered under Avery Dennison’s Annual Incentive Plan (“AIP”) to participate</w:t>
      </w:r>
      <w:r>
        <w:rPr>
          <w:rFonts w:ascii="Arial" w:cs="Arial" w:eastAsia="Arial" w:hAnsi="Arial"/>
          <w:sz w:val="20"/>
          <w:szCs w:val="20"/>
          <w:b w:val="1"/>
          <w:bCs w:val="1"/>
          <w:color w:val="auto"/>
        </w:rPr>
        <w:t xml:space="preserve"> </w:t>
      </w:r>
      <w:r>
        <w:rPr>
          <w:rFonts w:ascii="Arial" w:cs="Arial" w:eastAsia="Arial" w:hAnsi="Arial"/>
          <w:sz w:val="20"/>
          <w:szCs w:val="20"/>
          <w:color w:val="auto"/>
        </w:rPr>
        <w:t>at a 100% of base salary opportunity level. This new AIP award will be applied on a pro-rated basis effective May 1, 2016, subject to applicable withholdings. The first portion of your 2016 AIP award (January – April) will be based on the 125% opportunity associated with your current role. You will no longer be eligible to participate in the AIP after the 2016 fiscal year.</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Long-Term Incentive (LTI): </w:t>
      </w:r>
      <w:r>
        <w:rPr>
          <w:rFonts w:ascii="Arial" w:cs="Arial" w:eastAsia="Arial" w:hAnsi="Arial"/>
          <w:sz w:val="20"/>
          <w:szCs w:val="20"/>
          <w:color w:val="auto"/>
        </w:rPr>
        <w:t>Under the Company’s executive incentive compensation program you will be eligible to be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for an annual long-term incentive award with a value opportunity equivalent to approximately 300% of your base salary effective with the 2016 grant on February 25. This long-term incentive award will be delivered via a mix of Performance Units and Market-Leveraged Stock Units. After the 2016 fiscal year, you will only be eligible to receive an annual LTI grant with a target value of $140,000, delivered via Restricted Stock Units (RSUs), consistent with the annual grant made to non-employee directors. All plan provisions will be followed for both the 2016 and 2017 LTI grant.</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Executive Benefits: </w:t>
      </w:r>
      <w:r>
        <w:rPr>
          <w:rFonts w:ascii="Arial" w:cs="Arial" w:eastAsia="Arial" w:hAnsi="Arial"/>
          <w:sz w:val="20"/>
          <w:szCs w:val="20"/>
          <w:color w:val="auto"/>
        </w:rPr>
        <w:t>Your current Executive Benefits will cease as of May 1, 2016. These benefits include the Executive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Allowance, Annual Executive Physical, Executive Long-Term Disability (LTD) Plan, and Executive Supplemental Life Insurance. In addition, you will no longer be covered by the Company’s Executive Severance Plan and Key Executive Change of Control Plan. The Financial Counseling and Tax Preparation benefit, up to $25,000/year, will be provided to you, while serving as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You will continue to be entitled to the benefits generally available to Company employees in accordance with applicable plan provisions.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 on your new role.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Please sign and date this offer letter below and return it to Anne Hill.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917575" cy="608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75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David Pyott</w:t>
      </w:r>
    </w:p>
    <w:p>
      <w:pPr>
        <w:spacing w:after="0"/>
        <w:rPr>
          <w:sz w:val="20"/>
          <w:szCs w:val="20"/>
          <w:color w:val="auto"/>
        </w:rPr>
      </w:pPr>
      <w:r>
        <w:rPr>
          <w:rFonts w:ascii="Arial" w:cs="Arial" w:eastAsia="Arial" w:hAnsi="Arial"/>
          <w:sz w:val="20"/>
          <w:szCs w:val="20"/>
          <w:color w:val="auto"/>
        </w:rPr>
        <w:t>Compensation and Executive Personnel Committee Chair</w:t>
      </w:r>
    </w:p>
    <w:p>
      <w:pPr>
        <w:spacing w:after="0" w:line="216" w:lineRule="exact"/>
        <w:rPr>
          <w:sz w:val="20"/>
          <w:szCs w:val="20"/>
          <w:color w:val="auto"/>
        </w:rPr>
      </w:pPr>
    </w:p>
    <w:p>
      <w:pPr>
        <w:ind w:left="660" w:right="9320" w:hanging="652"/>
        <w:spacing w:after="0" w:line="257" w:lineRule="auto"/>
        <w:tabs>
          <w:tab w:leader="none" w:pos="685"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Anne Hill LeeAnn Prussak</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8890</wp:posOffset>
            </wp:positionV>
            <wp:extent cx="23412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8890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779" w:gutter="0" w:footer="0" w:header="0"/>
        </w:sectPr>
      </w:pPr>
    </w:p>
    <w:bookmarkStart w:id="24" w:name="page25"/>
    <w:bookmarkEnd w:id="24"/>
    <w:p>
      <w:pPr>
        <w:ind w:left="1032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153670</wp:posOffset>
            </wp:positionV>
            <wp:extent cx="118364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836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color w:val="auto"/>
              </w:rPr>
              <w:t>February 25, 2016</w:t>
            </w:r>
          </w:p>
        </w:tc>
        <w:tc>
          <w:tcPr>
            <w:tcW w:w="5200" w:type="dxa"/>
            <w:vAlign w:val="bottom"/>
          </w:tcPr>
          <w:p>
            <w:pPr>
              <w:ind w:left="3500"/>
              <w:spacing w:after="0"/>
              <w:rPr>
                <w:sz w:val="20"/>
                <w:szCs w:val="20"/>
                <w:color w:val="auto"/>
              </w:rPr>
            </w:pPr>
            <w:r>
              <w:rPr>
                <w:rFonts w:ascii="Arial" w:cs="Arial" w:eastAsia="Arial" w:hAnsi="Arial"/>
                <w:sz w:val="14"/>
                <w:szCs w:val="14"/>
                <w:color w:val="auto"/>
              </w:rPr>
              <w:t>207 N Goode Ave Ste 500</w:t>
            </w:r>
          </w:p>
        </w:tc>
      </w:tr>
      <w:tr>
        <w:trPr>
          <w:trHeight w:val="153"/>
        </w:trPr>
        <w:tc>
          <w:tcPr>
            <w:tcW w:w="5000" w:type="dxa"/>
            <w:vAlign w:val="bottom"/>
          </w:tcPr>
          <w:p>
            <w:pPr>
              <w:spacing w:after="0"/>
              <w:rPr>
                <w:sz w:val="13"/>
                <w:szCs w:val="13"/>
                <w:color w:val="auto"/>
              </w:rPr>
            </w:pPr>
          </w:p>
        </w:tc>
        <w:tc>
          <w:tcPr>
            <w:tcW w:w="5200" w:type="dxa"/>
            <w:vAlign w:val="bottom"/>
          </w:tcPr>
          <w:p>
            <w:pPr>
              <w:ind w:left="3500"/>
              <w:spacing w:after="0" w:line="153" w:lineRule="exact"/>
              <w:rPr>
                <w:sz w:val="20"/>
                <w:szCs w:val="20"/>
                <w:color w:val="auto"/>
              </w:rPr>
            </w:pPr>
            <w:r>
              <w:rPr>
                <w:rFonts w:ascii="Arial" w:cs="Arial" w:eastAsia="Arial" w:hAnsi="Arial"/>
                <w:sz w:val="14"/>
                <w:szCs w:val="14"/>
                <w:color w:val="auto"/>
              </w:rPr>
              <w:t>Glendale, California 92103</w:t>
            </w:r>
          </w:p>
        </w:tc>
      </w:tr>
      <w:tr>
        <w:trPr>
          <w:trHeight w:val="162"/>
        </w:trPr>
        <w:tc>
          <w:tcPr>
            <w:tcW w:w="5000" w:type="dxa"/>
            <w:vAlign w:val="bottom"/>
          </w:tcPr>
          <w:p>
            <w:pPr>
              <w:spacing w:after="0"/>
              <w:rPr>
                <w:sz w:val="14"/>
                <w:szCs w:val="14"/>
                <w:color w:val="auto"/>
              </w:rPr>
            </w:pPr>
          </w:p>
        </w:tc>
        <w:tc>
          <w:tcPr>
            <w:tcW w:w="5200" w:type="dxa"/>
            <w:vAlign w:val="bottom"/>
          </w:tcPr>
          <w:p>
            <w:pPr>
              <w:ind w:left="3500"/>
              <w:spacing w:after="0"/>
              <w:rPr>
                <w:sz w:val="20"/>
                <w:szCs w:val="20"/>
                <w:color w:val="auto"/>
              </w:rPr>
            </w:pPr>
            <w:r>
              <w:rPr>
                <w:rFonts w:ascii="Arial" w:cs="Arial" w:eastAsia="Arial" w:hAnsi="Arial"/>
                <w:sz w:val="14"/>
                <w:szCs w:val="14"/>
                <w:color w:val="auto"/>
              </w:rPr>
              <w:t>Phone 626 304-2000</w:t>
            </w:r>
          </w:p>
        </w:tc>
      </w:tr>
      <w:tr>
        <w:trPr>
          <w:trHeight w:val="172"/>
        </w:trPr>
        <w:tc>
          <w:tcPr>
            <w:tcW w:w="5000" w:type="dxa"/>
            <w:vAlign w:val="bottom"/>
          </w:tcPr>
          <w:p>
            <w:pPr>
              <w:spacing w:after="0"/>
              <w:rPr>
                <w:sz w:val="14"/>
                <w:szCs w:val="14"/>
                <w:color w:val="auto"/>
              </w:rPr>
            </w:pPr>
          </w:p>
        </w:tc>
        <w:tc>
          <w:tcPr>
            <w:tcW w:w="5200" w:type="dxa"/>
            <w:vAlign w:val="bottom"/>
          </w:tcPr>
          <w:p>
            <w:pPr>
              <w:ind w:left="3500"/>
              <w:spacing w:after="0"/>
              <w:rPr>
                <w:sz w:val="20"/>
                <w:szCs w:val="20"/>
                <w:color w:val="auto"/>
              </w:rPr>
            </w:pPr>
            <w:r>
              <w:rPr>
                <w:rFonts w:ascii="Arial" w:cs="Arial" w:eastAsia="Arial" w:hAnsi="Arial"/>
                <w:sz w:val="14"/>
                <w:szCs w:val="14"/>
                <w:color w:val="auto"/>
              </w:rPr>
              <w:t>Fax 626 792-7312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Mitch Butier</w:t>
      </w:r>
    </w:p>
    <w:p>
      <w:pPr>
        <w:spacing w:after="0" w:line="225" w:lineRule="auto"/>
        <w:rPr>
          <w:sz w:val="20"/>
          <w:szCs w:val="20"/>
          <w:color w:val="auto"/>
        </w:rPr>
      </w:pPr>
      <w:r>
        <w:rPr>
          <w:rFonts w:ascii="Arial" w:cs="Arial" w:eastAsia="Arial" w:hAnsi="Arial"/>
          <w:sz w:val="20"/>
          <w:szCs w:val="20"/>
          <w:color w:val="auto"/>
        </w:rPr>
        <w:t>[Address]</w:t>
      </w:r>
    </w:p>
    <w:p>
      <w:pPr>
        <w:spacing w:after="0"/>
        <w:rPr>
          <w:sz w:val="20"/>
          <w:szCs w:val="20"/>
          <w:color w:val="auto"/>
        </w:rPr>
      </w:pPr>
      <w:r>
        <w:rPr>
          <w:rFonts w:ascii="Arial" w:cs="Arial" w:eastAsia="Arial" w:hAnsi="Arial"/>
          <w:sz w:val="20"/>
          <w:szCs w:val="20"/>
          <w:color w:val="auto"/>
        </w:rPr>
        <w:t>[Address]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Mitch:</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Board of Directors and I are very pleased to offer you the position of President and Chief Executive Officer. This is an Executive Level 1 position and will be effective May 1, 2016.</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specific details of this offer are as follows: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Your annualized rate of pay will be</w:t>
      </w:r>
      <w:r>
        <w:rPr>
          <w:rFonts w:ascii="Arial" w:cs="Arial" w:eastAsia="Arial" w:hAnsi="Arial"/>
          <w:sz w:val="20"/>
          <w:szCs w:val="20"/>
          <w:b w:val="1"/>
          <w:bCs w:val="1"/>
          <w:color w:val="auto"/>
        </w:rPr>
        <w:t xml:space="preserve"> $1,100,000 </w:t>
      </w:r>
      <w:r>
        <w:rPr>
          <w:rFonts w:ascii="Arial" w:cs="Arial" w:eastAsia="Arial" w:hAnsi="Arial"/>
          <w:sz w:val="20"/>
          <w:szCs w:val="20"/>
          <w:color w:val="auto"/>
        </w:rPr>
        <w:t>effective May 1, 2016, paid semi-monthly. Your next salary review</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April 1, 2017. Subsequent salary reviews will be conducted by the Compensation Committee, and any resulting changes made effective on April 1</w:t>
      </w:r>
      <w:r>
        <w:rPr>
          <w:rFonts w:ascii="Arial" w:cs="Arial" w:eastAsia="Arial" w:hAnsi="Arial"/>
          <w:sz w:val="20"/>
          <w:szCs w:val="20"/>
          <w:color w:val="auto"/>
          <w:vertAlign w:val="superscript"/>
        </w:rPr>
        <w:t>st</w:t>
      </w:r>
      <w:r>
        <w:rPr>
          <w:rFonts w:ascii="Arial" w:cs="Arial" w:eastAsia="Arial" w:hAnsi="Arial"/>
          <w:sz w:val="20"/>
          <w:szCs w:val="20"/>
          <w:color w:val="auto"/>
        </w:rPr>
        <w:t xml:space="preserve"> of each year, or on another date designated by the Company for a given year.</w:t>
      </w:r>
    </w:p>
    <w:p>
      <w:pPr>
        <w:spacing w:after="0" w:line="15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AIP Award: </w:t>
      </w:r>
      <w:r>
        <w:rPr>
          <w:rFonts w:ascii="Arial" w:cs="Arial" w:eastAsia="Arial" w:hAnsi="Arial"/>
          <w:sz w:val="20"/>
          <w:szCs w:val="20"/>
          <w:color w:val="auto"/>
        </w:rPr>
        <w:t>You will continue to be eligible to be considered under Avery Dennison’s Annual Incentive Plan (“AIP”) to participate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 a </w:t>
      </w:r>
      <w:r>
        <w:rPr>
          <w:rFonts w:ascii="Arial" w:cs="Arial" w:eastAsia="Arial" w:hAnsi="Arial"/>
          <w:sz w:val="20"/>
          <w:szCs w:val="20"/>
          <w:b w:val="1"/>
          <w:bCs w:val="1"/>
          <w:color w:val="auto"/>
        </w:rPr>
        <w:t>125%</w:t>
      </w:r>
      <w:r>
        <w:rPr>
          <w:rFonts w:ascii="Arial" w:cs="Arial" w:eastAsia="Arial" w:hAnsi="Arial"/>
          <w:sz w:val="20"/>
          <w:szCs w:val="20"/>
          <w:color w:val="auto"/>
        </w:rPr>
        <w:t xml:space="preserve"> of base salary opportunity level. This new AIP opportunity will be applied on a pro-rated basis effective May 1, 2016, subject to applicable withholdings. The first portion of your 2016 AIP award (January – April) will be based on the 90% opportunity associated with your current role The AIP, including eligibility criteria, may change at any time, with or without notice, in accordance with applicable law or, if permissible under the law, at the discretion of the Company.</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Long-Term Incentive (LTI): </w:t>
      </w:r>
      <w:r>
        <w:rPr>
          <w:rFonts w:ascii="Arial" w:cs="Arial" w:eastAsia="Arial" w:hAnsi="Arial"/>
          <w:sz w:val="20"/>
          <w:szCs w:val="20"/>
          <w:color w:val="auto"/>
        </w:rPr>
        <w:t>Under the Company’s executive incentive compensation program you will be eligible to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considered for an annual long-term incentive award with a value opportunity equivalent to approximately </w:t>
      </w:r>
      <w:r>
        <w:rPr>
          <w:rFonts w:ascii="Arial" w:cs="Arial" w:eastAsia="Arial" w:hAnsi="Arial"/>
          <w:sz w:val="20"/>
          <w:szCs w:val="20"/>
          <w:b w:val="1"/>
          <w:bCs w:val="1"/>
          <w:color w:val="auto"/>
        </w:rPr>
        <w:t>400%</w:t>
      </w:r>
      <w:r>
        <w:rPr>
          <w:rFonts w:ascii="Arial" w:cs="Arial" w:eastAsia="Arial" w:hAnsi="Arial"/>
          <w:sz w:val="20"/>
          <w:szCs w:val="20"/>
          <w:color w:val="auto"/>
        </w:rPr>
        <w:t xml:space="preserve"> of your base salary effective with the 2016 grant on February 25. This long-term incentive award will be delivered via a mix of Performance Units and Market-Leveraged Stock Units. The long term incentive program, including eligibility criteria, may be amended, suspended or terminated at any time, with or without notice, in accordance with applicable law and the applicable plan terms.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Special Grant</w:t>
      </w:r>
      <w:r>
        <w:rPr>
          <w:rFonts w:ascii="Arial" w:cs="Arial" w:eastAsia="Arial" w:hAnsi="Arial"/>
          <w:sz w:val="20"/>
          <w:szCs w:val="20"/>
          <w:color w:val="auto"/>
        </w:rPr>
        <w:t>: You will be eligible for a one-time grant of stock options, with a grant date fair value of $ 2,000,000.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granted on June 1, 2016 and will vest 50% on each of the third and fourth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Executive Benefits: </w:t>
      </w:r>
      <w:r>
        <w:rPr>
          <w:rFonts w:ascii="Arial" w:cs="Arial" w:eastAsia="Arial" w:hAnsi="Arial"/>
          <w:sz w:val="20"/>
          <w:szCs w:val="20"/>
          <w:color w:val="auto"/>
        </w:rPr>
        <w:t>You will receive an annual executive benefit allowance in the amount of $70,000 effective May 1, which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paid in semi-monthly installments with your normal payroll. You will also be entitled to the benefits generally available to Company employees in accordance with specific plan provisions and any other plans generally offered to Level 1 executives.</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Severance &amp; Change Of Control: </w:t>
      </w:r>
      <w:r>
        <w:rPr>
          <w:rFonts w:ascii="Arial" w:cs="Arial" w:eastAsia="Arial" w:hAnsi="Arial"/>
          <w:sz w:val="20"/>
          <w:szCs w:val="20"/>
          <w:color w:val="auto"/>
        </w:rPr>
        <w:t>As of May 1, 2016, you will be covered by the Company’s Executive Severance Plan, which</w:t>
      </w:r>
      <w:r>
        <w:rPr>
          <w:rFonts w:ascii="Arial" w:cs="Arial" w:eastAsia="Arial" w:hAnsi="Arial"/>
          <w:sz w:val="20"/>
          <w:szCs w:val="20"/>
          <w:b w:val="1"/>
          <w:bCs w:val="1"/>
          <w:color w:val="auto"/>
        </w:rPr>
        <w:t xml:space="preserve"> </w:t>
      </w:r>
      <w:r>
        <w:rPr>
          <w:rFonts w:ascii="Arial" w:cs="Arial" w:eastAsia="Arial" w:hAnsi="Arial"/>
          <w:sz w:val="20"/>
          <w:szCs w:val="20"/>
          <w:color w:val="auto"/>
        </w:rPr>
        <w:t>includes a year’s base salary, the highest AIP bonus payment received within prior three years, and the cash equivalent of twelve months benefit premiums (employee and employer portion), the sum of which are subject to a 2X multiplier, per the plan. In addition, you will be covered under the Company’s Key Executive Change Of Control Plan, which includes a year’s base salary, the highest AIP bonus payment received within prior three years, a prorated AIP bonus for year in which COC occurs, and the cash equivalent of twelve months benefit premiums (employees and employer portion), the sum of which is subject to a 3X multiplier, per the plan. This information provided to you in summary form for your reference only, and all policies, rules and guidelines are subject to the terms and conditions of the applicable plans.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Stock Ownership Requirement: </w:t>
      </w:r>
      <w:r>
        <w:rPr>
          <w:rFonts w:ascii="Arial" w:cs="Arial" w:eastAsia="Arial" w:hAnsi="Arial"/>
          <w:sz w:val="20"/>
          <w:szCs w:val="20"/>
          <w:color w:val="auto"/>
        </w:rPr>
        <w:t>Beginning May 1, 2016 the equity holding requirement for your role will increase from 4X to 5X</w:t>
      </w:r>
      <w:r>
        <w:rPr>
          <w:rFonts w:ascii="Arial" w:cs="Arial" w:eastAsia="Arial" w:hAnsi="Arial"/>
          <w:sz w:val="20"/>
          <w:szCs w:val="20"/>
          <w:b w:val="1"/>
          <w:bCs w:val="1"/>
          <w:color w:val="auto"/>
        </w:rPr>
        <w:t xml:space="preserve"> </w:t>
      </w:r>
      <w:r>
        <w:rPr>
          <w:rFonts w:ascii="Arial" w:cs="Arial" w:eastAsia="Arial" w:hAnsi="Arial"/>
          <w:sz w:val="20"/>
          <w:szCs w:val="20"/>
          <w:color w:val="auto"/>
        </w:rPr>
        <w:t>of your annual base salary, and from 60,000 to 95,000 fixed shares. You must achieve and maintain at least one of these holding thresholds, per the Company’s Stock Ownership Guidelines.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 on your new role.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Please sign and date this offer letter below and return it to Anne Hill.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917575" cy="6089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75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David Pyott</w:t>
      </w:r>
    </w:p>
    <w:p>
      <w:pPr>
        <w:spacing w:after="0"/>
        <w:rPr>
          <w:sz w:val="20"/>
          <w:szCs w:val="20"/>
          <w:color w:val="auto"/>
        </w:rPr>
      </w:pPr>
      <w:r>
        <w:rPr>
          <w:rFonts w:ascii="Arial" w:cs="Arial" w:eastAsia="Arial" w:hAnsi="Arial"/>
          <w:sz w:val="20"/>
          <w:szCs w:val="20"/>
          <w:color w:val="auto"/>
        </w:rPr>
        <w:t>Compensation and Executive Personnel Committee Chair</w:t>
      </w:r>
    </w:p>
    <w:p>
      <w:pPr>
        <w:spacing w:after="0" w:line="202" w:lineRule="exact"/>
        <w:rPr>
          <w:sz w:val="20"/>
          <w:szCs w:val="20"/>
          <w:color w:val="auto"/>
        </w:rPr>
      </w:pPr>
    </w:p>
    <w:p>
      <w:pPr>
        <w:ind w:left="660" w:right="9320" w:hanging="652"/>
        <w:spacing w:after="0" w:line="257" w:lineRule="auto"/>
        <w:tabs>
          <w:tab w:leader="none" w:pos="65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Anne Hill LeeAnn Prussak</w:t>
      </w:r>
    </w:p>
    <w:p>
      <w:pPr>
        <w:sectPr>
          <w:pgSz w:w="11900" w:h="16838" w:orient="portrait"/>
          <w:cols w:equalWidth="0" w:num="1">
            <w:col w:w="11420"/>
          </w:cols>
          <w:pgMar w:left="240" w:top="111" w:right="239" w:bottom="4"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8890</wp:posOffset>
            </wp:positionV>
            <wp:extent cx="25469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8890</wp:posOffset>
            </wp:positionV>
            <wp:extent cx="31984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AVERY DENNISON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5"/>
              </w:rPr>
              <w:t>Three Months Ended</w:t>
            </w:r>
          </w:p>
        </w:tc>
        <w:tc>
          <w:tcPr>
            <w:tcW w:w="660" w:type="dxa"/>
            <w:vAlign w:val="bottom"/>
            <w:tcBorders>
              <w:bottom w:val="single" w:sz="8" w:color="auto"/>
            </w:tcBorders>
          </w:tcPr>
          <w:p>
            <w:pPr>
              <w:spacing w:after="0"/>
              <w:rPr>
                <w:sz w:val="20"/>
                <w:szCs w:val="20"/>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7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April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line="216" w:lineRule="exact"/>
              <w:rPr>
                <w:sz w:val="20"/>
                <w:szCs w:val="20"/>
                <w:color w:val="auto"/>
              </w:rPr>
            </w:pPr>
            <w:r>
              <w:rPr>
                <w:rFonts w:ascii="Arial" w:cs="Arial" w:eastAsia="Arial" w:hAnsi="Arial"/>
                <w:sz w:val="18"/>
                <w:szCs w:val="18"/>
                <w:color w:val="auto"/>
              </w:rPr>
              <w:t>Income before taxes</w:t>
            </w:r>
            <w:r>
              <w:rPr>
                <w:rFonts w:ascii="Arial" w:cs="Arial" w:eastAsia="Arial" w:hAnsi="Arial"/>
                <w:sz w:val="23"/>
                <w:szCs w:val="23"/>
                <w:color w:val="auto"/>
                <w:vertAlign w:val="superscript"/>
              </w:rPr>
              <w:t>(2)</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123.5</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83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Add: Fixed charges</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20.9</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16"/>
        </w:trPr>
        <w:tc>
          <w:tcPr>
            <w:tcW w:w="8300" w:type="dxa"/>
            <w:vAlign w:val="bottom"/>
          </w:tcPr>
          <w:p>
            <w:pPr>
              <w:ind w:left="600"/>
              <w:spacing w:after="0"/>
              <w:rPr>
                <w:sz w:val="20"/>
                <w:szCs w:val="20"/>
                <w:color w:val="auto"/>
              </w:rPr>
            </w:pPr>
            <w:r>
              <w:rPr>
                <w:rFonts w:ascii="Arial" w:cs="Arial" w:eastAsia="Arial" w:hAnsi="Arial"/>
                <w:sz w:val="18"/>
                <w:szCs w:val="18"/>
                <w:color w:val="auto"/>
              </w:rPr>
              <w:t>Amortization of capitalized interest</w:t>
            </w:r>
          </w:p>
        </w:tc>
        <w:tc>
          <w:tcPr>
            <w:tcW w:w="6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8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Capitalized interest</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7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8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145.0</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122.4</w:t>
            </w:r>
          </w:p>
        </w:tc>
      </w:tr>
      <w:tr>
        <w:trPr>
          <w:trHeight w:val="216"/>
        </w:trPr>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Fixed charges:</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8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portion of leases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r>
        <w:trPr>
          <w:trHeight w:val="217"/>
        </w:trPr>
        <w:tc>
          <w:tcPr>
            <w:tcW w:w="8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20.9</w:t>
            </w:r>
          </w:p>
        </w:tc>
        <w:tc>
          <w:tcPr>
            <w:tcW w:w="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23"/>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6.9</w:t>
            </w: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both"/>
        <w:ind w:left="180" w:hanging="172"/>
        <w:spacing w:after="0" w:line="260" w:lineRule="auto"/>
        <w:tabs>
          <w:tab w:leader="none" w:pos="18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ratios of earnings to fixed charges were computed by dividing earnings by fixed charges. For this purpose, “earnings” consist of income before taxes plus fixed charges and amortization of capitalized interest, less capitalized interest. “Fixed charges” consist of interest expense, capitalized interest and the portion of rent expense (estimated to be 35%) on operating leases deemed representative of interest.</w:t>
      </w:r>
    </w:p>
    <w:p>
      <w:pPr>
        <w:spacing w:after="0" w:line="2"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Certain prior period amounts have been revised to reflect the impact of adjustments made in the third quarter of 2015 to certain benefit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40" w:hanging="249"/>
        <w:spacing w:after="0" w:line="264" w:lineRule="auto"/>
        <w:tabs>
          <w:tab w:leader="none" w:pos="4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 w:hanging="249"/>
        <w:spacing w:after="0" w:line="264" w:lineRule="auto"/>
        <w:tabs>
          <w:tab w:leader="none" w:pos="50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80" w:hanging="249"/>
        <w:spacing w:after="0" w:line="308" w:lineRule="auto"/>
        <w:tabs>
          <w:tab w:leader="none" w:pos="5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00" w:right="100" w:hanging="249"/>
        <w:spacing w:after="0" w:line="264" w:lineRule="auto"/>
        <w:tabs>
          <w:tab w:leader="none" w:pos="50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40" w:hanging="249"/>
        <w:spacing w:after="0" w:line="277" w:lineRule="auto"/>
        <w:tabs>
          <w:tab w:leader="none" w:pos="4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60" w:hanging="249"/>
        <w:spacing w:after="0" w:line="277" w:lineRule="auto"/>
        <w:tabs>
          <w:tab w:leader="none" w:pos="50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225"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40" w:hanging="249"/>
        <w:spacing w:after="0" w:line="264" w:lineRule="auto"/>
        <w:tabs>
          <w:tab w:leader="none" w:pos="4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 w:hanging="249"/>
        <w:spacing w:after="0" w:line="264" w:lineRule="auto"/>
        <w:tabs>
          <w:tab w:leader="none" w:pos="5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80" w:hanging="249"/>
        <w:spacing w:after="0" w:line="308" w:lineRule="auto"/>
        <w:tabs>
          <w:tab w:leader="none" w:pos="50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00" w:right="100" w:hanging="249"/>
        <w:spacing w:after="0" w:line="264" w:lineRule="auto"/>
        <w:tabs>
          <w:tab w:leader="none" w:pos="5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40" w:hanging="249"/>
        <w:spacing w:after="0" w:line="277" w:lineRule="auto"/>
        <w:tabs>
          <w:tab w:leader="none" w:pos="4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60" w:hanging="249"/>
        <w:spacing w:after="0" w:line="277" w:lineRule="auto"/>
        <w:tabs>
          <w:tab w:leader="none" w:pos="5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060" w:right="780" w:hanging="485"/>
        <w:spacing w:after="0" w:line="308" w:lineRule="auto"/>
        <w:tabs>
          <w:tab w:leader="none" w:pos="10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April 2, 2016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060" w:right="720" w:hanging="485"/>
        <w:spacing w:after="0" w:line="277" w:lineRule="auto"/>
        <w:tabs>
          <w:tab w:leader="none" w:pos="10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2016</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her knowledge, that:</w:t>
      </w:r>
    </w:p>
    <w:p>
      <w:pPr>
        <w:spacing w:after="0" w:line="170" w:lineRule="exact"/>
        <w:rPr>
          <w:sz w:val="20"/>
          <w:szCs w:val="20"/>
          <w:color w:val="auto"/>
        </w:rPr>
      </w:pPr>
    </w:p>
    <w:p>
      <w:pPr>
        <w:ind w:left="1060" w:right="780" w:hanging="485"/>
        <w:spacing w:after="0" w:line="308" w:lineRule="auto"/>
        <w:tabs>
          <w:tab w:leader="none" w:pos="10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April 2, 2016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060" w:right="720" w:hanging="485"/>
        <w:spacing w:after="0" w:line="277" w:lineRule="auto"/>
        <w:tabs>
          <w:tab w:leader="none" w:pos="10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2016</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4"/>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29"/>
    </w:lvl>
  </w:abstractNum>
  <w:abstractNum w:abstractNumId="13">
    <w:nsid w:val="519B500D"/>
    <w:multiLevelType w:val="hybridMultilevel"/>
    <w:lvl w:ilvl="0">
      <w:lvlJc w:val="left"/>
      <w:lvlText w:val="%1:"/>
      <w:numFmt w:val="lowerLetter"/>
      <w:start w:val="29"/>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2019-12-29T11:35:52Z</dcterms:created>
  <dcterms:modified xsi:type="dcterms:W3CDTF">2019-12-29T11:35:52Z</dcterms:modified>
</cp:coreProperties>
</file>