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right="2060" w:hanging="332"/>
        <w:spacing w:after="0" w:line="282" w:lineRule="auto"/>
        <w:tabs>
          <w:tab w:leader="none" w:pos="2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2018.</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40"/>
        <w:spacing w:after="0"/>
        <w:tabs>
          <w:tab w:leader="none" w:pos="4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89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1-7685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AVERY DENNISON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539"/>
              <w:spacing w:after="0"/>
              <w:rPr>
                <w:sz w:val="20"/>
                <w:szCs w:val="20"/>
                <w:color w:val="auto"/>
              </w:rPr>
            </w:pPr>
            <w:r>
              <w:rPr>
                <w:rFonts w:ascii="Arial" w:cs="Arial" w:eastAsia="Arial" w:hAnsi="Arial"/>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20" w:type="dxa"/>
            <w:vAlign w:val="bottom"/>
          </w:tcPr>
          <w:p>
            <w:pPr>
              <w:jc w:val="center"/>
              <w:ind w:left="6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4"/>
              </w:rPr>
              <w:t>incorporation or organization)</w:t>
            </w:r>
          </w:p>
        </w:tc>
        <w:tc>
          <w:tcPr>
            <w:tcW w:w="2820" w:type="dxa"/>
            <w:vAlign w:val="bottom"/>
          </w:tcPr>
          <w:p>
            <w:pPr>
              <w:spacing w:after="0"/>
              <w:rPr>
                <w:sz w:val="15"/>
                <w:szCs w:val="15"/>
                <w:color w:val="auto"/>
              </w:rPr>
            </w:pPr>
          </w:p>
        </w:tc>
      </w:tr>
      <w:tr>
        <w:trPr>
          <w:trHeight w:val="399"/>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88"/>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Arial" w:cs="Arial" w:eastAsia="Arial" w:hAnsi="Arial"/>
                <w:sz w:val="18"/>
                <w:szCs w:val="18"/>
                <w:b w:val="1"/>
                <w:bCs w:val="1"/>
                <w:color w:val="auto"/>
                <w:w w:val="92"/>
              </w:rPr>
              <w:t>Glendale, California</w:t>
            </w:r>
          </w:p>
        </w:tc>
        <w:tc>
          <w:tcPr>
            <w:tcW w:w="2820" w:type="dxa"/>
            <w:vAlign w:val="bottom"/>
          </w:tcPr>
          <w:p>
            <w:pPr>
              <w:jc w:val="right"/>
              <w:ind w:right="739"/>
              <w:spacing w:after="0"/>
              <w:rPr>
                <w:sz w:val="20"/>
                <w:szCs w:val="20"/>
                <w:color w:val="auto"/>
              </w:rPr>
            </w:pPr>
            <w:r>
              <w:rPr>
                <w:rFonts w:ascii="Arial" w:cs="Arial" w:eastAsia="Arial" w:hAnsi="Arial"/>
                <w:sz w:val="18"/>
                <w:szCs w:val="18"/>
                <w:b w:val="1"/>
                <w:bCs w:val="1"/>
                <w:color w:val="auto"/>
              </w:rPr>
              <w:t>91203</w:t>
            </w:r>
          </w:p>
        </w:tc>
      </w:tr>
      <w:tr>
        <w:trPr>
          <w:trHeight w:val="182"/>
        </w:trPr>
        <w:tc>
          <w:tcPr>
            <w:tcW w:w="3080" w:type="dxa"/>
            <w:vAlign w:val="bottom"/>
          </w:tcPr>
          <w:p>
            <w:pPr>
              <w:jc w:val="center"/>
              <w:ind w:right="639"/>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left="639"/>
              <w:spacing w:after="0"/>
              <w:rPr>
                <w:sz w:val="20"/>
                <w:szCs w:val="20"/>
                <w:color w:val="auto"/>
              </w:rPr>
            </w:pPr>
            <w:r>
              <w:rPr>
                <w:rFonts w:ascii="Arial" w:cs="Arial" w:eastAsia="Arial" w:hAnsi="Arial"/>
                <w:sz w:val="14"/>
                <w:szCs w:val="14"/>
                <w:color w:val="auto"/>
                <w:w w:val="93"/>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(626) 304-2000</w:t>
      </w:r>
    </w:p>
    <w:p>
      <w:pPr>
        <w:spacing w:after="0" w:line="230" w:lineRule="exact"/>
        <w:rPr>
          <w:sz w:val="24"/>
          <w:szCs w:val="24"/>
          <w:color w:val="auto"/>
        </w:rPr>
      </w:pPr>
    </w:p>
    <w:p>
      <w:pPr>
        <w:jc w:val="both"/>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6"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p>
      <w:pPr>
        <w:ind w:left="100"/>
        <w:spacing w:after="0"/>
        <w:tabs>
          <w:tab w:leader="none" w:pos="2200" w:val="left"/>
          <w:tab w:leader="none" w:pos="4020" w:val="left"/>
          <w:tab w:leader="none" w:pos="6980" w:val="left"/>
          <w:tab w:leader="none" w:pos="9280" w:val="left"/>
        </w:tabs>
        <w:rPr>
          <w:sz w:val="20"/>
          <w:szCs w:val="20"/>
          <w:color w:val="auto"/>
        </w:rPr>
      </w:pPr>
      <w:r>
        <w:rPr>
          <w:rFonts w:ascii="Arial" w:cs="Arial" w:eastAsia="Arial" w:hAnsi="Arial"/>
          <w:sz w:val="16"/>
          <w:szCs w:val="16"/>
          <w:color w:val="auto"/>
        </w:rPr>
        <w:t>x Large accelerated filer</w:t>
      </w:r>
      <w:r>
        <w:rPr>
          <w:sz w:val="20"/>
          <w:szCs w:val="20"/>
          <w:color w:val="auto"/>
        </w:rPr>
        <w:tab/>
      </w:r>
      <w:r>
        <w:rPr>
          <w:rFonts w:ascii="Arial" w:cs="Arial" w:eastAsia="Arial" w:hAnsi="Arial"/>
          <w:sz w:val="16"/>
          <w:szCs w:val="16"/>
          <w:color w:val="auto"/>
        </w:rPr>
        <w:t>o Accelerated filer</w:t>
      </w:r>
      <w:r>
        <w:rPr>
          <w:sz w:val="20"/>
          <w:szCs w:val="20"/>
          <w:color w:val="auto"/>
        </w:rPr>
        <w:tab/>
      </w:r>
      <w:r>
        <w:rPr>
          <w:rFonts w:ascii="Arial" w:cs="Arial" w:eastAsia="Arial" w:hAnsi="Arial"/>
          <w:sz w:val="16"/>
          <w:szCs w:val="16"/>
          <w:color w:val="auto"/>
        </w:rPr>
        <w:t>o Non-accelerated filer</w:t>
      </w:r>
      <w:r>
        <w:rPr>
          <w:sz w:val="20"/>
          <w:szCs w:val="20"/>
          <w:color w:val="auto"/>
        </w:rPr>
        <w:tab/>
      </w:r>
      <w:r>
        <w:rPr>
          <w:rFonts w:ascii="Arial" w:cs="Arial" w:eastAsia="Arial" w:hAnsi="Arial"/>
          <w:sz w:val="16"/>
          <w:szCs w:val="16"/>
          <w:color w:val="auto"/>
        </w:rPr>
        <w:t>o Smaller reporting company</w:t>
      </w:r>
      <w:r>
        <w:rPr>
          <w:sz w:val="20"/>
          <w:szCs w:val="20"/>
          <w:color w:val="auto"/>
        </w:rPr>
        <w:tab/>
      </w:r>
      <w:r>
        <w:rPr>
          <w:rFonts w:ascii="Arial" w:cs="Arial" w:eastAsia="Arial" w:hAnsi="Arial"/>
          <w:sz w:val="14"/>
          <w:szCs w:val="14"/>
          <w:color w:val="auto"/>
        </w:rPr>
        <w:t>o Emerging growth company</w:t>
      </w:r>
    </w:p>
    <w:p>
      <w:pPr>
        <w:spacing w:after="0" w:line="22"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(Do not check if a smaller reporting company)</w:t>
      </w:r>
    </w:p>
    <w:p>
      <w:pPr>
        <w:spacing w:after="0" w:line="201" w:lineRule="exact"/>
        <w:rPr>
          <w:sz w:val="24"/>
          <w:szCs w:val="24"/>
          <w:color w:val="auto"/>
        </w:rPr>
      </w:pPr>
    </w:p>
    <w:p>
      <w:pPr>
        <w:ind w:right="200"/>
        <w:spacing w:after="0" w:line="293"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$1 par value common stock outstanding as of April 28, 2018: 88,030,887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w w:val="99"/>
              </w:rPr>
              <w:t>AVERY DENNISON CORPORATION</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w w:val="99"/>
              </w:rPr>
              <w:t>FISCAL FIRST QUARTER 2018 QUARTERLY REPORT ON FORM 10-Q</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4"/>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6"/>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SAFE HARBOR STATEMENT</w:t>
              </w:r>
            </w:hyperlink>
          </w:p>
        </w:tc>
        <w:tc>
          <w:tcPr>
            <w:tcW w:w="8200" w:type="dxa"/>
            <w:vAlign w:val="bottom"/>
            <w:gridSpan w:val="8"/>
            <w:vMerge w:val="restart"/>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6"/>
            <w:vMerge w:val="continue"/>
          </w:tcPr>
          <w:p>
            <w:pPr>
              <w:spacing w:after="0"/>
              <w:rPr>
                <w:sz w:val="13"/>
                <w:szCs w:val="13"/>
                <w:color w:val="auto"/>
              </w:rPr>
            </w:pPr>
          </w:p>
        </w:tc>
        <w:tc>
          <w:tcPr>
            <w:tcW w:w="8200" w:type="dxa"/>
            <w:vAlign w:val="bottom"/>
            <w:gridSpan w:val="8"/>
            <w:vMerge w:val="continue"/>
          </w:tcPr>
          <w:p>
            <w:pPr>
              <w:spacing w:after="0"/>
              <w:rPr>
                <w:sz w:val="13"/>
                <w:szCs w:val="13"/>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066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 (UNAUDITED)</w:t>
              </w:r>
            </w:hyperlink>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1500" w:type="dxa"/>
            <w:vAlign w:val="bottom"/>
            <w:tcBorders>
              <w:top w:val="single" w:sz="8" w:color="0000EE"/>
            </w:tcBorders>
          </w:tcPr>
          <w:p>
            <w:pPr>
              <w:spacing w:after="0"/>
              <w:rPr>
                <w:sz w:val="24"/>
                <w:szCs w:val="24"/>
                <w:color w:val="auto"/>
              </w:rPr>
            </w:pPr>
          </w:p>
        </w:tc>
        <w:tc>
          <w:tcPr>
            <w:tcW w:w="634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628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March 31, 2018 and December 30, 2017</w:t>
              </w:r>
            </w:hyperlink>
          </w:p>
        </w:tc>
        <w:tc>
          <w:tcPr>
            <w:tcW w:w="6120" w:type="dxa"/>
            <w:vAlign w:val="bottom"/>
            <w:gridSpan w:val="4"/>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Income</w:t>
              </w:r>
            </w:hyperlink>
          </w:p>
        </w:tc>
        <w:tc>
          <w:tcPr>
            <w:tcW w:w="58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Three Months ended March 31, 2018 and April 1, 2017</w:t>
              </w:r>
            </w:hyperlink>
          </w:p>
        </w:tc>
        <w:tc>
          <w:tcPr>
            <w:tcW w:w="5040" w:type="dxa"/>
            <w:vAlign w:val="bottom"/>
            <w:gridSpan w:val="2"/>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2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Three Months ended March 31, 2018 and April 1, 2017</w:t>
              </w:r>
            </w:hyperlink>
          </w:p>
        </w:tc>
        <w:tc>
          <w:tcPr>
            <w:tcW w:w="400" w:type="dxa"/>
            <w:vAlign w:val="bottom"/>
            <w:tcBorders>
              <w:top w:val="single" w:sz="8" w:color="0000EE"/>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4320" w:type="dxa"/>
            <w:vAlign w:val="bottom"/>
            <w:gridSpan w:val="7"/>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Three Months ended March 31, 2018 and April 1, 2017</w:t>
              </w:r>
            </w:hyperlink>
          </w:p>
        </w:tc>
        <w:tc>
          <w:tcPr>
            <w:tcW w:w="3840" w:type="dxa"/>
            <w:vAlign w:val="bottom"/>
            <w:gridSpan w:val="4"/>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324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Non-GAAP Financial Measures</w:t>
              </w:r>
            </w:hyperlink>
          </w:p>
        </w:tc>
        <w:tc>
          <w:tcPr>
            <w:tcW w:w="3960" w:type="dxa"/>
            <w:vAlign w:val="bottom"/>
            <w:tcBorders>
              <w:top w:val="single" w:sz="8" w:color="0000EE"/>
            </w:tcBorders>
            <w:gridSpan w:val="8"/>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Overview and Outlook</w:t>
              </w:r>
            </w:hyperlink>
          </w:p>
        </w:tc>
        <w:tc>
          <w:tcPr>
            <w:tcW w:w="6380" w:type="dxa"/>
            <w:vAlign w:val="bottom"/>
            <w:gridSpan w:val="11"/>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Analysis of Results of Operations for the First Quarter</w:t>
              </w:r>
            </w:hyperlink>
          </w:p>
        </w:tc>
        <w:tc>
          <w:tcPr>
            <w:tcW w:w="19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Results of Operations by Reportable Segment for the First Quarter</w:t>
              </w:r>
            </w:hyperlink>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Financial Condition</w:t>
              </w:r>
            </w:hyperlink>
          </w:p>
        </w:tc>
        <w:tc>
          <w:tcPr>
            <w:tcW w:w="3340" w:type="dxa"/>
            <w:vAlign w:val="bottom"/>
            <w:tcBorders>
              <w:top w:val="single" w:sz="8" w:color="0000EE"/>
            </w:tcBorders>
            <w:gridSpan w:val="10"/>
          </w:tcPr>
          <w:p>
            <w:pPr>
              <w:spacing w:after="0"/>
              <w:rPr>
                <w:sz w:val="17"/>
                <w:szCs w:val="17"/>
                <w:color w:val="auto"/>
              </w:rPr>
            </w:pPr>
          </w:p>
        </w:tc>
        <w:tc>
          <w:tcPr>
            <w:tcW w:w="3260" w:type="dxa"/>
            <w:vAlign w:val="bottom"/>
            <w:gridSpan w:val="3"/>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Recent Accounting Requirements</w:t>
              </w:r>
            </w:hyperlink>
          </w:p>
        </w:tc>
        <w:tc>
          <w:tcPr>
            <w:tcW w:w="5600" w:type="dxa"/>
            <w:vAlign w:val="bottom"/>
            <w:gridSpan w:val="8"/>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3840" w:type="dxa"/>
            <w:vAlign w:val="bottom"/>
            <w:gridSpan w:val="4"/>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5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6440" w:type="dxa"/>
            <w:vAlign w:val="bottom"/>
            <w:gridSpan w:val="1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412"/>
        </w:trPr>
        <w:tc>
          <w:tcPr>
            <w:tcW w:w="27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6700" w:type="dxa"/>
            <w:vAlign w:val="bottom"/>
            <w:gridSpan w:val="14"/>
          </w:tcPr>
          <w:p>
            <w:pPr>
              <w:spacing w:after="0"/>
              <w:rPr>
                <w:sz w:val="24"/>
                <w:szCs w:val="24"/>
                <w:color w:val="auto"/>
              </w:rPr>
            </w:pPr>
          </w:p>
        </w:tc>
        <w:tc>
          <w:tcPr>
            <w:tcW w:w="1980" w:type="dxa"/>
            <w:vAlign w:val="bottom"/>
          </w:tcPr>
          <w:p>
            <w:pPr>
              <w:spacing w:after="0"/>
              <w:rPr>
                <w:sz w:val="24"/>
                <w:szCs w:val="24"/>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1.</w:t>
              </w:r>
            </w:hyperlink>
          </w:p>
        </w:tc>
        <w:tc>
          <w:tcPr>
            <w:tcW w:w="4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6880" w:type="dxa"/>
            <w:vAlign w:val="bottom"/>
            <w:gridSpan w:val="15"/>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8460" w:type="dxa"/>
            <w:vAlign w:val="bottom"/>
            <w:gridSpan w:val="22"/>
          </w:tcPr>
          <w:p>
            <w:pPr>
              <w:ind w:left="24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386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4.</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900" w:type="dxa"/>
            <w:vAlign w:val="bottom"/>
            <w:gridSpan w:val="10"/>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5.</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6900" w:type="dxa"/>
            <w:vAlign w:val="bottom"/>
            <w:gridSpan w:val="1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6.</w:t>
              </w:r>
            </w:hyperlink>
          </w:p>
        </w:tc>
        <w:tc>
          <w:tcPr>
            <w:tcW w:w="4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color w:val="auto"/>
        </w:rPr>
        <w:t>Certain risks and uncertainties are discussed in more detail under “Risk Factors” and “Management’s Discussion and Analysis of Financial Condition and Results of Operations” in our Annual Report on Form 10-K for the fiscal year ended December 30, 2017 and include, but are not limited to, risks and uncertainties relating to the following: fluctuations in demand affecting sales to customers; worldwide and local economic conditions; changes in political conditions; changes in governmental laws and regulations; fluctuations in foreign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including the Tax Cuts and Jobs Act, and uncertainties associated with interpretations of such laws and regulations; outcome of tax audits; fluctuations in pension, insurance, and employee benefit costs;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19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the degree to which higher costs can be offset with productivity measures and/or passed on to customers through selling price increases, without a significant loss of volume; (3) competitors’ actions, including pricing, expansion in key markets, and product offerings; and (4) the execution and integration of acquisitions.</w:t>
      </w:r>
    </w:p>
    <w:p>
      <w:pPr>
        <w:spacing w:after="0" w:line="17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70" w:lineRule="exact"/>
        <w:rPr>
          <w:sz w:val="20"/>
          <w:szCs w:val="20"/>
          <w:color w:val="auto"/>
        </w:rPr>
      </w:pPr>
    </w:p>
    <w:p>
      <w:pPr>
        <w:ind w:left="11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amount)</w:t>
            </w:r>
          </w:p>
        </w:tc>
        <w:tc>
          <w:tcPr>
            <w:tcW w:w="5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March 31, 2018</w:t>
            </w:r>
          </w:p>
        </w:tc>
        <w:tc>
          <w:tcPr>
            <w:tcW w:w="1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187.5</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Trade accounts receivable, less allowances of $29.2 and $36.2 at March 31, 2018 and</w:t>
            </w: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December 30, 2017, respectively</w:t>
            </w:r>
          </w:p>
        </w:tc>
        <w:tc>
          <w:tcPr>
            <w:tcW w:w="5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1,240.0</w:t>
            </w:r>
          </w:p>
        </w:tc>
        <w:tc>
          <w:tcPr>
            <w:tcW w:w="8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678.2</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225.5</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2,332.3</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1,117.6</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1,005.1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resulting from business acquisitions, net</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167.2</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Non-current deferred income taxes</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215.5</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442.8</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5,280.5</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370.3</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1,064.4</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173.1</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473.6</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2,081.4</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1,342.7</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retirement benefits and other liabilities</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596.5</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and payable income taxes</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170.2</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$1 par value per share, authorized – 400,000,000 shares at March 31, 2018 and</w:t>
            </w: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3"/>
              </w:rPr>
              <w:t>December 30, 2017; issued – 124,126,624 shares at March 31, 2018 and December 30, 2017;</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w w:val="93"/>
              </w:rPr>
              <w:t>outstanding – 88,015,267 shares and 88,011,541 shares at March 31, 2018 and December 30,</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2017, respectively</w:t>
            </w:r>
          </w:p>
        </w:tc>
        <w:tc>
          <w:tcPr>
            <w:tcW w:w="5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124.1</w:t>
            </w:r>
          </w:p>
        </w:tc>
        <w:tc>
          <w:tcPr>
            <w:tcW w:w="8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5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848.4</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2,647.8</w:t>
            </w:r>
          </w:p>
        </w:tc>
        <w:tc>
          <w:tcPr>
            <w:tcW w:w="8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stock at cost, 36,111,357 shares and 36,115,083 shares at March 31, 2018 and</w:t>
            </w:r>
          </w:p>
        </w:tc>
        <w:tc>
          <w:tcPr>
            <w:tcW w:w="5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30, 2017, respectively</w:t>
            </w:r>
          </w:p>
        </w:tc>
        <w:tc>
          <w:tcPr>
            <w:tcW w:w="5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(1,891.0)</w:t>
            </w:r>
          </w:p>
        </w:tc>
        <w:tc>
          <w:tcPr>
            <w:tcW w:w="8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(639.6)</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5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1,089.7</w:t>
            </w: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5,280.5</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In millions, except per share amounts</w:t>
            </w:r>
            <w:r>
              <w:rPr>
                <w:rFonts w:ascii="Arial" w:cs="Arial" w:eastAsia="Arial" w:hAnsi="Arial"/>
                <w:sz w:val="18"/>
                <w:szCs w:val="18"/>
                <w:color w:val="auto"/>
              </w:rPr>
              <w:t>)</w:t>
            </w:r>
          </w:p>
        </w:tc>
        <w:tc>
          <w:tcPr>
            <w:tcW w:w="192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March 31, 2018</w:t>
            </w:r>
          </w:p>
        </w:tc>
        <w:tc>
          <w:tcPr>
            <w:tcW w:w="14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1,776.4</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1,293.0</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483.4</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78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295.0</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12.8</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13.2</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7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Income before taxes</w:t>
            </w:r>
          </w:p>
        </w:tc>
        <w:tc>
          <w:tcPr>
            <w:tcW w:w="78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159.1</w:t>
            </w:r>
          </w:p>
        </w:tc>
        <w:tc>
          <w:tcPr>
            <w:tcW w:w="5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33.3</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method investment net losses</w:t>
            </w: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125.2</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w:t>
            </w: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1.42</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1.40</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per common share</w:t>
            </w: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.45</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3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88.0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223"/>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Common shares, assuming dilution</w:t>
            </w:r>
          </w:p>
        </w:tc>
        <w:tc>
          <w:tcPr>
            <w:tcW w:w="3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89.6</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color w:val="auto"/>
        </w:rPr>
        <w:t>CONDENSED CONSOLIDATED STATEMENTS OF COMPREHENSIVE INCOME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In millions</w:t>
            </w: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March 31, 2018</w:t>
            </w:r>
          </w:p>
        </w:tc>
        <w:tc>
          <w:tcPr>
            <w:tcW w:w="14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125.2</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34.3</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68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6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7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net of tax</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40.9</w:t>
            </w: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7"/>
        </w:trPr>
        <w:tc>
          <w:tcPr>
            <w:tcW w:w="8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166.1</w:t>
            </w: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8"/>
              </w:rPr>
              <w:t>Three Months Ended</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00" w:type="dxa"/>
            <w:vAlign w:val="bottom"/>
            <w:gridSpan w:val="2"/>
          </w:tcPr>
          <w:p>
            <w:pPr>
              <w:ind w:left="400"/>
              <w:spacing w:after="0"/>
              <w:rPr>
                <w:sz w:val="20"/>
                <w:szCs w:val="20"/>
                <w:color w:val="auto"/>
              </w:rPr>
            </w:pPr>
            <w:r>
              <w:rPr>
                <w:rFonts w:ascii="Arial" w:cs="Arial" w:eastAsia="Arial" w:hAnsi="Arial"/>
                <w:sz w:val="18"/>
                <w:szCs w:val="18"/>
                <w:b w:val="1"/>
                <w:bCs w:val="1"/>
                <w:color w:val="auto"/>
              </w:rPr>
              <w:t>March 31, 2018</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125.2</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34.3</w:t>
            </w:r>
          </w:p>
        </w:tc>
        <w:tc>
          <w:tcPr>
            <w:tcW w:w="7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10.2</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Provision for doubtful accounts and sales returns</w:t>
            </w:r>
          </w:p>
        </w:tc>
        <w:tc>
          <w:tcPr>
            <w:tcW w:w="6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12.9</w:t>
            </w:r>
          </w:p>
        </w:tc>
        <w:tc>
          <w:tcPr>
            <w:tcW w:w="7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losses from impairments, sales of assets, and investment settlements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7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settlement of pension obligations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non-cash expense and loss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(190.5)</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6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(35.6)</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6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7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Sales of investments and proceeds from insurance, net</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for acquisitions, net of cash acquired, and investments in businesses</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(35.8)</w:t>
            </w: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6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104.3</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Additional long-term borrowings</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6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(39.6)</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Share repurchases</w:t>
            </w:r>
          </w:p>
        </w:tc>
        <w:tc>
          <w:tcPr>
            <w:tcW w:w="6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(51.6)</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exercises of stock options, net</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Tax withholding for stock-based compensation</w:t>
            </w:r>
          </w:p>
        </w:tc>
        <w:tc>
          <w:tcPr>
            <w:tcW w:w="6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(31.6)</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of contingent consideration</w:t>
            </w:r>
          </w:p>
        </w:tc>
        <w:tc>
          <w:tcPr>
            <w:tcW w:w="6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(21.8)</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vMerge w:val="continue"/>
          </w:tcPr>
          <w:p>
            <w:pPr>
              <w:spacing w:after="0"/>
              <w:rPr>
                <w:sz w:val="18"/>
                <w:szCs w:val="18"/>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foreign currency translation on cash balances</w:t>
            </w: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4.7</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29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(36.9)</w:t>
            </w:r>
          </w:p>
        </w:tc>
        <w:tc>
          <w:tcPr>
            <w:tcW w:w="6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r>
      <w:tr>
        <w:trPr>
          <w:trHeight w:val="216"/>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2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224.4</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195.1</w:t>
            </w:r>
          </w:p>
        </w:tc>
      </w:tr>
      <w:tr>
        <w:trPr>
          <w:trHeight w:val="217"/>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187.5</w:t>
            </w:r>
          </w:p>
        </w:tc>
        <w:tc>
          <w:tcPr>
            <w:tcW w:w="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2017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quarters of 2018 and 2017 consisted of thirteen-week periods ending March 31, 2018 and April 1,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Guidance Updates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first quarter of 2018, we adopted an accounting guidance update that provides a single comprehensive model on accounting for revenue arising from contracts with customers and supersedes most current revenue recognition guidance, including industry-specific guidance. We adopted this guidance using the modified retrospective method, which means that reporting periods beginning in 2018 are presented under this guidance, while prior period amounts continue to be reported under the previous guidance. As allowed under this guidance, we began to apply this guidance for contracts with customers that were not completed as of the beginning of 2018. As a result of the adoption of this guidance, the allowance for customer returns, presented as a reduction of trade accounts receivable in prior years, is now presented as a returns liability in “Other current liabilities.” As of March 31, 2018, the returns liability was $11.3 million. Our adoption of this guidance did not have a material impact on our financial position, results of operations, or cash flows. The applicable disclosures related to this guidance are included in Note 2, “Revenue Recognition,” and Note 14, “Segment and Disaggregated Revenue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Net Periodic Benefit Costs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2018, we adopted an accounting guidance update that requires certain employers with defined benefit plans to present the service cost component of net periodic benefit cost in the same income statement line item(s) as other employee compensation costs arising from services rendered during the period. Employers are required to present the other components of the net periodic benefit cost separately from the line item(s) that includes the service cost and outside of any subtotal of operating income. Components other than the service cost component are no longer eligible for capitalization in assets. Employers are required to apply the portion of this guidance on the presentation of the components of net periodic benefit cost in the income statement retrospectively, while the portion of this guidance that limits the capitalization of net periodic benefit cost in assets to the service cost component must be applied prospectively.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year results have been reclassified as required by this guidance. The effects of our adoption of this guidance on our unaudited Condensed Consolidated Statements of Income for the prior year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April 1, 2017</w:t>
            </w:r>
          </w:p>
        </w:tc>
        <w:tc>
          <w:tcPr>
            <w:tcW w:w="5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191"/>
        </w:trPr>
        <w:tc>
          <w:tcPr>
            <w:tcW w:w="6280" w:type="dxa"/>
            <w:vAlign w:val="bottom"/>
          </w:tcPr>
          <w:p>
            <w:pPr>
              <w:spacing w:after="0"/>
              <w:rPr>
                <w:sz w:val="16"/>
                <w:szCs w:val="16"/>
                <w:color w:val="auto"/>
              </w:rPr>
            </w:pPr>
          </w:p>
        </w:tc>
        <w:tc>
          <w:tcPr>
            <w:tcW w:w="17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As Previously</w:t>
            </w: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Reported</w:t>
            </w:r>
          </w:p>
        </w:tc>
        <w:tc>
          <w:tcPr>
            <w:tcW w:w="20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Reclassification</w:t>
            </w: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5"/>
              </w:rPr>
              <w:t>As Reclassified</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283.3</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279.8</w:t>
            </w: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non-operating expense</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3.5</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Certain Cash Payments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first quarter of 2018, we adopted an accounting guidance update that reduces the diversity in the presentation and classification of certain cash receipts and cash payments in the statement of cash flows.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Prior year results have been reclassified, as required by this guidance. The effects of our adoption of this guidance, which primarily relate to the classification of corporate-owned life insurance cash flows, on our unaudited Condensed Consolidated Statements of Cash Flows for the prior year were as follows:</w:t>
      </w:r>
    </w:p>
    <w:p>
      <w:pPr>
        <w:spacing w:after="0" w:line="120"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Three Months Ended April 1, 2017</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As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tabs>
          <w:tab w:leader="none" w:pos="7040" w:val="left"/>
          <w:tab w:leader="none" w:pos="8340" w:val="left"/>
          <w:tab w:leader="none" w:pos="10140" w:val="left"/>
        </w:tabs>
        <w:rPr>
          <w:sz w:val="20"/>
          <w:szCs w:val="20"/>
          <w:color w:val="auto"/>
        </w:rPr>
      </w:pPr>
      <w:r>
        <w:rPr>
          <w:rFonts w:ascii="Arial" w:cs="Arial" w:eastAsia="Arial" w:hAnsi="Arial"/>
          <w:sz w:val="28"/>
          <w:szCs w:val="28"/>
          <w:color w:val="auto"/>
          <w:vertAlign w:val="subscript"/>
        </w:rPr>
        <w:t>(In millions)</w:t>
      </w:r>
      <w:r>
        <w:rPr>
          <w:sz w:val="20"/>
          <w:szCs w:val="20"/>
          <w:color w:val="auto"/>
        </w:rPr>
        <w:tab/>
      </w:r>
      <w:r>
        <w:rPr>
          <w:rFonts w:ascii="Arial" w:cs="Arial" w:eastAsia="Arial" w:hAnsi="Arial"/>
          <w:sz w:val="18"/>
          <w:szCs w:val="18"/>
          <w:b w:val="1"/>
          <w:bCs w:val="1"/>
          <w:color w:val="auto"/>
        </w:rPr>
        <w:t>Reported</w:t>
      </w:r>
      <w:r>
        <w:rPr>
          <w:sz w:val="20"/>
          <w:szCs w:val="20"/>
          <w:color w:val="auto"/>
        </w:rPr>
        <w:tab/>
      </w:r>
      <w:r>
        <w:rPr>
          <w:rFonts w:ascii="Arial" w:cs="Arial" w:eastAsia="Arial" w:hAnsi="Arial"/>
          <w:sz w:val="18"/>
          <w:szCs w:val="18"/>
          <w:b w:val="1"/>
          <w:bCs w:val="1"/>
          <w:color w:val="auto"/>
        </w:rPr>
        <w:t>Reclassification</w:t>
      </w:r>
      <w:r>
        <w:rPr>
          <w:sz w:val="20"/>
          <w:szCs w:val="20"/>
          <w:color w:val="auto"/>
        </w:rPr>
        <w:tab/>
      </w:r>
      <w:r>
        <w:rPr>
          <w:rFonts w:ascii="Arial" w:cs="Arial" w:eastAsia="Arial" w:hAnsi="Arial"/>
          <w:sz w:val="15"/>
          <w:szCs w:val="15"/>
          <w:b w:val="1"/>
          <w:bCs w:val="1"/>
          <w:color w:val="auto"/>
        </w:rPr>
        <w:t>As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7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15.3</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23"/>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(112.0)</w:t>
            </w: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2018, we adopted an accounting guidance update that requires companies to recognize the income tax effects of intra-entity sales and transfers of assets other than inventory in the period in which they occur. Upon adoption, we derecognized tax-related deferred charges and recognized deferred tax assets related to certain intra-entity asset transfers as a $14 million net reduction to retained earnings.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are recognized when or as we satisfy a performance obligation by transferring control of a product or service to a customer, in an amount that reflects the consideration to which we expect to be entitled in exchange for the product or service. We consider a number of factors in determining when we have transferred control to a customer, including the following: (i) our present right to payment; (ii) the customer’s legal title to the asset; (iii) physical possession of the asset; (iv) the customer’s significant risks and rewards of ownership of the asset; and (v) the customer’s acceptance of the asset.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Generally, payment terms with our customers are consistent with those used in our industries and the regions in which we operate.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returns are accepted under certain limited circumstances. We record an estimate for return liabilities, with a corresponding reduction in sales, in the amount we expect to repay or credit customers, which we base on historical actual returns and outstanding customer claims. Changes in estimates are updated each reporting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rebates, discounts, and other customer concessions are common practice in the industries in which we operate and are accounted for as a reduction in sales, based on estimates at the time products are sold. These estimates are based on our historical experience, as well as current information such as sales forecasts. We review estimates regularly and, as additional information becomes available, if necessary, adjust sales and the respective accruals accordingly.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Sales tax, value-added tax, and other taxes we collect from customers are excluded from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activities after control of a product is transferred to a customer are accounted for as a fulfillment cost and not a separate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length of less than one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expense sales commissions when incurred because the amortization period would have been one year or less. These costs are recorded in “Marketing, general and administrative expense” in the unaudited Condensed Consolidated Income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revenue primarily relates to constrained variable consideration on supply agreements for sales of products, as well as to payments received in advance of performance under the contract. Deferred revenue is recognized as revenue as or when we perform under the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and balance sheet locations of deferred revenue as of March 31,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color w:val="404040"/>
              </w:rPr>
              <w:t>millions</w:t>
            </w:r>
            <w:r>
              <w:rPr>
                <w:rFonts w:ascii="Arial" w:cs="Arial" w:eastAsia="Arial" w:hAnsi="Arial"/>
                <w:sz w:val="14"/>
                <w:szCs w:val="14"/>
                <w:color w:val="auto"/>
              </w:rPr>
              <w:t>)</w:t>
            </w:r>
          </w:p>
        </w:tc>
        <w:tc>
          <w:tcPr>
            <w:tcW w:w="3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March 31, 2018</w:t>
            </w:r>
          </w:p>
        </w:tc>
        <w:tc>
          <w:tcPr>
            <w:tcW w:w="1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30, 2017</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18.9</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16"/>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retirement benefits and other liabilities</w:t>
            </w:r>
          </w:p>
        </w:tc>
        <w:tc>
          <w:tcPr>
            <w:tcW w:w="2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17"/>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19.4</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recognized from amounts included in deferred revenue as of December 30, 2017 was $8.4 million for the three months ended March 31, 2018 and was included in “Net sales” in the unaudited Condensed Consolidated Statements of Income.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carrying amount of goodwill for the three months ended March 31, 2018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Label and</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Retail Branding</w:t>
            </w: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Industrial and</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Graphic</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and Information</w:t>
            </w: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Healthcare</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Materials</w:t>
            </w: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Solutions</w:t>
            </w:r>
          </w:p>
        </w:tc>
        <w:tc>
          <w:tcPr>
            <w:tcW w:w="17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Materials</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30, 2017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200.2</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985.1</w:t>
            </w:r>
          </w:p>
        </w:tc>
      </w:tr>
      <w:tr>
        <w:trPr>
          <w:trHeight w:val="216"/>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Translation adjustments</w:t>
            </w:r>
          </w:p>
        </w:tc>
        <w:tc>
          <w:tcPr>
            <w:tcW w:w="1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13.1</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17"/>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 as of March 31,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442.6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355.6</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206.9</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1,005.1</w:t>
            </w:r>
          </w:p>
        </w:tc>
      </w:tr>
    </w:tbl>
    <w:p>
      <w:pPr>
        <w:spacing w:after="0" w:line="202"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The carrying amounts of goodwill at March 31, 2018 and December 30, 2017 were net of accumulated impairment losses of $820 million recognized in fiscal year 2009 by our Retail Branding and Information Solutions (“RBIS”)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$526.7 million (€495.6 million), a portion of which we used during the three months ended April 1, 2017 to repay commercial paper borrowings used to finance a portion of our acquisition of the</w:t>
      </w:r>
    </w:p>
    <w:p>
      <w:pPr>
        <w:sectPr>
          <w:pgSz w:w="11900" w:h="16838" w:orient="portrait"/>
          <w:cols w:equalWidth="0" w:num="1">
            <w:col w:w="11420"/>
          </w:cols>
          <w:pgMar w:left="240" w:top="140" w:right="239" w:bottom="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European business of Mactac. We designate a portion of these senior notes as a net investment hedge of our investment in foreign operations. Refer to Note 8, “Financial Instruments,” for more information.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estimated fair value of our long-term debt is primarily based on the credit spread above U.S. Treasury securities or euro government bond securities, as applicable, on notes with similar rates, credit ratings, and remaining maturities. The fair value of short-term borrowings, which includes commercial paper issuances and short-term lines of credit, approximates the carrying value given the short duration of these obligations. The fair value of our total debt was $1.73 billion at March 31, 2018 and $1.6 billion at December 30, 2017. Fair value amounts were determined based primarily on Level 2 inputs, which are inputs other than quoted prices in active markets that are either directly or indirectly observable.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$800 million revolving credit facility (the “Revolver”) contains financial covenants requiring that we maintain specified ratios, including total debt and interest expense in relation to certain measures of income. No balance was outstanding under the Revolver as of March 31, 2018 or December 30, 2017. As of March 31, 2018 and December 30, 2017, we were in compliance with our financial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number of defined benefit plans, the accruals of benefits under some of which have been frozen, covering eligible employees in the U.S. and certain other countries. Benefits payable to an employee are based primarily on years of service and the employee’s compensation during the course of his or her employment with us.</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periodic benefit cost (credit), which are recorded in income, for our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U.S. Postretirement</w:t>
            </w:r>
          </w:p>
        </w:tc>
        <w:tc>
          <w:tcPr>
            <w:tcW w:w="54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0"/>
              </w:rPr>
              <w:t>Pension Benefits</w:t>
            </w:r>
          </w:p>
        </w:tc>
        <w:tc>
          <w:tcPr>
            <w:tcW w:w="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1"/>
              </w:rPr>
              <w:t>Health Benefits</w:t>
            </w:r>
          </w:p>
        </w:tc>
        <w:tc>
          <w:tcPr>
            <w:tcW w:w="540" w:type="dxa"/>
            <w:vAlign w:val="bottom"/>
            <w:tcBorders>
              <w:bottom w:val="single" w:sz="8" w:color="auto"/>
            </w:tcBorders>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Borders>
              <w:bottom w:val="single" w:sz="8" w:color="auto"/>
            </w:tcBorders>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March 31, 2018</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April 1, 2017</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March 31, 2018</w:t>
            </w: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1, 2017</w:t>
            </w:r>
          </w:p>
        </w:tc>
      </w:tr>
      <w:tr>
        <w:trPr>
          <w:trHeight w:val="210"/>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U.S.</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Int’l</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U.S.</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Int’l</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76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Recognized loss on settlements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cost (credit)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 2018, settlements were related to lump-sum payments associated with a U.S. defined benefit pension plan.</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 cost and components of net periodic benefit cost other than service cost were included in “Marketing, general and administrative expense” and “Other non-operating expense” in the unaudited Condensed Consolidated Statements of Income, respectively. Refer to Note 1, “General,”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Stock-based compensation expense was $7.4 million and $5.6 million for the three months ended March 31, 2018 and April 1, 2017, respectively. This expense was included in “Marketing, general and administrative expense” in the unaudited Condensed Consolidated Statements of Income.</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2018, we had approximately $57 million of unrecognized compensation expense related to unvested stock-based awards, which is expected to be recognized over the remaining weighted-average requisite service period of approximately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Cash-Based Awards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expense related to long-term incentive units was $5.6 million and $10.3 million for the three months ended March 31, 2018 and April 1, 2017, respectively. This expense was included in “Marketing, general and administrative expense” in the unaudited Condensed Consolidated Statements of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Cost Reduction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On April 19, 2018, we approved a restructuring plan (the “2018 Plan”) associated with the consolidation of the European footprint of our Label and Graphic Materials (“LGM”) reportable segment, which is expected to result in a headcount reduction of 350 to 400 positions related to the closure of a manufacturing facility. This reduction is expected to be partially offset by headcount additions in other locations, resulting in a net reduction of approximately 150 positions. We expect the 2018 Plan to be largely complete by the end of 2019.</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March 31, 2018, we recorded $6.9 million in non-cash asset impairment charges related to the 2018 Plan. Total pretax restructuring charges associated with the 2018 Plan are estimated at approximately $70 million. The remaining charges relate to cash costs primarily for severance, most of which are expected to be recognized during the second quarter of 2018.</w:t>
      </w:r>
    </w:p>
    <w:p>
      <w:pPr>
        <w:sectPr>
          <w:pgSz w:w="11900" w:h="1683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2015/2016 Actions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three months ended March 31, 2018, we recorded $5.8 million in restructuring charges, net of reversals, related to restructuring actions initiated during the third quarter of 2015 (“2015/2016 Actions”). These charges consisted of severance and related costs for the reduction of approximately 200 positions, lease cancellation costs, and asset impairment charges.</w:t>
      </w:r>
    </w:p>
    <w:p>
      <w:pPr>
        <w:spacing w:after="0" w:line="1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132"/>
        </w:trPr>
        <w:tc>
          <w:tcPr>
            <w:tcW w:w="128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29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60" w:type="dxa"/>
            <w:vAlign w:val="bottom"/>
            <w:gridSpan w:val="5"/>
          </w:tcPr>
          <w:p>
            <w:pPr>
              <w:jc w:val="right"/>
              <w:ind w:right="40"/>
              <w:spacing w:after="0"/>
              <w:rPr>
                <w:sz w:val="20"/>
                <w:szCs w:val="20"/>
                <w:color w:val="auto"/>
              </w:rPr>
            </w:pPr>
            <w:r>
              <w:rPr>
                <w:rFonts w:ascii="Arial" w:cs="Arial" w:eastAsia="Arial" w:hAnsi="Arial"/>
                <w:sz w:val="18"/>
                <w:szCs w:val="18"/>
                <w:color w:val="auto"/>
              </w:rPr>
              <w:t>Avery Dennison Corporation</w:t>
            </w:r>
          </w:p>
        </w:tc>
      </w:tr>
      <w:tr>
        <w:trPr>
          <w:trHeight w:val="432"/>
        </w:trPr>
        <w:tc>
          <w:tcPr>
            <w:tcW w:w="7600" w:type="dxa"/>
            <w:vAlign w:val="bottom"/>
            <w:gridSpan w:val="8"/>
          </w:tcPr>
          <w:p>
            <w:pPr>
              <w:spacing w:after="0"/>
              <w:rPr>
                <w:sz w:val="20"/>
                <w:szCs w:val="20"/>
                <w:color w:val="auto"/>
              </w:rPr>
            </w:pPr>
            <w:r>
              <w:rPr>
                <w:rFonts w:ascii="Arial" w:cs="Arial" w:eastAsia="Arial" w:hAnsi="Arial"/>
                <w:sz w:val="18"/>
                <w:szCs w:val="18"/>
                <w:color w:val="auto"/>
                <w:w w:val="93"/>
              </w:rPr>
              <w:t>During the three months ended March 31, 2018, restructuring charges and payments were as follows: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Accrual at</w:t>
            </w:r>
          </w:p>
        </w:tc>
        <w:tc>
          <w:tcPr>
            <w:tcW w:w="480" w:type="dxa"/>
            <w:vAlign w:val="bottom"/>
          </w:tcPr>
          <w:p>
            <w:pPr>
              <w:spacing w:after="0"/>
              <w:rPr>
                <w:sz w:val="24"/>
                <w:szCs w:val="24"/>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Charges</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Foreign</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Accrual at</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(Reversals),</w:t>
            </w:r>
          </w:p>
        </w:tc>
        <w:tc>
          <w:tcPr>
            <w:tcW w:w="54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Cash</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Non-cash</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2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30, 2017</w:t>
            </w:r>
          </w:p>
        </w:tc>
        <w:tc>
          <w:tcPr>
            <w:tcW w:w="4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net</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Payments</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Impairment</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5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r>
      <w:tr>
        <w:trPr>
          <w:trHeight w:val="210"/>
        </w:trPr>
        <w:tc>
          <w:tcPr>
            <w:tcW w:w="2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2018 Plan</w:t>
            </w: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Asset impairment charges</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2015/2016 Actions</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Severance and related costs</w:t>
            </w:r>
          </w:p>
        </w:tc>
        <w:tc>
          <w:tcPr>
            <w:tcW w:w="130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cancellation costs</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Asset impairment charges</w:t>
            </w: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7"/>
        </w:trPr>
        <w:tc>
          <w:tcPr>
            <w:tcW w:w="2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12.7</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-2479675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-2479675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The table below shows the total amount of restructuring charges incurred by reportable segment:</w:t>
            </w: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7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4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March 31, 2018</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April 1, 2017</w:t>
            </w:r>
          </w:p>
        </w:tc>
        <w:tc>
          <w:tcPr>
            <w:tcW w:w="20" w:type="dxa"/>
            <w:vAlign w:val="bottom"/>
          </w:tcPr>
          <w:p>
            <w:pPr>
              <w:spacing w:after="0"/>
              <w:rPr>
                <w:sz w:val="18"/>
                <w:szCs w:val="18"/>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charges by reportable segment</w:t>
            </w:r>
          </w:p>
        </w:tc>
        <w:tc>
          <w:tcPr>
            <w:tcW w:w="8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830"/>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8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Industrial and Healthcare Materials</w:t>
            </w:r>
          </w:p>
        </w:tc>
        <w:tc>
          <w:tcPr>
            <w:tcW w:w="8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7"/>
        </w:trPr>
        <w:tc>
          <w:tcPr>
            <w:tcW w:w="7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12.7</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enter into foreign exchange hedge contracts to reduce our risk from foreign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March 31, 2018, the aggregate U.S. dollar equivalent notional value of our outstanding commodity contracts and foreign exchange contracts was $4.5 million and $974.3 million, respectively.</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recognize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We also enter into foreign exchange contracts to offset risks arising from foreign exchange rate fluctuations.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balance sheet locations of cash flow hedges as of March 31, 2018 and December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2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Balance Sheet Location</w:t>
            </w: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95"/>
              </w:rPr>
              <w:t>March 31, 2018</w:t>
            </w:r>
          </w:p>
        </w:tc>
        <w:tc>
          <w:tcPr>
            <w:tcW w:w="23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94"/>
              </w:rPr>
              <w:t>December 30, 2017</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2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42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Balance Sheet Location</w:t>
            </w: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Liability</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95"/>
              </w:rPr>
              <w:t>March 31, 2018</w:t>
            </w:r>
          </w:p>
        </w:tc>
        <w:tc>
          <w:tcPr>
            <w:tcW w:w="23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94"/>
              </w:rPr>
              <w:t>December 30, 2017</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2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Other current liabilities</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42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auto"/>
            </w:tcBorders>
            <w:shd w:val="clear" w:color="auto" w:fill="CCEEFF"/>
          </w:tcPr>
          <w:p>
            <w:pPr>
              <w:spacing w:after="0"/>
              <w:rPr>
                <w:sz w:val="18"/>
                <w:szCs w:val="18"/>
                <w:color w:val="auto"/>
              </w:rPr>
            </w:pPr>
          </w:p>
        </w:tc>
        <w:tc>
          <w:tcPr>
            <w:tcW w:w="4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balance sheet locations of other derivatives as of March 31, 2018 and December 30, 2017:</w:t>
      </w:r>
    </w:p>
    <w:p>
      <w:pPr>
        <w:sectPr>
          <w:pgSz w:w="11900" w:h="16838"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24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Balance Sheet Location</w:t>
            </w:r>
          </w:p>
        </w:tc>
        <w:tc>
          <w:tcPr>
            <w:tcW w:w="9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Asset</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2018</w:t>
            </w:r>
          </w:p>
        </w:tc>
        <w:tc>
          <w:tcPr>
            <w:tcW w:w="2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2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5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424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Balance Sheet Location</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Liability</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2018</w:t>
            </w:r>
          </w:p>
        </w:tc>
        <w:tc>
          <w:tcPr>
            <w:tcW w:w="2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30, 2017</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42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5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derivatives, representing either hedge ineffectiveness or hedge components excluded from the assessment of effectiveness, are recognized in current earnings.</w:t>
      </w:r>
    </w:p>
    <w:p>
      <w:pPr>
        <w:spacing w:after="0" w:line="19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Gains (losses), before taxes, recognized in “Accumulated other comprehensive loss” (effective portion) on derivatives related to cash flow hedge contracts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0"/>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March 31, 2018</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1, 2017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8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7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Neither the amount recognized in income related to the ineffective portion of, nor the amount excluded from, effectiveness testing for cash flow hedges and derivatives not designated as hedging instruments was material for the three months ended March 31, 2018 or April 1, 2017.</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As of March 31, 2018, we expected a net gain of approximately $.9 million to be reclassified from “Accumulated other comprehensive loss” to earnings within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For other derivative instruments, which are not designated as hedging instruments, the gain or loss is recognized in current earnings. These derivatives are intended to offset certain of our economic exposures. The following table shows the components of the net gains (losses) recognized in income related to these derivative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50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Location of Net Gains (Losses) in Income</w:t>
            </w:r>
          </w:p>
        </w:tc>
        <w:tc>
          <w:tcPr>
            <w:tcW w:w="8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8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March 31, 2018</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April 1, 2017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products sold</w:t>
            </w: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50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Marketing, general and administrative expense</w:t>
            </w:r>
          </w:p>
        </w:tc>
        <w:tc>
          <w:tcPr>
            <w:tcW w:w="8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auto"/>
            </w:tcBorders>
            <w:shd w:val="clear" w:color="auto" w:fill="CCEEFF"/>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March 2017, we designated the €500 million of our euro-denominated 1.25% senior notes due 2025 as a net investment hedge of our investment in foreign operations. The net assets from the investment in foreign operations were greater than the senior notes, and as such, the net investment hedge was effective. In January 2018, we reduced the amount we designate as a net investment hedge to €255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Gains (losses), before tax, recognized in “Accumulated other comprehensive loss” (effective portion) related to the net investment hedge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April 1, 2017</w:t>
            </w:r>
          </w:p>
        </w:tc>
        <w:tc>
          <w:tcPr>
            <w:tcW w:w="40" w:type="dxa"/>
            <w:vAlign w:val="bottom"/>
          </w:tcPr>
          <w:p>
            <w:pPr>
              <w:spacing w:after="0"/>
              <w:rPr>
                <w:sz w:val="18"/>
                <w:szCs w:val="18"/>
                <w:color w:val="auto"/>
              </w:rPr>
            </w:pPr>
          </w:p>
        </w:tc>
      </w:tr>
      <w:tr>
        <w:trPr>
          <w:trHeight w:val="217"/>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denominated debt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r>
      <w:tr>
        <w:trPr>
          <w:trHeight w:val="432"/>
        </w:trPr>
        <w:tc>
          <w:tcPr>
            <w:tcW w:w="7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132"/>
        </w:trPr>
        <w:tc>
          <w:tcPr>
            <w:tcW w:w="73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recorded no ineffectiveness from our net investment hedge in earnings during the three months ended March 31, 2018 and April 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Taxes Based on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income before taxes, provision for income taxes, and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0"/>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March 31, 2018</w:t>
            </w:r>
          </w:p>
        </w:tc>
        <w:tc>
          <w:tcPr>
            <w:tcW w:w="12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8"/>
              </w:rPr>
              <w:t>April 1, 2017</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159.1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135.9</w:t>
            </w:r>
          </w:p>
        </w:tc>
      </w:tr>
      <w:tr>
        <w:trPr>
          <w:trHeight w:val="216"/>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33.3</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23.7</w:t>
            </w:r>
          </w:p>
        </w:tc>
      </w:tr>
      <w:tr>
        <w:trPr>
          <w:trHeight w:val="217"/>
        </w:trPr>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4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20.9%</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bl>
    <w:p>
      <w:pPr>
        <w:spacing w:after="0" w:line="20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Our effective tax rate for the three months ended March 31, 2018 compared to the same period last year reflects a decrease in the U.S. federal statutory tax rate from 35% to 21%, offset by net tax charges related to certain U.S. international tax provisions, the loss of domestic manufacturing deductions and limitations on the deductibility of our executive compensation, all as a result of the Tax Cuts and Jobs Act (“TCJA”) enacted in December 2017.</w:t>
      </w:r>
    </w:p>
    <w:p>
      <w:pPr>
        <w:sectPr>
          <w:pgSz w:w="11900" w:h="16838" w:orient="portrait"/>
          <w:cols w:equalWidth="0" w:num="1">
            <w:col w:w="11460"/>
          </w:cols>
          <w:pgMar w:left="240" w:top="337" w:right="199" w:bottom="0" w:gutter="0" w:footer="0" w:header="0"/>
        </w:sectPr>
      </w:pPr>
    </w:p>
    <w:bookmarkStart w:id="9" w:name="page10"/>
    <w:bookmarkEnd w:id="9"/>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effective tax rate for the three months ended March 31, 2018 included $7.2 million of net tax charges related to the tax on global intangible low-taxed income of our foreign subsidiaries and the base-erosion anti-abuse tax on certain foreign earnings, partially offset by the benefit from foreign-derived intangible income; $2.8 million of tax charges resulting from recognizing foreign withholding taxes on current year earnings; and $4 million of tax benefit from the release of valuation allowances on certain state deferred tax assets primarily related to the impact of state conformity to certain TCJA provisions. These impacts were primarily a result of the TCJA. Additionally, the effective tax rate for the three months ended March 31, 2018 included a discrete tax benefit of $7.1 million related to excess tax benefits associated with stock-based payments and a discrete tax benefit of $7.1 million from decreases in certain tax reserves, including interest and penalties, as a result of closing tax years.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tax rate for the three months ended April 1, 2017 included net discrete tax benefits of $12.7 million related to excess tax benefits associated with stock-based payments and $1.5 million from decreases in certain tax reserves, including interest and penalties, as a result of closing tax years.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three months ended March 31, 2018 also included certain measurement period adjustments to the 2017 provisional amounts related to the enactment of the TCJA in accordance with guidance provided under SEC Staff Accounting Bulletin No. 118 (“SAB 118”). SAB 118 provides for a measurement period up to one year from the enactment of the TCJA within which we may complete our final assessment of the legislation’s impact. Measurement period adjustments determined during the first quarter of 2018 did not have a significant impact on our consolidated financial statements, either individually or in the aggregate. We did not finalize any aspects of the previously disclosed provisional amounts. Furthermore, we have not made a determination on our accounting policy choice related to our global intangible low-taxed income provision nor have we completed the assessment of our indefinite reinvestment assertions. We will continue to assess any future guidance and accounting interpretations on the effects of the TCJA and expect to complete our analysis within the measurement period afforded by SAB 118.</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We and our U.S. subsidiaries anticipate closing the Internal Revenue Service’s Compliance Assurance Process Program through 2016 in the second quarter of 2018. With some exceptions, our foreign subsidiaries are no longer subject to income tax examinations by tax authorities for years prior to 2006.</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during the next 12 months, we may realize a decrease in our uncertain tax positions, including interest and penalties, of approximately $23 million, primarily as a result of audit settlements and closing tax years.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Income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 was computed as follows:</w:t>
      </w:r>
    </w:p>
    <w:p>
      <w:pPr>
        <w:spacing w:after="0" w:line="221"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18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March 31, 2018</w:t>
            </w:r>
          </w:p>
        </w:tc>
        <w:tc>
          <w:tcPr>
            <w:tcW w:w="14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1, 2017</w:t>
            </w:r>
          </w:p>
        </w:tc>
      </w:tr>
      <w:tr>
        <w:trPr>
          <w:trHeight w:val="210"/>
        </w:trPr>
        <w:tc>
          <w:tcPr>
            <w:tcW w:w="8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 Net income available to common shareholders</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125.2</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(B) Weighted average number of common shares outstanding</w:t>
            </w:r>
          </w:p>
        </w:tc>
        <w:tc>
          <w:tcPr>
            <w:tcW w:w="94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88.0</w:t>
            </w:r>
          </w:p>
        </w:tc>
        <w:tc>
          <w:tcPr>
            <w:tcW w:w="70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88.4</w:t>
            </w:r>
          </w:p>
        </w:tc>
      </w:tr>
      <w:tr>
        <w:trPr>
          <w:trHeight w:val="216"/>
        </w:trPr>
        <w:tc>
          <w:tcPr>
            <w:tcW w:w="8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Dilutive shares (additional common shares issuable under stock-based awards)</w:t>
            </w:r>
          </w:p>
        </w:tc>
        <w:tc>
          <w:tcPr>
            <w:tcW w:w="9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0"/>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 Weighted average number of common shares outstanding, assuming dilution</w:t>
            </w: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89.6</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r>
      <w:tr>
        <w:trPr>
          <w:trHeight w:val="210"/>
        </w:trPr>
        <w:tc>
          <w:tcPr>
            <w:tcW w:w="8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 ÷ (B)</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1.42</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17"/>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common share, assuming dilution: (A) ÷ (C)</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1.40</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stock-based compensation awards were not included in the computation of net income per common share, assuming dilution, because they would not have had a dilutive effect. Stock-based compensation awards excluded from the computation were not significant for the three months ended March 31, 2018. Stock-based compensation awards excluded from the computation totaled approximately .1 million shares for the three months ended April 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three-month period ended March 31, 2018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Pension and</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66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Currency</w:t>
            </w:r>
          </w:p>
        </w:tc>
        <w:tc>
          <w:tcPr>
            <w:tcW w:w="1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Postretirement</w:t>
            </w:r>
          </w:p>
        </w:tc>
        <w:tc>
          <w:tcPr>
            <w:tcW w:w="16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Cash Flow</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Translation</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Benefits</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Hedges</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(156.2)</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(524.0)</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comprehensive income before reclassifications, net of tax</w:t>
            </w:r>
          </w:p>
        </w:tc>
        <w:tc>
          <w:tcPr>
            <w:tcW w:w="6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34.3</w:t>
            </w:r>
          </w:p>
        </w:tc>
        <w:tc>
          <w:tcPr>
            <w:tcW w:w="6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10"/>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current-period other comprehensive income, net of tax</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34.3</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r>
      <w:tr>
        <w:trPr>
          <w:trHeight w:val="217"/>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(121.9)</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(518.3)</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(net of tax) for the three-month period ended April 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Pension and</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3640" w:type="dxa"/>
            <w:vAlign w:val="bottom"/>
          </w:tcPr>
          <w:p>
            <w:pPr>
              <w:jc w:val="right"/>
              <w:ind w:right="210"/>
              <w:spacing w:after="0"/>
              <w:rPr>
                <w:sz w:val="20"/>
                <w:szCs w:val="20"/>
                <w:color w:val="auto"/>
              </w:rPr>
            </w:pPr>
            <w:r>
              <w:rPr>
                <w:rFonts w:ascii="Arial" w:cs="Arial" w:eastAsia="Arial" w:hAnsi="Arial"/>
                <w:sz w:val="18"/>
                <w:szCs w:val="18"/>
                <w:b w:val="1"/>
                <w:bCs w:val="1"/>
                <w:color w:val="auto"/>
              </w:rPr>
              <w:t>Foreign</w:t>
            </w: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364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w:t>
            </w:r>
          </w:p>
        </w:tc>
        <w:tc>
          <w:tcPr>
            <w:tcW w:w="1780" w:type="dxa"/>
            <w:vAlign w:val="bottom"/>
          </w:tcPr>
          <w:p>
            <w:pPr>
              <w:jc w:val="right"/>
              <w:ind w:right="310"/>
              <w:spacing w:after="0"/>
              <w:rPr>
                <w:sz w:val="20"/>
                <w:szCs w:val="20"/>
                <w:color w:val="auto"/>
              </w:rPr>
            </w:pPr>
            <w:r>
              <w:rPr>
                <w:rFonts w:ascii="Arial" w:cs="Arial" w:eastAsia="Arial" w:hAnsi="Arial"/>
                <w:sz w:val="18"/>
                <w:szCs w:val="18"/>
                <w:b w:val="1"/>
                <w:bCs w:val="1"/>
                <w:color w:val="auto"/>
              </w:rPr>
              <w:t>Postretirement</w:t>
            </w:r>
          </w:p>
        </w:tc>
        <w:tc>
          <w:tcPr>
            <w:tcW w:w="1760" w:type="dxa"/>
            <w:vAlign w:val="bottom"/>
          </w:tcPr>
          <w:p>
            <w:pPr>
              <w:ind w:left="380"/>
              <w:spacing w:after="0"/>
              <w:rPr>
                <w:sz w:val="20"/>
                <w:szCs w:val="20"/>
                <w:color w:val="auto"/>
              </w:rPr>
            </w:pPr>
            <w:r>
              <w:rPr>
                <w:rFonts w:ascii="Arial" w:cs="Arial" w:eastAsia="Arial" w:hAnsi="Arial"/>
                <w:sz w:val="18"/>
                <w:szCs w:val="18"/>
                <w:b w:val="1"/>
                <w:bCs w:val="1"/>
                <w:color w:val="auto"/>
              </w:rPr>
              <w:t>Cash Flow</w:t>
            </w:r>
          </w:p>
        </w:tc>
        <w:tc>
          <w:tcPr>
            <w:tcW w:w="1020" w:type="dxa"/>
            <w:vAlign w:val="bottom"/>
          </w:tcPr>
          <w:p>
            <w:pPr>
              <w:spacing w:after="0"/>
              <w:rPr>
                <w:sz w:val="18"/>
                <w:szCs w:val="18"/>
                <w:color w:val="auto"/>
              </w:rPr>
            </w:pPr>
          </w:p>
        </w:tc>
      </w:tr>
      <w:tr>
        <w:trPr>
          <w:trHeight w:val="234"/>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Benefits</w:t>
            </w:r>
          </w:p>
        </w:tc>
        <w:tc>
          <w:tcPr>
            <w:tcW w:w="17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Hedges</w:t>
            </w: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r>
      <w:tr>
        <w:trPr>
          <w:trHeight w:val="91"/>
        </w:trPr>
        <w:tc>
          <w:tcPr>
            <w:tcW w:w="3220" w:type="dxa"/>
            <w:vAlign w:val="bottom"/>
            <w:shd w:val="clear" w:color="auto" w:fill="CCEEFF"/>
          </w:tcPr>
          <w:p>
            <w:pPr>
              <w:spacing w:after="0"/>
              <w:rPr>
                <w:sz w:val="7"/>
                <w:szCs w:val="7"/>
                <w:color w:val="auto"/>
              </w:rPr>
            </w:pPr>
          </w:p>
        </w:tc>
        <w:tc>
          <w:tcPr>
            <w:tcW w:w="3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34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(212.6)</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w:t>
            </w:r>
          </w:p>
        </w:tc>
        <w:tc>
          <w:tcPr>
            <w:tcW w:w="1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7"/>
              </w:rPr>
              <w:t>1.0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gridSpan w:val="2"/>
          </w:tcPr>
          <w:p>
            <w:pPr>
              <w:spacing w:after="0" w:line="201" w:lineRule="exact"/>
              <w:rPr>
                <w:sz w:val="20"/>
                <w:szCs w:val="20"/>
                <w:color w:val="auto"/>
              </w:rPr>
            </w:pPr>
            <w:r>
              <w:rPr>
                <w:rFonts w:ascii="Arial" w:cs="Arial" w:eastAsia="Arial" w:hAnsi="Arial"/>
                <w:sz w:val="18"/>
                <w:szCs w:val="18"/>
                <w:color w:val="auto"/>
                <w:w w:val="95"/>
              </w:rPr>
              <w:t>Other comprehensive income (loss) before reclassifications, net of</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tax</w:t>
            </w:r>
          </w:p>
        </w:tc>
        <w:tc>
          <w:tcPr>
            <w:tcW w:w="7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35.5</w:t>
            </w:r>
          </w:p>
        </w:tc>
        <w:tc>
          <w:tcPr>
            <w:tcW w:w="7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Reclassifications to net income, net of tax</w:t>
            </w: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7"/>
              </w:rPr>
              <w:t>1.8</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Net current-period other comprehensive income (loss), net of tax</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35.5</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as of April 1, 2017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(177.1)</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(535.6)</w:t>
            </w:r>
          </w:p>
        </w:tc>
        <w:tc>
          <w:tcPr>
            <w:tcW w:w="12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9640" w:type="dxa"/>
            <w:vAlign w:val="bottom"/>
            <w:gridSpan w:val="8"/>
          </w:tcPr>
          <w:p>
            <w:pPr>
              <w:spacing w:after="0"/>
              <w:rPr>
                <w:sz w:val="20"/>
                <w:szCs w:val="20"/>
                <w:color w:val="auto"/>
              </w:rPr>
            </w:pPr>
            <w:r>
              <w:rPr>
                <w:rFonts w:ascii="Arial" w:cs="Arial" w:eastAsia="Arial" w:hAnsi="Arial"/>
                <w:sz w:val="18"/>
                <w:szCs w:val="18"/>
                <w:color w:val="auto"/>
                <w:w w:val="97"/>
              </w:rPr>
              <w:t>The amounts reclassified from “Accumulated other comprehensive loss” to increase (decrease) net income were as follows: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3"/>
              </w:rPr>
              <w:t>Affected Line Item in the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Statements Where Net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March 31, 2018</w:t>
            </w: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April 1, 2017</w:t>
            </w:r>
          </w:p>
        </w:tc>
        <w:tc>
          <w:tcPr>
            <w:tcW w:w="2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Income is Presented</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Foreign exchange contracts</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Interest rate contracts</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Interest expense</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Total before tax</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w:t>
            </w:r>
          </w:p>
        </w:tc>
        <w:tc>
          <w:tcPr>
            <w:tcW w:w="2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Provision for income taxes</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of tax</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Pension and other postretirement benefits</w:t>
            </w:r>
          </w:p>
        </w:tc>
        <w:tc>
          <w:tcPr>
            <w:tcW w:w="72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2340" w:type="dxa"/>
            <w:vAlign w:val="bottom"/>
            <w:gridSpan w:val="3"/>
          </w:tcPr>
          <w:p>
            <w:pPr>
              <w:ind w:left="80"/>
              <w:spacing w:after="0"/>
              <w:rPr>
                <w:sz w:val="20"/>
                <w:szCs w:val="20"/>
                <w:color w:val="auto"/>
              </w:rPr>
            </w:pPr>
            <w:r>
              <w:rPr>
                <w:rFonts w:ascii="Arial" w:cs="Arial" w:eastAsia="Arial" w:hAnsi="Arial"/>
                <w:sz w:val="18"/>
                <w:szCs w:val="18"/>
                <w:color w:val="auto"/>
                <w:w w:val="95"/>
              </w:rPr>
              <w:t>Other non-operating expense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0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Net of tax</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reclassifications for the period</w:t>
            </w: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3"/>
              </w:rPr>
              <w:t>Total, net of tax</w:t>
            </w:r>
          </w:p>
        </w:tc>
        <w:tc>
          <w:tcPr>
            <w:tcW w:w="8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income tax expense (benefit) allocated to each component of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6"/>
              </w:rPr>
              <w:t>Three Months Ended</w:t>
            </w:r>
          </w:p>
        </w:tc>
        <w:tc>
          <w:tcPr>
            <w:tcW w:w="640" w:type="dxa"/>
            <w:vAlign w:val="bottom"/>
            <w:tcBorders>
              <w:bottom w:val="single" w:sz="8" w:color="auto"/>
            </w:tcBorders>
          </w:tcPr>
          <w:p>
            <w:pPr>
              <w:spacing w:after="0"/>
              <w:rPr>
                <w:sz w:val="20"/>
                <w:szCs w:val="20"/>
                <w:color w:val="auto"/>
              </w:rPr>
            </w:pPr>
          </w:p>
        </w:tc>
      </w:tr>
      <w:tr>
        <w:trPr>
          <w:trHeight w:val="210"/>
        </w:trPr>
        <w:tc>
          <w:tcPr>
            <w:tcW w:w="8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March 31, 2018</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1, 2017</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Pension and other postretirement benefits</w:t>
            </w:r>
          </w:p>
        </w:tc>
        <w:tc>
          <w:tcPr>
            <w:tcW w:w="68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8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6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 allocated to components of other comprehensive income</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assets and liabilities carried at fair value, measured on a recurring basis, as of March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Fair Value Measurements Using</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6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Significant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Quoted Prices</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in Active</w:t>
            </w:r>
          </w:p>
        </w:tc>
        <w:tc>
          <w:tcPr>
            <w:tcW w:w="1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Observable</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Markets</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Inputs</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41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(Level 1)</w:t>
            </w:r>
          </w:p>
        </w:tc>
        <w:tc>
          <w:tcPr>
            <w:tcW w:w="4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Trading securities</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22.6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17.7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Bank drafts</w:t>
            </w:r>
          </w:p>
        </w:tc>
        <w:tc>
          <w:tcPr>
            <w:tcW w:w="16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19.2</w:t>
            </w: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Contingent consideration liabilities</w:t>
            </w:r>
          </w:p>
        </w:tc>
        <w:tc>
          <w:tcPr>
            <w:tcW w:w="1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42.5</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9960" w:type="dxa"/>
            <w:vAlign w:val="bottom"/>
            <w:gridSpan w:val="9"/>
          </w:tcPr>
          <w:p>
            <w:pPr>
              <w:spacing w:after="0"/>
              <w:rPr>
                <w:sz w:val="20"/>
                <w:szCs w:val="20"/>
                <w:color w:val="auto"/>
              </w:rPr>
            </w:pPr>
            <w:r>
              <w:rPr>
                <w:rFonts w:ascii="Arial" w:cs="Arial" w:eastAsia="Arial" w:hAnsi="Arial"/>
                <w:sz w:val="18"/>
                <w:szCs w:val="18"/>
                <w:color w:val="auto"/>
                <w:w w:val="96"/>
              </w:rPr>
              <w:t>The following table shows the assets and liabilities carried at fair value, measured on a recurring basis, as of December 30, 2017:</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0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24"/>
                <w:szCs w:val="24"/>
                <w:color w:val="auto"/>
              </w:rPr>
            </w:pPr>
          </w:p>
        </w:tc>
        <w:tc>
          <w:tcPr>
            <w:tcW w:w="8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Fair Value Measurements Using</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720" w:type="dxa"/>
            <w:vAlign w:val="bottom"/>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Quoted Prices</w:t>
            </w:r>
          </w:p>
        </w:tc>
        <w:tc>
          <w:tcPr>
            <w:tcW w:w="440" w:type="dxa"/>
            <w:vAlign w:val="bottom"/>
          </w:tcPr>
          <w:p>
            <w:pPr>
              <w:spacing w:after="0"/>
              <w:rPr>
                <w:sz w:val="16"/>
                <w:szCs w:val="16"/>
                <w:color w:val="auto"/>
              </w:rPr>
            </w:pPr>
          </w:p>
        </w:tc>
        <w:tc>
          <w:tcPr>
            <w:tcW w:w="11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46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Significant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in Active</w:t>
            </w:r>
          </w:p>
        </w:tc>
        <w:tc>
          <w:tcPr>
            <w:tcW w:w="4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6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Observable</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-1630680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-1630680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5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Inputs</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22.7</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17.7</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Bank drafts</w:t>
            </w:r>
          </w:p>
        </w:tc>
        <w:tc>
          <w:tcPr>
            <w:tcW w:w="170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5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liabilities</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Contingent consideration liabilities</w:t>
            </w:r>
          </w:p>
        </w:tc>
        <w:tc>
          <w:tcPr>
            <w:tcW w:w="1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45.0</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Trading securities include fixed income securities (primarily U.S. government and corporate debt securities) measured at fair value using quoted prices/bids and a money market fund measured at fair value using net asset value. As of March 31, 2018, trading securities of $.4 million and $22.2 million were included in “Cash and cash equivalents” and “Other current assets,” respectively, in the unaudited Condensed Consolidated Balance Sheets. As of December 30, 2017, trading securities of $.4 million and $22.3 million were included in “Cash and cash equivalents” and “Other current assets,” respectively, in the unaudited Condensed Consolidated Balance Sheets. Derivatives that are exchange-traded are measured at fair value using quoted market prices and classified within Level 1 of the 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were included in “Other current assets” in the unaudited Condensed Consolidated Balance Sheets. Contingent consideration liabilities relate to estimated earn-out payments associated with certain of our acquisitions completed in 2017. These payments are based on the achievement of certain performance targets in 2017 and 2018 based on the applicable terms of the purchase agreements, and our estimates are based on the expected payments related to these targets under the terms of their respective agreements. We have classified these liabilities as Level 3. As of March 31, 2018, contingent consideration liabilities were included in “Other current liabilities” in the unaudited Condensed Consolidated Balance Sheets. As of December 30, 2017, contingent consideration liabilities of approximately $18 million and $27 million were included in “Other current liabilities” and “Long-term retirement benefits and other liabilities,” respectively, in the unaudited Condensed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Level 3 contingent consideration liabilities activity for the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 Liabilities</w:t>
            </w:r>
          </w:p>
        </w:tc>
      </w:tr>
      <w:tr>
        <w:trPr>
          <w:trHeight w:val="210"/>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Contingent Consideration</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8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first quarter of 2018, long lived-assets with carrying amounts totaling $17.2 million were written down to their fair value of $10.3 million, resulting in an impairment charge of $6.9 million, which was included in “Other expense, net” in the unaudited Condensed Consolidated Statements of Income. The fair value was based on the estimated sale price of the assets, less estimated broker fees, which is primarily a Level 3 input.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potential liabilities.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costs of compliance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potential liabilities.</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2018,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negotiate with the EPA or other governmental authorities.</w:t>
      </w:r>
    </w:p>
    <w:p>
      <w:pPr>
        <w:sectPr>
          <w:pgSz w:w="11900" w:h="16838" w:orient="portrait"/>
          <w:cols w:equalWidth="0" w:num="1">
            <w:col w:w="11420"/>
          </w:cols>
          <w:pgMar w:left="240" w:top="121" w:right="239" w:bottom="0" w:gutter="0" w:footer="0" w:header="0"/>
        </w:sectPr>
      </w:pPr>
    </w:p>
    <w:bookmarkStart w:id="12" w:name="page13"/>
    <w:bookmarkEnd w:id="12"/>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the three months ended March 31, 2018 related to our environmental liabilities was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30, 2017</w:t>
            </w:r>
          </w:p>
        </w:tc>
        <w:tc>
          <w:tcPr>
            <w:tcW w:w="44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Charges (reversals), net</w:t>
            </w:r>
          </w:p>
        </w:tc>
        <w:tc>
          <w:tcPr>
            <w:tcW w:w="4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4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March 31, 2018</w:t>
            </w:r>
          </w:p>
        </w:tc>
        <w:tc>
          <w:tcPr>
            <w:tcW w:w="4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Approximately $4 million and $5 million of the balance was classified as short-term and included in “Other current liabilities” in the unaudited Condensed Consolidated Balance Sheets as of March 31, 2018 and December 30, 2017, respectively.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and Disaggregated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 Information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Disaggregated revenue information is set forth below in a manner which best depicts how the nature, amount, timing and uncertainty of our revenue and cash flows are affected by economic factors. Revenue from our LGM reportable segment is attributed to geographic areas based on the location from which products are shipped. Revenue from our </w:t>
      </w:r>
      <w:r>
        <w:rPr>
          <w:rFonts w:ascii="Arial" w:cs="Arial" w:eastAsia="Arial" w:hAnsi="Arial"/>
          <w:sz w:val="17"/>
          <w:szCs w:val="17"/>
          <w:color w:val="auto"/>
        </w:rPr>
        <w:t>RBIS</w:t>
      </w:r>
      <w:r>
        <w:rPr>
          <w:rFonts w:ascii="Arial" w:cs="Arial" w:eastAsia="Arial" w:hAnsi="Arial"/>
          <w:sz w:val="18"/>
          <w:szCs w:val="18"/>
          <w:color w:val="auto"/>
        </w:rPr>
        <w:t xml:space="preserve"> reportable segment is shown by product group.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2018</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April 1, 2017</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to unaffiliated customers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299.7</w:t>
            </w: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484.9</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16"/>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86.1</w:t>
            </w:r>
          </w:p>
        </w:tc>
      </w:tr>
      <w:tr>
        <w:trPr>
          <w:trHeight w:val="216"/>
        </w:trPr>
        <w:tc>
          <w:tcPr>
            <w:tcW w:w="8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10"/>
        </w:trPr>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Label and Graphic Materials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1,218.2</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1,089.6</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Apparel</w:t>
            </w:r>
          </w:p>
        </w:tc>
        <w:tc>
          <w:tcPr>
            <w:tcW w:w="2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347.2</w:t>
            </w:r>
          </w:p>
        </w:tc>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327.6</w:t>
            </w:r>
          </w:p>
        </w:tc>
      </w:tr>
      <w:tr>
        <w:trPr>
          <w:trHeight w:val="216"/>
        </w:trPr>
        <w:tc>
          <w:tcPr>
            <w:tcW w:w="8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Printer Solutions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10"/>
        </w:trPr>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Retail Branding and Information Solutions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366.8</w:t>
            </w:r>
          </w:p>
        </w:tc>
      </w:tr>
      <w:tr>
        <w:trPr>
          <w:trHeight w:val="210"/>
        </w:trPr>
        <w:tc>
          <w:tcPr>
            <w:tcW w:w="8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r>
      <w:tr>
        <w:trPr>
          <w:trHeight w:val="217"/>
        </w:trPr>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1,776.4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1,572.1</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Additional financial information by reportable segment is set forth below:</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March 31, 2018</w:t>
      </w:r>
      <w:r>
        <w:rPr>
          <w:sz w:val="20"/>
          <w:szCs w:val="20"/>
          <w:color w:val="auto"/>
        </w:rPr>
        <w:tab/>
      </w:r>
      <w:r>
        <w:rPr>
          <w:rFonts w:ascii="Arial" w:cs="Arial" w:eastAsia="Arial" w:hAnsi="Arial"/>
          <w:sz w:val="16"/>
          <w:szCs w:val="16"/>
          <w:b w:val="1"/>
          <w:bCs w:val="1"/>
          <w:color w:val="auto"/>
        </w:rPr>
        <w:t>April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-130810</wp:posOffset>
            </wp:positionV>
            <wp:extent cx="22123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2" w:lineRule="exact"/>
        <w:rPr>
          <w:sz w:val="20"/>
          <w:szCs w:val="20"/>
          <w:color w:val="auto"/>
        </w:rPr>
      </w:pPr>
    </w:p>
    <w:p>
      <w:pPr>
        <w:sectPr>
          <w:pgSz w:w="11900" w:h="16900" w:orient="portrait"/>
          <w:cols w:equalWidth="0" w:num="2">
            <w:col w:w="7700" w:space="720"/>
            <w:col w:w="30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Intersegment sales</w:t>
            </w:r>
          </w:p>
        </w:tc>
        <w:tc>
          <w:tcPr>
            <w:tcW w:w="3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Label and Graphic Materials</w:t>
            </w:r>
          </w:p>
        </w:tc>
        <w:tc>
          <w:tcPr>
            <w:tcW w:w="3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18.9</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Retail Branding and Information Solutions</w:t>
            </w: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Industrial and Healthcare Materials</w:t>
            </w:r>
          </w:p>
        </w:tc>
        <w:tc>
          <w:tcPr>
            <w:tcW w:w="3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17"/>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3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21.2</w:t>
            </w: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3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Label and Graphic Materials</w:t>
            </w:r>
          </w:p>
        </w:tc>
        <w:tc>
          <w:tcPr>
            <w:tcW w:w="3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149.7</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31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34.7</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Corporate expense</w:t>
            </w:r>
          </w:p>
        </w:tc>
        <w:tc>
          <w:tcPr>
            <w:tcW w:w="310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(21.8)</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non-operating expense</w:t>
            </w:r>
          </w:p>
        </w:tc>
        <w:tc>
          <w:tcPr>
            <w:tcW w:w="3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3"/>
        </w:trPr>
        <w:tc>
          <w:tcPr>
            <w:tcW w:w="578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341" w:right="23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159.1</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Other expense, net by reportable segment</w:t>
            </w:r>
          </w:p>
        </w:tc>
        <w:tc>
          <w:tcPr>
            <w:tcW w:w="2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Label and Graphic Materials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Retail Branding and Information Solutions</w:t>
            </w:r>
          </w:p>
        </w:tc>
        <w:tc>
          <w:tcPr>
            <w:tcW w:w="2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Industrial and Healthcare Materials</w:t>
            </w:r>
          </w:p>
        </w:tc>
        <w:tc>
          <w:tcPr>
            <w:tcW w:w="2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7"/>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expense, net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12.8</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Restructuring charges:</w:t>
            </w:r>
          </w:p>
        </w:tc>
        <w:tc>
          <w:tcPr>
            <w:tcW w:w="2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Asset impairment charges and lease cancellation costs</w:t>
            </w:r>
          </w:p>
        </w:tc>
        <w:tc>
          <w:tcPr>
            <w:tcW w:w="2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restructuring related charge</w:t>
            </w:r>
          </w:p>
        </w:tc>
        <w:tc>
          <w:tcPr>
            <w:tcW w:w="2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sales of assets</w:t>
            </w:r>
          </w:p>
        </w:tc>
        <w:tc>
          <w:tcPr>
            <w:tcW w:w="2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Transaction costs</w:t>
            </w:r>
          </w:p>
        </w:tc>
        <w:tc>
          <w:tcPr>
            <w:tcW w:w="2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17"/>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432"/>
        </w:trPr>
        <w:tc>
          <w:tcPr>
            <w:tcW w:w="6100" w:type="dxa"/>
            <w:vAlign w:val="bottom"/>
          </w:tcPr>
          <w:p>
            <w:pPr>
              <w:spacing w:after="0"/>
              <w:rPr>
                <w:sz w:val="20"/>
                <w:szCs w:val="20"/>
                <w:color w:val="auto"/>
              </w:rPr>
            </w:pPr>
            <w:r>
              <w:rPr>
                <w:rFonts w:ascii="Arial" w:cs="Arial" w:eastAsia="Arial" w:hAnsi="Arial"/>
                <w:sz w:val="18"/>
                <w:szCs w:val="18"/>
                <w:b w:val="1"/>
                <w:bCs w:val="1"/>
                <w:color w:val="auto"/>
              </w:rPr>
              <w:t>Note 15. Supplemental Financial Information</w:t>
            </w:r>
          </w:p>
        </w:tc>
        <w:tc>
          <w:tcPr>
            <w:tcW w:w="2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8"/>
        </w:trPr>
        <w:tc>
          <w:tcPr>
            <w:tcW w:w="610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inventories consisted of the following:</w:t>
            </w:r>
          </w:p>
        </w:tc>
        <w:tc>
          <w:tcPr>
            <w:tcW w:w="2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March 31, 2018</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30, 2017</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248.3</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Work-in-progress</w:t>
            </w:r>
          </w:p>
        </w:tc>
        <w:tc>
          <w:tcPr>
            <w:tcW w:w="256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194.3</w:t>
            </w:r>
          </w:p>
        </w:tc>
        <w:tc>
          <w:tcPr>
            <w:tcW w:w="8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179.8</w:t>
            </w:r>
          </w:p>
        </w:tc>
      </w:tr>
      <w:tr>
        <w:trPr>
          <w:trHeight w:val="216"/>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235.6</w:t>
            </w: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215.2</w:t>
            </w:r>
          </w:p>
        </w:tc>
      </w:tr>
      <w:tr>
        <w:trPr>
          <w:trHeight w:val="217"/>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 net</w:t>
            </w: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678.2</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609.6</w:t>
            </w:r>
          </w:p>
        </w:tc>
      </w:tr>
      <w:tr>
        <w:trPr>
          <w:trHeight w:val="432"/>
        </w:trPr>
        <w:tc>
          <w:tcPr>
            <w:tcW w:w="610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2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March 31, 2018</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30, 2017</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3,032.0</w:t>
            </w: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3,000.9</w:t>
            </w:r>
          </w:p>
        </w:tc>
      </w:tr>
      <w:tr>
        <w:trPr>
          <w:trHeight w:val="216"/>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2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(1,914.4)</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(1,903.0)</w:t>
            </w:r>
          </w:p>
        </w:tc>
      </w:tr>
      <w:tr>
        <w:trPr>
          <w:trHeight w:val="217"/>
        </w:trPr>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1,117.6</w:t>
            </w:r>
          </w:p>
        </w:tc>
        <w:tc>
          <w:tcPr>
            <w:tcW w:w="8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Research and development expense was $24.8 million and $22.9 million for the three months ended March 31, 2018 and April 1, 2017, respectively. This expense was included in “Marketing, general and administrative expense” in the unaudited Condensed Consolidated Statements of Income.</w:t>
      </w:r>
    </w:p>
    <w:p>
      <w:pPr>
        <w:spacing w:after="0" w:line="16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of our equity method investment were $9 million and $9.1 million as of March 31, 2018 and December 30, 2017, respectively, and were included in “Other assets” in the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Recent Accounting Requirements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2017, the Financial Accounting Standards Board (“FASB”) issued amended guidance to improve the financial reporting of hedging relationships by better reflecting the economic results of an entity’s risk management activities in its financial statements, as well as to simplify the application of hedge accounting. Adoption of this amended presentation and disclosure guidance is required prospectively. This guidance will be effective for interim and annual periods beginning after December 15, 2018, and early adoption is permitted. We are currently assessing the timing of our adoption and the impact of this guidance on our financial position, results of operations, cash flows, and disclosures.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2016, and in subsequent updates, the FASB issued guidance on accounting for leases that requires lessees to recognize the rights and obligations created by leases on their balance sheets. This guidance also requires enhanced disclosures regarding the amount, timing, and uncertainty of cash flows arising from leases and will be effective for interim and annual periods beginning after December 15, 2018. Early adoption is permitted. Modified retrospective adoption is required with respect to all leases that exist at or commence after the date of initial application of this guidance, with the option to use certain practical expedients. We established a cross-functional team to manage the assessment, design, and implementation of this new guidance. While we are still assessing the impact of this guidance on our financial position, results of operations, cash flows, and disclosures, we currently expect the adoption of this guidance to have a significant impact on our financial position and disclosures.</w:t>
      </w:r>
    </w:p>
    <w:p>
      <w:pPr>
        <w:spacing w:after="0" w:line="17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420"/>
          </w:cols>
          <w:pgMar w:left="240" w:top="140" w:right="239" w:bottom="36" w:gutter="0" w:footer="0" w:header="0"/>
        </w:sectPr>
      </w:pPr>
    </w:p>
    <w:bookmarkStart w:id="14" w:name="page15"/>
    <w:bookmarkEnd w:id="14"/>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00" w:type="dxa"/>
            <w:vAlign w:val="bottom"/>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Non-GAAP Financial Measures</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2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Overview and Outlook</w:t>
              </w:r>
            </w:hyperlink>
          </w:p>
        </w:tc>
        <w:tc>
          <w:tcPr>
            <w:tcW w:w="5300" w:type="dxa"/>
            <w:vAlign w:val="bottom"/>
            <w:gridSpan w:val="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Analysis of Results of Operations for the First Quarter</w:t>
              </w:r>
            </w:hyperlink>
          </w:p>
        </w:tc>
        <w:tc>
          <w:tcPr>
            <w:tcW w:w="3680" w:type="dxa"/>
            <w:vAlign w:val="bottom"/>
            <w:gridSpan w:val="2"/>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7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Results of Operations by Reportable Segment for the First Quarter</w:t>
              </w:r>
            </w:hyperlink>
          </w:p>
        </w:tc>
        <w:tc>
          <w:tcPr>
            <w:tcW w:w="2820" w:type="dxa"/>
            <w:vAlign w:val="bottom"/>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600" w:type="dxa"/>
            <w:vAlign w:val="bottom"/>
            <w:gridSpan w:val="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Financial Condition</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7600" w:type="dxa"/>
            <w:vAlign w:val="bottom"/>
            <w:gridSpan w:val="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Recent Accounting Requirements</w:t>
              </w:r>
            </w:hyperlink>
          </w:p>
        </w:tc>
        <w:tc>
          <w:tcPr>
            <w:tcW w:w="3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presentation of our financial results that are prepared in accordance with GAAP. Based upon feedback from investors and financial analysts, we believe that the supplemental non-GAAP financial measures we provide are useful to their assessment of our performance and operating trends, as well as liquidity.</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both positive or negative, of certain items (e.g., restructuring charges, legal settlements, certain effects of strategic transactions and related costs, losses from debt extinguishments, gains and losses from curtailment and settlement of pension obligations, gains or losses on sales of certain assets, and other items), we believe that we are providing meaningful supplemental information that facilitates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non-GAAP financial measures in this MD&amp;A:</w:t>
      </w:r>
    </w:p>
    <w:p>
      <w:pPr>
        <w:spacing w:after="0" w:line="225" w:lineRule="exact"/>
        <w:rPr>
          <w:sz w:val="20"/>
          <w:szCs w:val="20"/>
          <w:color w:val="auto"/>
        </w:rPr>
      </w:pPr>
    </w:p>
    <w:p>
      <w:pPr>
        <w:jc w:val="both"/>
        <w:ind w:left="420" w:hanging="412"/>
        <w:spacing w:after="0" w:line="25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Sales change ex. currency </w:t>
      </w:r>
      <w:r>
        <w:rPr>
          <w:rFonts w:ascii="Arial" w:cs="Arial" w:eastAsia="Arial" w:hAnsi="Arial"/>
          <w:sz w:val="18"/>
          <w:szCs w:val="18"/>
          <w:color w:val="auto"/>
        </w:rPr>
        <w:t>refers to the increase or decrease in sales excluding the estimated impact of foreign currency translation.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foreign currency translation is calculated on a constant currency basis, with prior period results translated at current period average exchange rates to exclude the effect of foreign currency fluctuations.</w:t>
      </w:r>
    </w:p>
    <w:p>
      <w:pPr>
        <w:ind w:left="420" w:right="20" w:hanging="412"/>
        <w:spacing w:after="0" w:line="261"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Organic sales change </w:t>
      </w:r>
      <w:r>
        <w:rPr>
          <w:rFonts w:ascii="Arial" w:cs="Arial" w:eastAsia="Arial" w:hAnsi="Arial"/>
          <w:sz w:val="18"/>
          <w:szCs w:val="18"/>
          <w:color w:val="auto"/>
        </w:rPr>
        <w:t>refers to the increase or decrease in sales excluding the estimated impact of foreign currency translation, product line exits,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divestitures, and, where applicable, the extra week in our fiscal year.</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sales change ex. currency and organic sales change assist investors in evaluating the sales growth from the ongoing activities of our businesses and provide greater ability to evaluate our results from period to period.</w:t>
      </w:r>
    </w:p>
    <w:p>
      <w:pPr>
        <w:spacing w:after="0" w:line="170" w:lineRule="exact"/>
        <w:rPr>
          <w:sz w:val="20"/>
          <w:szCs w:val="20"/>
          <w:color w:val="auto"/>
        </w:rPr>
      </w:pPr>
    </w:p>
    <w:p>
      <w:pPr>
        <w:jc w:val="both"/>
        <w:ind w:left="340" w:right="20" w:hanging="332"/>
        <w:spacing w:after="0" w:line="288" w:lineRule="auto"/>
        <w:tabs>
          <w:tab w:leader="none" w:pos="38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Free cash flow </w:t>
      </w:r>
      <w:r>
        <w:rPr>
          <w:rFonts w:ascii="Arial" w:cs="Arial" w:eastAsia="Arial" w:hAnsi="Arial"/>
          <w:sz w:val="16"/>
          <w:szCs w:val="16"/>
          <w:color w:val="auto"/>
        </w:rPr>
        <w:t>refers to cash flow from operations, less payments for property, plant and equipment, software and other deferred charges, plus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sales of property, plant and equipment, plus (minus) net proceeds from sales (purchases) of investments and proceeds from insurance. We believe that free cash flow assists investors by showing the amount of cash we have available for debt reductions, dividends, share repurchases, and acquisitions.</w:t>
      </w:r>
    </w:p>
    <w:p>
      <w:pPr>
        <w:jc w:val="both"/>
        <w:ind w:left="340" w:hanging="332"/>
        <w:spacing w:after="0" w:line="269" w:lineRule="auto"/>
        <w:tabs>
          <w:tab w:leader="none" w:pos="38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Operational working capital </w:t>
      </w:r>
      <w:r>
        <w:rPr>
          <w:rFonts w:ascii="Arial" w:cs="Arial" w:eastAsia="Arial" w:hAnsi="Arial"/>
          <w:sz w:val="17"/>
          <w:szCs w:val="17"/>
          <w:color w:val="auto"/>
        </w:rPr>
        <w:t>refers to trade accounts receivable and inventories, net of accounts payable, and excludes cash and cash equivalents, short-term 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reported sales change are shown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4720" w:type="dxa"/>
            <w:vAlign w:val="bottom"/>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10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2018</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4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r>
      <w:tr>
        <w:trPr>
          <w:trHeight w:val="210"/>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4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Acquisitions/divestitures</w:t>
            </w:r>
          </w:p>
        </w:tc>
        <w:tc>
          <w:tcPr>
            <w:tcW w:w="4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23"/>
        </w:trPr>
        <w:tc>
          <w:tcPr>
            <w:tcW w:w="510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2261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Totals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2018,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income increased approximately $13 million in the first quarter of 2018 compared to the same period last year. Major factors affecting net income in the first three months of 2018 included:</w:t>
      </w:r>
    </w:p>
    <w:p>
      <w:pPr>
        <w:sectPr>
          <w:pgSz w:w="11900" w:h="16915" w:orient="portrait"/>
          <w:cols w:equalWidth="0" w:num="1">
            <w:col w:w="11420"/>
          </w:cols>
          <w:pgMar w:left="240" w:top="125"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Positive factors:</w:t>
      </w:r>
    </w:p>
    <w:p>
      <w:pPr>
        <w:spacing w:after="0" w:line="23"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Volume/mix</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Benefits from productivity initiatives, including savings from restructuring actions, net of transition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Offsetting factors:</w:t>
      </w:r>
    </w:p>
    <w:p>
      <w:pPr>
        <w:spacing w:after="0" w:line="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employee-related costs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investments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restructuring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 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Plan</w:t>
      </w:r>
    </w:p>
    <w:p>
      <w:pPr>
        <w:spacing w:after="0" w:line="9"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On April 19, 2018, we approved a restructuring plan (the “2018 Plan”) associated with the consolidation of the European footprint of our Label and Graphic Materials (“LGM”) reportable segment, which is expected to result in a headcount reduction of 350 to 400 positions related to the closure of a manufacturing facility. This reduction is expected to be partially offset by headcount additions in other locations, resulting in a net reduction of approximately 150 positions. We expect the 2018 Plan to be largely complete by the end of 2019.</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2018, we recorded $6.9 million in non-cash asset impairment charges related to the 2018 Plan. Total pretax restructuring charges associated with the 2018 Plan are estimated at approximately $70 million. The remaining charges relate to cash costs primarily for severance, most of which are expected to be recognized during the second quarter of 2018. The vast majority of the cash payments associated with these charges is expected to be made in 2019. We anticipate annualized savings from the 2018 Plan of approximately $25 million, beginning in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2015/2016 Actions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2018, we recorded $5.8 million in restructuring charges, net of reversals, related to restructuring actions initiated during the third quarter of 2015 (“2015/2016 Actions”). These charges consisted of severance and related costs for the reduction of approximately 200 positions, lease cancellation costs, and asset impairment charges.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Cost Reduction 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anticipate savings from cost reduction actions, net of transition costs, of approximately $25 million to $30 million in 2018.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were included in “Other expense, net” in the unaudited Condensed Consolidated Statements of Income. Refer to Note 7, “Cost Reduction Actions,” to the unaudited Condensed Consolidated Financial Statements for more information.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 and Guidance Updates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first quarter of 2018, we adopted a new accounting pronouncement and several accounting guidance updates. Refer to Note 1, “General,” to the unaudited Condensed Consolidated Financial Statements for more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w:t>
            </w: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79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720" w:type="dxa"/>
            <w:vAlign w:val="bottom"/>
            <w:tcBorders>
              <w:bottom w:val="single" w:sz="8" w:color="auto"/>
            </w:tcBorders>
          </w:tcPr>
          <w:p>
            <w:pPr>
              <w:spacing w:after="0"/>
              <w:rPr>
                <w:sz w:val="24"/>
                <w:szCs w:val="24"/>
                <w:color w:val="auto"/>
              </w:rPr>
            </w:pPr>
          </w:p>
        </w:tc>
      </w:tr>
      <w:tr>
        <w:trPr>
          <w:trHeight w:val="210"/>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March 31, 2018</w:t>
            </w: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April 1, 2017</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16.0</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7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(35.6)</w:t>
            </w: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software and other deferred charges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(7.3)</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7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of investments and proceeds from insurance, net</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17"/>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Free cash flow</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(19.7)</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net cash provided by operating activities increased compared to the same period last year primarily due to higher net income and improved operational working capital, partially offset by higher incentive compensation payments and income tax payments, net of refunds. Free cash flow in the first three months of 2018 increased compared to the same period last year primarily due to higher proceeds from sales of property, plant and equipment, partially offset by higher capital and software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factors that we believe may contribute to our 2018 results are described below:</w:t>
      </w:r>
    </w:p>
    <w:p>
      <w:pPr>
        <w:spacing w:after="0" w:line="211"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our net sales to increase by approximately 9.5%.</w:t>
      </w:r>
    </w:p>
    <w:p>
      <w:pPr>
        <w:spacing w:after="0" w:line="23" w:lineRule="exact"/>
        <w:rPr>
          <w:rFonts w:ascii="Arial" w:cs="Arial" w:eastAsia="Arial" w:hAnsi="Arial"/>
          <w:sz w:val="18"/>
          <w:szCs w:val="18"/>
          <w:color w:val="auto"/>
        </w:rPr>
      </w:pPr>
    </w:p>
    <w:p>
      <w:pPr>
        <w:ind w:left="660" w:hanging="328"/>
        <w:spacing w:after="0" w:line="250" w:lineRule="auto"/>
        <w:tabs>
          <w:tab w:leader="none" w:pos="66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continuation of foreign currency rates in effect during April 2018, we expect foreign currency translation to increase pre-tax operating income by approximately $35 million.</w:t>
      </w: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our full year effective tax rate to be in the mid-twenty percent range.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anticipate our capital and software expenditures to be in the range of $250 million to $270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estimate restructuring charges of approximately $90 million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 FOR THE FIRST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Taxes</w:t>
      </w:r>
    </w:p>
    <w:p>
      <w:pPr>
        <w:sectPr>
          <w:pgSz w:w="11900" w:h="16838" w:orient="portrait"/>
          <w:cols w:equalWidth="0" w:num="1">
            <w:col w:w="11420"/>
          </w:cols>
          <w:pgMar w:left="240" w:top="341" w:right="239" w:bottom="0" w:gutter="0" w:footer="0" w:header="0"/>
        </w:sectPr>
      </w:pPr>
    </w:p>
    <w:bookmarkStart w:id="16" w:name="page17"/>
    <w:bookmarkEnd w:id="16"/>
    <w:p>
      <w:pPr>
        <w:spacing w:after="0" w:line="136"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gridSpan w:val="2"/>
          </w:tcPr>
          <w:p>
            <w:pPr>
              <w:spacing w:after="0"/>
              <w:rPr>
                <w:sz w:val="20"/>
                <w:szCs w:val="20"/>
                <w:color w:val="auto"/>
              </w:rPr>
            </w:pPr>
            <w:r>
              <w:rPr>
                <w:rFonts w:ascii="Arial" w:cs="Arial" w:eastAsia="Arial" w:hAnsi="Arial"/>
                <w:sz w:val="14"/>
                <w:szCs w:val="14"/>
                <w:color w:val="auto"/>
              </w:rPr>
              <w:t>(In millions, except percentages)</w:t>
            </w:r>
          </w:p>
        </w:tc>
        <w:tc>
          <w:tcPr>
            <w:tcW w:w="196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March 31, 2018</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1,776.4</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products sold</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1,293.0</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483.4</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Marketing, general and administrative expense</w:t>
            </w:r>
          </w:p>
        </w:tc>
        <w:tc>
          <w:tcPr>
            <w:tcW w:w="76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295.0</w:t>
            </w:r>
          </w:p>
        </w:tc>
        <w:tc>
          <w:tcPr>
            <w:tcW w:w="4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taxes</w:t>
            </w: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159.1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profit margin</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27.2%</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Gross profit margin for the first quarter of 2018 decreased compared to the same period last year reflecting an unfavorable impact of changes in foreign currency rates, increased depreciation expense, and the net impact of pricing and raw material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Marketing, general and administrative expense increased in the first quarter of 2018 compared to the same period last year reflecting the impact of foreign currency translation, the impact of acquisitions, and growth investments, partially offset by benefits from productivity initiatives, including savings from restructuring, net of transition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132"/>
        </w:trPr>
        <w:tc>
          <w:tcPr>
            <w:tcW w:w="1280" w:type="dxa"/>
            <w:vAlign w:val="bottom"/>
            <w:tcBorders>
              <w:bottom w:val="single" w:sz="8" w:color="808080"/>
            </w:tcBorders>
          </w:tcPr>
          <w:p>
            <w:pPr>
              <w:spacing w:after="0"/>
              <w:rPr>
                <w:sz w:val="11"/>
                <w:szCs w:val="11"/>
                <w:color w:val="auto"/>
              </w:rPr>
            </w:pPr>
          </w:p>
        </w:tc>
        <w:tc>
          <w:tcPr>
            <w:tcW w:w="64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7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Other Expense, net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w w:val="98"/>
              </w:rPr>
              <w:t>Three Months Ended</w:t>
            </w:r>
          </w:p>
        </w:tc>
      </w:tr>
      <w:tr>
        <w:trPr>
          <w:trHeight w:val="210"/>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0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March 31, 2018</w:t>
            </w: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April 1, 2017</w:t>
            </w:r>
          </w:p>
        </w:tc>
        <w:tc>
          <w:tcPr>
            <w:tcW w:w="40" w:type="dxa"/>
            <w:vAlign w:val="bottom"/>
          </w:tcPr>
          <w:p>
            <w:pPr>
              <w:spacing w:after="0"/>
              <w:rPr>
                <w:sz w:val="18"/>
                <w:szCs w:val="18"/>
                <w:color w:val="auto"/>
              </w:rPr>
            </w:pPr>
          </w:p>
        </w:tc>
      </w:tr>
      <w:tr>
        <w:trPr>
          <w:trHeight w:val="21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expense, net by type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Restructuring charges:</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Severance and related costs</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16"/>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Asset impairment and lease cancellation charges</w:t>
            </w:r>
          </w:p>
        </w:tc>
        <w:tc>
          <w:tcPr>
            <w:tcW w:w="8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Other restructuring related charge</w:t>
            </w:r>
          </w:p>
        </w:tc>
        <w:tc>
          <w:tcPr>
            <w:tcW w:w="8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gains on sale of assets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7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Transaction costs</w:t>
            </w:r>
          </w:p>
        </w:tc>
        <w:tc>
          <w:tcPr>
            <w:tcW w:w="8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7"/>
        </w:trPr>
        <w:tc>
          <w:tcPr>
            <w:tcW w:w="7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-2625725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-2625725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Refer to Note 7, “Cost Reduction Actions,” to the unaudited Condensed Consolidated Financial Statements for more information regarding charges associated with restructuring.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Interest expense decreased in the first quarter of 2018 compared to the same period last year reflecting the repayment of senior notes in October 2017, partially offset by interest expense from our senior notes issued in March 2017. Refer to Note 4, “Debt,” to the unaudited Condensed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Expense</w:t>
      </w:r>
    </w:p>
    <w:p>
      <w:pPr>
        <w:spacing w:after="0" w:line="2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the first quarter of 2018, we adopted an accounting guidance update that requires certain employers with defined benefit plans to present the components of net periodic benefit cost other than service cost, outside of operating income. Refer to Note 1, “General,” to the unaudited Condensed Consolidated Financial Statements for more information. Other non-operating expense decreased in the first quarter of 2018 compared to the same period last year reflecting a higher expected return on plan assets in certain of our international defined benefit pension plans, partially offset by a settlement loss in a U.S. defined benefit pension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5"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amounts)</w:t>
            </w:r>
          </w:p>
        </w:tc>
        <w:tc>
          <w:tcPr>
            <w:tcW w:w="214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March 31, 2018</w:t>
            </w:r>
          </w:p>
        </w:tc>
        <w:tc>
          <w:tcPr>
            <w:tcW w:w="15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9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159.1</w:t>
            </w:r>
          </w:p>
        </w:tc>
        <w:tc>
          <w:tcPr>
            <w:tcW w:w="6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33.3</w:t>
            </w:r>
          </w:p>
        </w:tc>
        <w:tc>
          <w:tcPr>
            <w:tcW w:w="6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method investment net losses</w:t>
            </w:r>
          </w:p>
        </w:tc>
        <w:tc>
          <w:tcPr>
            <w:tcW w:w="9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125.2</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Per share amounts:</w:t>
            </w:r>
          </w:p>
        </w:tc>
        <w:tc>
          <w:tcPr>
            <w:tcW w:w="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1.42</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common share, assuming dilution</w:t>
            </w:r>
          </w:p>
        </w:tc>
        <w:tc>
          <w:tcPr>
            <w:tcW w:w="9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20.9%</w:t>
            </w: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74" w:orient="portrait"/>
          <w:cols w:equalWidth="0" w:num="1">
            <w:col w:w="11460"/>
          </w:cols>
          <w:pgMar w:left="240" w:top="121" w:right="19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Our effective tax rate for the three months ended March 31, 2018 compared to the same period last year reflects a decrease in the U.S. federal statutory tax rate from 35% to 21%, offset by net tax charges related to certain U.S. international tax provisions, the loss of domestic manufacturing deductions and</w:t>
      </w:r>
    </w:p>
    <w:p>
      <w:pPr>
        <w:sectPr>
          <w:pgSz w:w="11900" w:h="16974" w:orient="portrait"/>
          <w:cols w:equalWidth="0" w:num="1">
            <w:col w:w="11460"/>
          </w:cols>
          <w:pgMar w:left="240" w:top="121" w:right="19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limitations on the deductibility of our executive compensation, all as a result of the Tax Cuts and Jobs Act (“TCJA”) enacted in December 2017.</w:t>
      </w:r>
    </w:p>
    <w:p>
      <w:pPr>
        <w:spacing w:after="0" w:line="225"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Our effective tax rate for the three months ended March 31, 2018 and April 1, 2017 included discrete tax benefits of $7.1 million and $12.7 million, respectively, related to excess tax benefits associated with stock-based payments and discrete benefits of $7.1 million and $1.5 million, respectively, due to decreases in certain tax reserves, including interest and penalties, as a result of closing tax years. Our effective tax rate for the three months ended March 31, 2018 included $7.2 million of net tax charges related to the tax on global intangible low-taxed income of our foreign subsidiaries and the base-erosion anti-abuse tax on certain foreign earnings, partially offset by the benefit from foreign-derived intangible income; $2.8 million of tax charges resulting from recognizing foreign withholding taxes on current year earnings; and $4 million of tax benefit from the release of valuation allowances on certain state deferred tax assets primarily related to the impact of state conformity to certain TCJA provisions. These impacts were primarily a result of the enactment of the TCJA.</w:t>
      </w:r>
    </w:p>
    <w:p>
      <w:pPr>
        <w:spacing w:after="0" w:line="19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effective tax rate can vary widely from quarter to quarter due to interim reporting requirements, the recognition of discrete events, and the timing of repatriation of foreign earnings. Refer to Note 9, “Taxes Based on Income,” to the unaudited Condensed Consolidated Financial Statements for further information.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OPERATIONS BY REPORTABLE SEGMENT FOR THE FIRST QUARTER</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40" w:type="dxa"/>
            <w:vAlign w:val="bottom"/>
            <w:gridSpan w:val="3"/>
          </w:tcPr>
          <w:p>
            <w:pPr>
              <w:spacing w:after="0"/>
              <w:rPr>
                <w:sz w:val="20"/>
                <w:szCs w:val="20"/>
                <w:color w:val="auto"/>
              </w:rPr>
            </w:pPr>
            <w:r>
              <w:rPr>
                <w:rFonts w:ascii="Arial" w:cs="Arial" w:eastAsia="Arial" w:hAnsi="Arial"/>
                <w:sz w:val="18"/>
                <w:szCs w:val="18"/>
                <w:color w:val="auto"/>
              </w:rPr>
              <w:t>Operating income refers to income before taxes, interest and other non-operating expenses.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Label and Graphic Materials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77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2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March 31, 2018</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April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1,237.1</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intersegment sales</w:t>
            </w: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(18.9)</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1,218.2</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gridSpan w:val="2"/>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149.7</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tcPr>
          <w:p>
            <w:pPr>
              <w:spacing w:after="0" w:line="202" w:lineRule="exact"/>
              <w:rPr>
                <w:sz w:val="20"/>
                <w:szCs w:val="20"/>
                <w:color w:val="auto"/>
              </w:rPr>
            </w:pPr>
            <w:r>
              <w:rPr>
                <w:rFonts w:ascii="Arial" w:cs="Arial" w:eastAsia="Arial" w:hAnsi="Arial"/>
                <w:sz w:val="23"/>
                <w:szCs w:val="23"/>
                <w:color w:val="auto"/>
                <w:w w:val="94"/>
                <w:vertAlign w:val="superscript"/>
              </w:rPr>
              <w:t>(1)</w:t>
            </w:r>
            <w:r>
              <w:rPr>
                <w:rFonts w:ascii="Arial" w:cs="Arial" w:eastAsia="Arial" w:hAnsi="Arial"/>
                <w:sz w:val="18"/>
                <w:szCs w:val="18"/>
                <w:color w:val="auto"/>
                <w:w w:val="94"/>
              </w:rPr>
              <w:t>Included charges associated with restructuring in both quarters, a restructuring-related charge and a</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loss on sale of assets in 2018, and transaction costs in 2017.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1"/>
        </w:trPr>
        <w:tc>
          <w:tcPr>
            <w:tcW w:w="774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March 31, 2018</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6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Acquisitions</w:t>
            </w: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Organic sales change</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2261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6175"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Totals may not sum due to rounding.</w:t>
      </w:r>
    </w:p>
    <w:p>
      <w:pPr>
        <w:spacing w:after="0" w:line="173"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In the first quarter of 2018, net sales increased on an organic basis primarily due to higher volume. Sales increased on an organic basis at a mid-single digit rate in the emerging markets. Sales increased on an organic basis at low- to mid-single digit rates in Western Europe and North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Operating income increased in the first quarter of 2018 compared to the same period last year due to the impact of foreign currency translation, higher volume/mix, and benefits from productivity initiatives, including savings from restructuring, net of transition costs, partially offset by higher employee-related costs and the net impact of pricing and raw material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Retail Branding and Information Solutions</w:t>
            </w: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7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0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March 31, 2018</w:t>
            </w: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April 1,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386.6</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34.7</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40" w:type="dxa"/>
            <w:vAlign w:val="bottom"/>
          </w:tcPr>
          <w:p>
            <w:pPr>
              <w:spacing w:after="0" w:line="202" w:lineRule="exact"/>
              <w:rPr>
                <w:sz w:val="20"/>
                <w:szCs w:val="20"/>
                <w:color w:val="auto"/>
              </w:rPr>
            </w:pPr>
            <w:r>
              <w:rPr>
                <w:rFonts w:ascii="Arial" w:cs="Arial" w:eastAsia="Arial" w:hAnsi="Arial"/>
                <w:sz w:val="23"/>
                <w:szCs w:val="23"/>
                <w:color w:val="auto"/>
                <w:w w:val="93"/>
                <w:vertAlign w:val="superscript"/>
              </w:rPr>
              <w:t>(1)</w:t>
            </w:r>
            <w:r>
              <w:rPr>
                <w:rFonts w:ascii="Arial" w:cs="Arial" w:eastAsia="Arial" w:hAnsi="Arial"/>
                <w:sz w:val="18"/>
                <w:szCs w:val="18"/>
                <w:color w:val="auto"/>
                <w:w w:val="93"/>
              </w:rPr>
              <w:t>Included charges associated with restructuring in both quarters, a net gain on sales of assets in 2018,</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and transaction costs in 2017.</w:t>
            </w: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7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4780" w:type="dxa"/>
            <w:vAlign w:val="bottom"/>
            <w:gridSpan w:val="2"/>
          </w:tcPr>
          <w:p>
            <w:pPr>
              <w:ind w:left="2700"/>
              <w:spacing w:after="0"/>
              <w:rPr>
                <w:sz w:val="20"/>
                <w:szCs w:val="20"/>
                <w:color w:val="auto"/>
              </w:rPr>
            </w:pPr>
            <w:r>
              <w:rPr>
                <w:rFonts w:ascii="Arial" w:cs="Arial" w:eastAsia="Arial" w:hAnsi="Arial"/>
                <w:sz w:val="18"/>
                <w:szCs w:val="18"/>
                <w:color w:val="auto"/>
                <w:w w:val="91"/>
              </w:rPr>
              <w:t>Avery Dennison Corporation</w:t>
            </w:r>
          </w:p>
        </w:tc>
      </w:tr>
      <w:tr>
        <w:trPr>
          <w:trHeight w:val="418"/>
        </w:trPr>
        <w:tc>
          <w:tcPr>
            <w:tcW w:w="6640" w:type="dxa"/>
            <w:vAlign w:val="bottom"/>
          </w:tcPr>
          <w:p>
            <w:pPr>
              <w:spacing w:after="0"/>
              <w:rPr>
                <w:sz w:val="20"/>
                <w:szCs w:val="20"/>
                <w:color w:val="auto"/>
              </w:rPr>
            </w:pPr>
            <w:r>
              <w:rPr>
                <w:rFonts w:ascii="Arial" w:cs="Arial" w:eastAsia="Arial" w:hAnsi="Arial"/>
                <w:sz w:val="18"/>
                <w:szCs w:val="18"/>
                <w:i w:val="1"/>
                <w:iCs w:val="1"/>
                <w:color w:val="auto"/>
              </w:rPr>
              <w:t>Net Sales</w:t>
            </w:r>
          </w:p>
        </w:tc>
        <w:tc>
          <w:tcPr>
            <w:tcW w:w="3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3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4"/>
        </w:trPr>
        <w:tc>
          <w:tcPr>
            <w:tcW w:w="6640" w:type="dxa"/>
            <w:vAlign w:val="bottom"/>
          </w:tcPr>
          <w:p>
            <w:pPr>
              <w:spacing w:after="0"/>
              <w:rPr>
                <w:sz w:val="24"/>
                <w:szCs w:val="24"/>
                <w:color w:val="auto"/>
              </w:rPr>
            </w:pPr>
          </w:p>
        </w:tc>
        <w:tc>
          <w:tcPr>
            <w:tcW w:w="4780" w:type="dxa"/>
            <w:vAlign w:val="bottom"/>
            <w:gridSpan w:val="2"/>
          </w:tcPr>
          <w:p>
            <w:pPr>
              <w:jc w:val="right"/>
              <w:ind w:right="18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640" w:type="dxa"/>
            <w:vAlign w:val="bottom"/>
          </w:tcPr>
          <w:p>
            <w:pPr>
              <w:spacing w:after="0"/>
              <w:rPr>
                <w:sz w:val="20"/>
                <w:szCs w:val="20"/>
                <w:color w:val="auto"/>
              </w:rPr>
            </w:pPr>
          </w:p>
        </w:tc>
        <w:tc>
          <w:tcPr>
            <w:tcW w:w="4780" w:type="dxa"/>
            <w:vAlign w:val="bottom"/>
            <w:gridSpan w:val="2"/>
          </w:tcPr>
          <w:p>
            <w:pPr>
              <w:jc w:val="right"/>
              <w:ind w:right="1840"/>
              <w:spacing w:after="0"/>
              <w:rPr>
                <w:sz w:val="20"/>
                <w:szCs w:val="20"/>
                <w:color w:val="auto"/>
              </w:rPr>
            </w:pPr>
            <w:r>
              <w:rPr>
                <w:rFonts w:ascii="Arial" w:cs="Arial" w:eastAsia="Arial" w:hAnsi="Arial"/>
                <w:sz w:val="18"/>
                <w:szCs w:val="18"/>
                <w:b w:val="1"/>
                <w:bCs w:val="1"/>
                <w:color w:val="auto"/>
              </w:rPr>
              <w:t>March 31, 2018</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3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18"/>
                <w:szCs w:val="18"/>
                <w:color w:val="auto"/>
              </w:rPr>
            </w:pPr>
          </w:p>
        </w:tc>
      </w:tr>
      <w:tr>
        <w:trPr>
          <w:trHeight w:val="216"/>
        </w:trPr>
        <w:tc>
          <w:tcPr>
            <w:tcW w:w="6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w:t>
            </w:r>
          </w:p>
        </w:tc>
        <w:tc>
          <w:tcPr>
            <w:tcW w:w="3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18"/>
                <w:szCs w:val="18"/>
                <w:color w:val="auto"/>
              </w:rPr>
            </w:pPr>
          </w:p>
        </w:tc>
      </w:tr>
      <w:tr>
        <w:trPr>
          <w:trHeight w:val="210"/>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18"/>
                <w:szCs w:val="18"/>
                <w:color w:val="auto"/>
              </w:rPr>
            </w:pPr>
          </w:p>
        </w:tc>
      </w:tr>
      <w:tr>
        <w:trPr>
          <w:trHeight w:val="217"/>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Organic sales change</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2018, net sales increased on an organic basis primarily due to higher volume from sales of radio-frequency identification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increased in the first quarter of 2018 compared to the same period last year primarily reflecting benefits from productivity initiatives, including savings from restructuring actions, net of transition costs, higher volume, and lower amortization of other intangibles resulting from business acquisitions, partially offset by higher employee-related costs and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Industrial and Healthcare Materials</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10"/>
        </w:trPr>
        <w:tc>
          <w:tcPr>
            <w:tcW w:w="7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80" w:type="dxa"/>
            <w:vAlign w:val="bottom"/>
            <w:gridSpan w:val="2"/>
          </w:tcPr>
          <w:p>
            <w:pPr>
              <w:ind w:left="420"/>
              <w:spacing w:after="0"/>
              <w:rPr>
                <w:sz w:val="20"/>
                <w:szCs w:val="20"/>
                <w:color w:val="auto"/>
              </w:rPr>
            </w:pPr>
            <w:r>
              <w:rPr>
                <w:rFonts w:ascii="Arial" w:cs="Arial" w:eastAsia="Arial" w:hAnsi="Arial"/>
                <w:sz w:val="18"/>
                <w:szCs w:val="18"/>
                <w:b w:val="1"/>
                <w:bCs w:val="1"/>
                <w:color w:val="auto"/>
              </w:rPr>
              <w:t>March 31, 2018</w:t>
            </w:r>
          </w:p>
        </w:tc>
        <w:tc>
          <w:tcPr>
            <w:tcW w:w="4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April 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including intersegment sales</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173.9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intersegment sales</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13.0</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20" w:type="dxa"/>
            <w:vAlign w:val="bottom"/>
            <w:tcBorders>
              <w:bottom w:val="single" w:sz="8" w:color="auto"/>
            </w:tcBorders>
          </w:tcPr>
          <w:p>
            <w:pPr>
              <w:spacing w:after="0" w:line="216"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Included charges associated with restructuring and transaction costs in 2017.</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1"/>
        </w:trPr>
        <w:tc>
          <w:tcPr>
            <w:tcW w:w="7940" w:type="dxa"/>
            <w:vAlign w:val="bottom"/>
            <w:gridSpan w:val="2"/>
          </w:tcPr>
          <w:p>
            <w:pPr>
              <w:spacing w:after="0"/>
              <w:rPr>
                <w:sz w:val="20"/>
                <w:szCs w:val="20"/>
                <w:color w:val="auto"/>
              </w:rPr>
            </w:pPr>
            <w:r>
              <w:rPr>
                <w:rFonts w:ascii="Arial" w:cs="Arial" w:eastAsia="Arial" w:hAnsi="Arial"/>
                <w:sz w:val="18"/>
                <w:szCs w:val="18"/>
                <w:i w:val="1"/>
                <w:iCs w:val="1"/>
                <w:color w:val="auto"/>
              </w:rPr>
              <w:t>Net Sales</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The factors impacting reported sales change are shown in the table below.</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8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March 31, 2018</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Reported sales change</w:t>
            </w: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translation</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change ex. currency</w:t>
            </w: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Acquisitions</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Organic sales change</w:t>
            </w: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2018, net sales increased on an organic basis primarily due to higher volume from sales in industrial categories. Sales were unchanged on an organic basis in healthcare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income decreased in the first quarter of 2018 compared to the same period last year driven by investments and the net impact of pricing and raw material costs, partially offset by higher volume/mix and the impact of acquisitions.</w:t>
      </w:r>
    </w:p>
    <w:p>
      <w:pPr>
        <w:spacing w:after="0" w:line="18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CONDITION</w:t>
            </w:r>
          </w:p>
        </w:tc>
        <w:tc>
          <w:tcPr>
            <w:tcW w:w="5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5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March 31, 2018</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April 1, 2017</w:t>
            </w: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125.2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44.5</w:t>
            </w:r>
          </w:p>
        </w:tc>
        <w:tc>
          <w:tcPr>
            <w:tcW w:w="4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doubtful accounts and sales returns</w:t>
            </w: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Net losses from asset impairments, sale of assets and investment settlements</w:t>
            </w:r>
          </w:p>
        </w:tc>
        <w:tc>
          <w:tcPr>
            <w:tcW w:w="70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Loss from settlement of pension obligations</w:t>
            </w:r>
          </w:p>
        </w:tc>
        <w:tc>
          <w:tcPr>
            <w:tcW w:w="70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Other non-cash expense and loss</w:t>
            </w:r>
          </w:p>
        </w:tc>
        <w:tc>
          <w:tcPr>
            <w:tcW w:w="70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16"/>
        </w:trPr>
        <w:tc>
          <w:tcPr>
            <w:tcW w:w="7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and other adjustments</w:t>
            </w:r>
          </w:p>
        </w:tc>
        <w:tc>
          <w:tcPr>
            <w:tcW w:w="7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(190.5)</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r>
      <w:tr>
        <w:trPr>
          <w:trHeight w:val="217"/>
        </w:trPr>
        <w:tc>
          <w:tcPr>
            <w:tcW w:w="7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20"/>
          </w:cols>
          <w:pgMar w:left="240" w:top="125" w:right="239" w:bottom="0" w:gutter="0" w:footer="0" w:header="0"/>
        </w:sectPr>
      </w:pPr>
    </w:p>
    <w:bookmarkStart w:id="19" w:name="page20"/>
    <w:bookmarkEnd w:id="19"/>
    <w:p>
      <w:pPr>
        <w:jc w:val="both"/>
        <w:ind w:right="40"/>
        <w:spacing w:after="0" w:line="277" w:lineRule="auto"/>
        <w:rPr>
          <w:sz w:val="20"/>
          <w:szCs w:val="20"/>
          <w:color w:val="auto"/>
        </w:rPr>
      </w:pPr>
      <w:r>
        <w:rPr>
          <w:rFonts w:ascii="Arial" w:cs="Arial" w:eastAsia="Arial" w:hAnsi="Arial"/>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70"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During the first three months of 2018, cash flow from operating activities increased compared to the same period last year primarily due to higher net income and improved operational working capital, partially offset by higher incentive compensation payments and income tax payments, net of refunds.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8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w w:val="97"/>
              </w:rPr>
              <w:t>Three Months Ended</w:t>
            </w:r>
          </w:p>
        </w:tc>
      </w:tr>
      <w:tr>
        <w:trPr>
          <w:trHeight w:val="210"/>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March 31, 2018</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April 1, 2017</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plant and equipment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Purchases of software and other deferred charges</w:t>
            </w:r>
          </w:p>
        </w:tc>
        <w:tc>
          <w:tcPr>
            <w:tcW w:w="7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Sales of investments and proceeds from insurance, net</w:t>
            </w:r>
          </w:p>
        </w:tc>
        <w:tc>
          <w:tcPr>
            <w:tcW w:w="7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for acquisitions, net of cash acquired, and investments in businesses</w:t>
            </w:r>
          </w:p>
        </w:tc>
        <w:tc>
          <w:tcPr>
            <w:tcW w:w="7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17"/>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Property, Plant and Equipment</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first three months of 2018, we invested in equipment to support growth in Asia, Europe, and North America and to improve manufacturing productivity. During the first three months of 2017, we invested in equipment to support growth in North America, Asia, and Europe, and to improve manufacturing productivity.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Software and Other Deferred Charges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the first three months of 2018, we invested in information technology primarily associated with an enterprise resource planning system implementation in North America. During the first three months of 2017, we invested in information technology primarily associated with enterprise resource planning system implementations in North America and Asia.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from Sales of Property, Plant and Equipment</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During the first three months of 2018, we received $6.9 million from sales of property, plant and equipment, the majority of which was related to the sale of a property in Europe.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for Acquisitions</w:t>
      </w:r>
    </w:p>
    <w:p>
      <w:pPr>
        <w:spacing w:after="0" w:line="23" w:lineRule="exact"/>
        <w:rPr>
          <w:sz w:val="20"/>
          <w:szCs w:val="20"/>
          <w:color w:val="auto"/>
        </w:rPr>
      </w:pPr>
    </w:p>
    <w:p>
      <w:pPr>
        <w:jc w:val="both"/>
        <w:ind w:right="60"/>
        <w:spacing w:after="0" w:line="290" w:lineRule="auto"/>
        <w:rPr>
          <w:sz w:val="20"/>
          <w:szCs w:val="20"/>
          <w:color w:val="auto"/>
        </w:rPr>
      </w:pPr>
      <w:r>
        <w:rPr>
          <w:rFonts w:ascii="Arial" w:cs="Arial" w:eastAsia="Arial" w:hAnsi="Arial"/>
          <w:sz w:val="17"/>
          <w:szCs w:val="17"/>
          <w:color w:val="auto"/>
        </w:rPr>
        <w:t>In the first three months of 2017, in connection with the acquisition of Hanita Coatings Rural Cooperative Association Limited and certain of its subsidiaries, we paid consideration, net of cash acquired, of approximately $75 million, which we funded through cash and existing credit facilities.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132"/>
        </w:trPr>
        <w:tc>
          <w:tcPr>
            <w:tcW w:w="1280" w:type="dxa"/>
            <w:vAlign w:val="bottom"/>
            <w:tcBorders>
              <w:bottom w:val="single" w:sz="8" w:color="808080"/>
            </w:tcBorders>
          </w:tcPr>
          <w:p>
            <w:pPr>
              <w:spacing w:after="0"/>
              <w:rPr>
                <w:sz w:val="11"/>
                <w:szCs w:val="11"/>
                <w:color w:val="auto"/>
              </w:rPr>
            </w:pPr>
          </w:p>
        </w:tc>
        <w:tc>
          <w:tcPr>
            <w:tcW w:w="66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8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gridSpan w:val="4"/>
          </w:tcPr>
          <w:p>
            <w:pPr>
              <w:jc w:val="right"/>
              <w:ind w:right="40"/>
              <w:spacing w:after="0"/>
              <w:rPr>
                <w:sz w:val="20"/>
                <w:szCs w:val="20"/>
                <w:color w:val="auto"/>
              </w:rPr>
            </w:pPr>
            <w:r>
              <w:rPr>
                <w:rFonts w:ascii="Arial" w:cs="Arial" w:eastAsia="Arial" w:hAnsi="Arial"/>
                <w:sz w:val="18"/>
                <w:szCs w:val="18"/>
                <w:color w:val="auto"/>
              </w:rPr>
              <w:t>Avery Dennison Corporation</w:t>
            </w: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7"/>
              </w:rPr>
              <w:t>Three Months Ended</w:t>
            </w:r>
          </w:p>
        </w:tc>
      </w:tr>
      <w:tr>
        <w:trPr>
          <w:trHeight w:val="210"/>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March 31, 2018</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April 1, 2017</w:t>
            </w:r>
          </w:p>
        </w:tc>
        <w:tc>
          <w:tcPr>
            <w:tcW w:w="40" w:type="dxa"/>
            <w:vAlign w:val="bottom"/>
          </w:tcPr>
          <w:p>
            <w:pPr>
              <w:spacing w:after="0"/>
              <w:rPr>
                <w:sz w:val="18"/>
                <w:szCs w:val="18"/>
                <w:color w:val="auto"/>
              </w:rPr>
            </w:pPr>
          </w:p>
        </w:tc>
      </w:tr>
      <w:tr>
        <w:trPr>
          <w:trHeight w:val="210"/>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borrowings (maturities of three months or less)</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104.3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40" w:type="dxa"/>
            <w:vAlign w:val="bottom"/>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Additional long-term borrowings</w:t>
            </w:r>
          </w:p>
        </w:tc>
        <w:tc>
          <w:tcPr>
            <w:tcW w:w="78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526.7</w:t>
            </w:r>
          </w:p>
        </w:tc>
        <w:tc>
          <w:tcPr>
            <w:tcW w:w="4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7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Proceeds from exercises of stock options, net</w:t>
            </w:r>
          </w:p>
        </w:tc>
        <w:tc>
          <w:tcPr>
            <w:tcW w:w="78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withholding for stock-based compensation</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Payment of contingent consideration</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7"/>
        </w:trPr>
        <w:tc>
          <w:tcPr>
            <w:tcW w:w="78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-2625725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-2625725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and Repayment of Debt</w:t>
      </w:r>
    </w:p>
    <w:p>
      <w:pPr>
        <w:spacing w:after="0" w:line="2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Given the seasonality of our cash flow from operating activities, during the first three months of 2018 and 2017, our commercial paper borrowings were used to fund share repurchase activity, dividend payments, and capital expenditures.</w:t>
      </w:r>
    </w:p>
    <w:p>
      <w:pPr>
        <w:spacing w:after="0" w:line="1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$526.7 million (€495.6 million), of which approximately $215 million (€200 million) was used during the three months ended April 1, 2017 to repay commercial paper borrowings used to finance a portion of our acquisition of the European business of Mactac.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“Debt” to the unaudited Condensed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paid dividends of $.45 per share in the first three months of 2018 compared to $.41 per share in the same period last year. In April 2018, subsequent to the end of the first quarter of 2018, we increased our quarterly dividend to $.52 per share, representing an increase of approximately 16% from our previous dividend rate of $.45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During the first three months of 2018, we repurchased approximately .4 million shares of our common stock at an aggregate cost of $51.6 million. During the first three months of 2017, we repurchased approximately .5 million shares of our common stock at an aggregate cost of $34.6 million.</w:t>
      </w:r>
    </w:p>
    <w:p>
      <w:pPr>
        <w:sectPr>
          <w:pgSz w:w="11900" w:h="16838" w:orient="portrait"/>
          <w:cols w:equalWidth="0" w:num="1">
            <w:col w:w="11460"/>
          </w:cols>
          <w:pgMar w:left="240" w:top="125" w:right="199" w:bottom="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In April 2017, our Board of Directors (“Board”) authorized the repurchase of shares of our common stock with a fair market value of up to $650 million, exclusive of any fees, commissions or other expenses related to such purchases, in addition to any amount outstanding under our previous Board authorization. Board authorizations remain in effect until shares in the amount authorized thereunder have been repurchased. As of March 31, 2018, shares of our common stock in the aggregate amount of $573.6 million remained authorized for repurchase under this Board authorization.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Contingent Consideration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March 2018, we paid $2.5 million of contingent consideration related to the achievement of certain performance targets in 2017 for an acquisition completed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2018, goodwill increased by approximately $20 million to $1 billion due to foreign currency translation.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March 31, 2018, other intangibles resulting from business acquisitions, net, increased by approximately $1 million to $167 million, which reflected the impact of foreign currency translation, partially offset by current year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“Goodwill,” to the unaudited Condensed Consolidated Financial Statements for more information.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three months ended March 31, 2018, other assets decreased by approximately $11 million to $443 million, which primarily reflected a decrease in tax-related deferred charges as the result of our adoption of the accounting guidance update related to intra-entity transfer of assets other than inventory described in Note 1, “General,” of the unaudited Condensed Consolidated Financial Statements, partially offset by an increase in the cash surrender value of our corporate-owned life insurance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 Accounts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three months ended March 31, 2018, the balance of our shareholders’ equity increased by approximately $44 million to $1.09 billion, which primarily reflected net income, the favorable impact of foreign currency translation, and the use of treasury shares to settle stock-based awards and fund contributions to our U.S. defined contribution plan. These increases were partially offset by share repurchases and dividend payments.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Currency Translation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sales</w:t>
            </w:r>
          </w:p>
        </w:tc>
        <w:tc>
          <w:tcPr>
            <w:tcW w:w="4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net income</w:t>
            </w:r>
          </w:p>
        </w:tc>
        <w:tc>
          <w:tcPr>
            <w:tcW w:w="4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operations generated approximately 77% of our net sales during the three months ended March 31, 2018. Our future results are subject to changes in political and economic conditions in the regions in which we operate and the impact of fluctuations in foreign currency exchange and interest 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favorable impact of foreign currency translation on net sales in the first three months of 2018 compared to the same period last year was primarily related to euro-denominated sales and sales in China.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Foreign Currency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We also utilize certain foreign-currency-denominated debt to mitigate foreign currency translation exposure from our net investment in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utilize the financial ratios discussed below to assess our financial condition and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Operational Working Capital Ratios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(current assets minus current liabilities), as a percentage of annualized net sales, decreased to 3.5% in the first three months of 2018 from 6.8% in the first three months of 2017 primarily as a result of increases in accounts payable and other current liabilities, a decrease in cash and cash equivalents and an increase in annualized net sales, partially offset by increases in trade accounts receivable and inventories.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ectPr>
          <w:pgSz w:w="11900" w:h="16838" w:orient="portrait"/>
          <w:cols w:equalWidth="0" w:num="1">
            <w:col w:w="11420"/>
          </w:cols>
          <w:pgMar w:left="240" w:top="341" w:right="239" w:bottom="208"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cash flow and return on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w w:val="96"/>
              </w:rPr>
              <w:t>Three Months Ended</w:t>
            </w:r>
          </w:p>
        </w:tc>
      </w:tr>
      <w:tr>
        <w:trPr>
          <w:trHeight w:val="210"/>
        </w:trPr>
        <w:tc>
          <w:tcPr>
            <w:tcW w:w="7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20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March 31, 2018</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April 1, 2017</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Working capital</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250.9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Reconciling items:</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(187.5)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(294.9)</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(225.5)</w:t>
            </w: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(202.3)</w:t>
            </w: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Short-term borrowings and current portion of long-term debt and capital leases</w:t>
            </w:r>
          </w:p>
        </w:tc>
        <w:tc>
          <w:tcPr>
            <w:tcW w:w="7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370.3</w:t>
            </w:r>
          </w:p>
        </w:tc>
        <w:tc>
          <w:tcPr>
            <w:tcW w:w="3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333.2</w:t>
            </w:r>
          </w:p>
        </w:tc>
      </w:tr>
      <w:tr>
        <w:trPr>
          <w:trHeight w:val="216"/>
        </w:trPr>
        <w:tc>
          <w:tcPr>
            <w:tcW w:w="7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Accrued payroll and employee benefits and other current liabilities</w:t>
            </w:r>
          </w:p>
        </w:tc>
        <w:tc>
          <w:tcPr>
            <w:tcW w:w="7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646.7</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520.0</w:t>
            </w:r>
          </w:p>
        </w:tc>
      </w:tr>
      <w:tr>
        <w:trPr>
          <w:trHeight w:val="210"/>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Operational working capital</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853.8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773.3</w:t>
            </w:r>
          </w:p>
        </w:tc>
      </w:tr>
      <w:tr>
        <w:trPr>
          <w:trHeight w:val="210"/>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 Annualized net sales (quarter sales, multiplied by four)</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7,105.6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6,288.4</w:t>
            </w:r>
          </w:p>
        </w:tc>
      </w:tr>
      <w:tr>
        <w:trPr>
          <w:trHeight w:val="217"/>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as a percentage of annualized net sales: (A) ÷ (C)</w:t>
            </w: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Operational working capital, as a percentage of annualized net sales: (B) ÷ (C)</w:t>
            </w:r>
          </w:p>
        </w:tc>
        <w:tc>
          <w:tcPr>
            <w:tcW w:w="7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Ratio</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average number of days sales outstanding was 64 days for the first three months of 2018 and 2017, calculated using the trade accounts receivable balance at quarter-end divided by the average daily sales for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Ratio</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Average inventory turnover decreased to 7.6 in the first three months of 2018 from 7.8 in the first three months of 2017, calculated using the annualized cost of sales (quarterly cost of sales, multiplied by four) divided by the inventory balance at quarter-end. The decrease in the average inventory turnover primarily reflected the timing of inventory purchases.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Ratio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number of days payable outstanding was 75 days in the first three months of 2018 compared to 73 days in the first three months of 2017, calculated using the accounts payable balance at quarter-end divided by the average daily cost of products sold for the quarter. The increase in the average number of days payable outstanding from the prior year primarily reflected the extended timing of vendor payments, partially offset by the impact of foreign currency translation.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resources include cash flows from operations, cash and cash equivalents and debt financing. At March 31, 2018, we had cash and cash equivalents of $187.5 million held in accounts at third-party financial institutions.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balances are held in numerous locations throughout the world. At March 31, 2018, the majority of our cash and cash equivalents was held by our foreign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U.S. cash requirements, we have several cost-effective liquidity options available. These options include borrowing funds at reasonable rates, including borrowings from foreign subsidiaries, and repatriating foreign earnings and profits. However, if we were to repatriate incremental foreign earnings and profits, we may be subject to withholding taxes imposed by foreign tax authorities and additional U.S. taxes due to the impact of foreign currency movements related to such earnings and profits.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we amended and restated our revolving credit facility (the “Revolver”), increasing the amount available from certain domestic and foreign banks from $700 million to $800 million. The amendment also extended the Revolver’s maturity date to November 8, 2022. The maturity date may be extended for additional one-year periods under certain circumstances. The commitments under the Revolver may be increased by up to $300 million, subject to lender approval and customary requirements. The Revolver is used as a back-up facility for our commercial paper program and can be used for other corporate purposes. The Revolver contains financial covenants requiring that we maintain specified ratios of total debt and interest expense in relation to certain measures of income. As of March 31, 2018 and December 30, 2017, we were in compliance with our financial covenants.</w:t>
      </w:r>
    </w:p>
    <w:p>
      <w:pPr>
        <w:spacing w:after="0" w:line="17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Avery Dennison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March 2017, we issued €500 million of senior notes, due March 2025. The senior notes bear an interest rate of 1.25% per year, payable annually in arrears.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“Debt,” to the unaudited Condensed Consolidated Financial Statements for more information.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financial market risk resulting from changes in interest and foreign currency rates, and to possible liquidity and credit risks of our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from Debt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carrying value of our total debt increased by approximately $131 million in the first three months of 2018 to $1.71 billion, primarily reflecting the net increase in commercial paper borrowings to support operational needs.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could impact our ability to access the commercial paper markets. If our access to commercial paper markets were to become limited, the Revolver and our other credit facilities would be available to meet our short-term funding requirements.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ectPr>
          <w:pgSz w:w="11900" w:h="16838" w:orient="portrait"/>
          <w:cols w:equalWidth="0" w:num="1">
            <w:col w:w="11420"/>
          </w:cols>
          <w:pgMar w:left="240" w:top="125" w:right="239" w:bottom="0" w:gutter="0" w:footer="0" w:header="0"/>
        </w:sectPr>
      </w:pPr>
    </w:p>
    <w:bookmarkStart w:id="22" w:name="page23"/>
    <w:bookmarkEnd w:id="22"/>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“General,” and Note 16,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information provided in Part II, Item 7A of our Annual Report on Form 10-K for the fiscal year ended December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judgement in evaluating the cost-benefit relationship of possible controls and procedures.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periodically assess our internal control environment. We are in the process of investing in information technology to upgrade the systems in our Retail Branding and Information Solutions and Label and Graphic Materials reportable segments. Processes affected by these implementations include, among other things, order management, pricing, shipping, purchasing, general accounting and planning. Where appropriate, we are reviewing related internal controls and making changes. Other than these implementations, there have been no changes in our internal control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“Legal Proceedings” in Note 13, “Commitments and Contingencies,” to the unaudited Condensed Consolidated Financial Statements in Part 1,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 of our Annual Report on Form 10-K for the fiscal year ended December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Repurchases of Equity Securities by Issuer</w:t>
      </w:r>
    </w:p>
    <w:p>
      <w:pPr>
        <w:sectPr>
          <w:pgSz w:w="11900" w:h="16874" w:orient="portrait"/>
          <w:cols w:equalWidth="0" w:num="1">
            <w:col w:w="11420"/>
          </w:cols>
          <w:pgMar w:left="240" w:top="337" w:right="239" w:bottom="0" w:gutter="0" w:footer="0" w:header="0"/>
        </w:sectPr>
      </w:pPr>
    </w:p>
    <w:bookmarkStart w:id="23" w:name="page24"/>
    <w:bookmarkEnd w:id="23"/>
    <w:p>
      <w:pPr>
        <w:jc w:val="both"/>
        <w:ind w:right="40"/>
        <w:spacing w:after="0" w:line="264" w:lineRule="auto"/>
        <w:rPr>
          <w:sz w:val="20"/>
          <w:szCs w:val="20"/>
          <w:color w:val="auto"/>
        </w:rPr>
      </w:pPr>
      <w:r>
        <w:rPr>
          <w:rFonts w:ascii="Arial" w:cs="Arial" w:eastAsia="Arial" w:hAnsi="Arial"/>
          <w:sz w:val="18"/>
          <w:szCs w:val="18"/>
          <w:color w:val="auto"/>
        </w:rPr>
        <w:t>Repurchases by us or our “affiliated purchasers” (as defined in Rule 10b-18(a)(3) of the Exchange Act) of registered equity securities in the three fiscal months of the first quarter of 2018 are listed in the table below. Repurchased shares may be reissued under our long-term incentive plan or used for other corporate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80" w:type="dxa"/>
            <w:vAlign w:val="bottom"/>
          </w:tcPr>
          <w:p>
            <w:pPr>
              <w:jc w:val="right"/>
              <w:ind w:right="255"/>
              <w:spacing w:after="0"/>
              <w:rPr>
                <w:sz w:val="20"/>
                <w:szCs w:val="20"/>
                <w:color w:val="auto"/>
              </w:rPr>
            </w:pPr>
            <w:r>
              <w:rPr>
                <w:rFonts w:ascii="Arial" w:cs="Arial" w:eastAsia="Arial" w:hAnsi="Arial"/>
                <w:sz w:val="18"/>
                <w:szCs w:val="18"/>
                <w:b w:val="1"/>
                <w:bCs w:val="1"/>
                <w:color w:val="auto"/>
              </w:rPr>
              <w:t>Total number of shares</w:t>
            </w: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3440" w:type="dxa"/>
            <w:vAlign w:val="bottom"/>
          </w:tcPr>
          <w:p>
            <w:pPr>
              <w:spacing w:after="0"/>
              <w:rPr>
                <w:sz w:val="18"/>
                <w:szCs w:val="18"/>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 number</w:t>
            </w:r>
          </w:p>
        </w:tc>
        <w:tc>
          <w:tcPr>
            <w:tcW w:w="38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Average</w:t>
            </w:r>
          </w:p>
        </w:tc>
        <w:tc>
          <w:tcPr>
            <w:tcW w:w="2380" w:type="dxa"/>
            <w:vAlign w:val="bottom"/>
          </w:tcPr>
          <w:p>
            <w:pPr>
              <w:jc w:val="right"/>
              <w:ind w:right="255"/>
              <w:spacing w:after="0"/>
              <w:rPr>
                <w:sz w:val="20"/>
                <w:szCs w:val="20"/>
                <w:color w:val="auto"/>
              </w:rPr>
            </w:pPr>
            <w:r>
              <w:rPr>
                <w:rFonts w:ascii="Arial" w:cs="Arial" w:eastAsia="Arial" w:hAnsi="Arial"/>
                <w:sz w:val="18"/>
                <w:szCs w:val="18"/>
                <w:b w:val="1"/>
                <w:bCs w:val="1"/>
                <w:color w:val="auto"/>
              </w:rPr>
              <w:t>purchased as part of</w:t>
            </w: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value of shares that may</w:t>
            </w:r>
          </w:p>
        </w:tc>
      </w:tr>
      <w:tr>
        <w:trPr>
          <w:trHeight w:val="216"/>
        </w:trPr>
        <w:tc>
          <w:tcPr>
            <w:tcW w:w="3440" w:type="dxa"/>
            <w:vAlign w:val="bottom"/>
          </w:tcPr>
          <w:p>
            <w:pPr>
              <w:spacing w:after="0"/>
              <w:rPr>
                <w:sz w:val="18"/>
                <w:szCs w:val="18"/>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of shares</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price paid</w:t>
            </w:r>
          </w:p>
        </w:tc>
        <w:tc>
          <w:tcPr>
            <w:tcW w:w="2380" w:type="dxa"/>
            <w:vAlign w:val="bottom"/>
          </w:tcPr>
          <w:p>
            <w:pPr>
              <w:jc w:val="right"/>
              <w:ind w:right="255"/>
              <w:spacing w:after="0"/>
              <w:rPr>
                <w:sz w:val="20"/>
                <w:szCs w:val="20"/>
                <w:color w:val="auto"/>
              </w:rPr>
            </w:pPr>
            <w:r>
              <w:rPr>
                <w:rFonts w:ascii="Arial" w:cs="Arial" w:eastAsia="Arial" w:hAnsi="Arial"/>
                <w:sz w:val="18"/>
                <w:szCs w:val="18"/>
                <w:b w:val="1"/>
                <w:bCs w:val="1"/>
                <w:color w:val="auto"/>
              </w:rPr>
              <w:t>publicly announced</w:t>
            </w:r>
          </w:p>
        </w:tc>
        <w:tc>
          <w:tcPr>
            <w:tcW w:w="2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yet be purchased under</w:t>
            </w:r>
          </w:p>
        </w:tc>
      </w:tr>
      <w:tr>
        <w:trPr>
          <w:trHeight w:val="234"/>
        </w:trPr>
        <w:tc>
          <w:tcPr>
            <w:tcW w:w="34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3"/>
                <w:szCs w:val="23"/>
                <w:color w:val="auto"/>
                <w:vertAlign w:val="superscript"/>
              </w:rPr>
              <w:t>(1)</w:t>
            </w:r>
          </w:p>
        </w:tc>
        <w:tc>
          <w:tcPr>
            <w:tcW w:w="1920" w:type="dxa"/>
            <w:vAlign w:val="bottom"/>
            <w:tcBorders>
              <w:bottom w:val="single" w:sz="8" w:color="auto"/>
            </w:tcBorders>
          </w:tcPr>
          <w:p>
            <w:pPr>
              <w:jc w:val="right"/>
              <w:ind w:right="190"/>
              <w:spacing w:after="0" w:line="234"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per share</w:t>
            </w:r>
          </w:p>
        </w:tc>
        <w:tc>
          <w:tcPr>
            <w:tcW w:w="2380" w:type="dxa"/>
            <w:vAlign w:val="bottom"/>
            <w:tcBorders>
              <w:bottom w:val="single" w:sz="8" w:color="auto"/>
            </w:tcBorders>
          </w:tcPr>
          <w:p>
            <w:pPr>
              <w:jc w:val="right"/>
              <w:ind w:right="255"/>
              <w:spacing w:after="0" w:line="235" w:lineRule="exact"/>
              <w:rPr>
                <w:sz w:val="20"/>
                <w:szCs w:val="20"/>
                <w:color w:val="auto"/>
              </w:rPr>
            </w:pPr>
            <w:r>
              <w:rPr>
                <w:rFonts w:ascii="Arial" w:cs="Arial" w:eastAsia="Arial" w:hAnsi="Arial"/>
                <w:sz w:val="27"/>
                <w:szCs w:val="27"/>
                <w:b w:val="1"/>
                <w:bCs w:val="1"/>
                <w:color w:val="auto"/>
                <w:vertAlign w:val="subscript"/>
              </w:rPr>
              <w:t>plans</w:t>
            </w:r>
            <w:r>
              <w:rPr>
                <w:rFonts w:ascii="Arial" w:cs="Arial" w:eastAsia="Arial" w:hAnsi="Arial"/>
                <w:sz w:val="10"/>
                <w:szCs w:val="10"/>
                <w:color w:val="auto"/>
              </w:rPr>
              <w:t>(2)(3)</w:t>
            </w:r>
          </w:p>
        </w:tc>
        <w:tc>
          <w:tcPr>
            <w:tcW w:w="1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line="234" w:lineRule="exact"/>
              <w:rPr>
                <w:sz w:val="20"/>
                <w:szCs w:val="20"/>
                <w:color w:val="auto"/>
              </w:rPr>
            </w:pPr>
            <w:r>
              <w:rPr>
                <w:rFonts w:ascii="Arial" w:cs="Arial" w:eastAsia="Arial" w:hAnsi="Arial"/>
                <w:sz w:val="18"/>
                <w:szCs w:val="18"/>
                <w:b w:val="1"/>
                <w:bCs w:val="1"/>
                <w:color w:val="auto"/>
              </w:rPr>
              <w:t>the plans</w:t>
            </w:r>
            <w:r>
              <w:rPr>
                <w:rFonts w:ascii="Arial" w:cs="Arial" w:eastAsia="Arial" w:hAnsi="Arial"/>
                <w:sz w:val="23"/>
                <w:szCs w:val="23"/>
                <w:color w:val="auto"/>
                <w:vertAlign w:val="superscript"/>
              </w:rPr>
              <w:t>(4)</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 January 27, 2018</w:t>
            </w:r>
          </w:p>
        </w:tc>
        <w:tc>
          <w:tcPr>
            <w:tcW w:w="1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118.07</w:t>
            </w:r>
          </w:p>
        </w:tc>
        <w:tc>
          <w:tcPr>
            <w:tcW w:w="23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97.2</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January 28, 2018 – February 24, 2018</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221.0</w:t>
            </w:r>
          </w:p>
        </w:tc>
        <w:tc>
          <w:tcPr>
            <w:tcW w:w="38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115.93</w:t>
            </w:r>
          </w:p>
        </w:tc>
        <w:tc>
          <w:tcPr>
            <w:tcW w:w="2380" w:type="dxa"/>
            <w:vAlign w:val="bottom"/>
          </w:tcPr>
          <w:p>
            <w:pPr>
              <w:jc w:val="right"/>
              <w:ind w:right="255"/>
              <w:spacing w:after="0"/>
              <w:rPr>
                <w:sz w:val="20"/>
                <w:szCs w:val="20"/>
                <w:color w:val="auto"/>
              </w:rPr>
            </w:pPr>
            <w:r>
              <w:rPr>
                <w:rFonts w:ascii="Arial" w:cs="Arial" w:eastAsia="Arial" w:hAnsi="Arial"/>
                <w:sz w:val="18"/>
                <w:szCs w:val="18"/>
                <w:color w:val="auto"/>
              </w:rPr>
              <w:t>221.0</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25, 2018 – March 31, 2018</w:t>
            </w:r>
          </w:p>
        </w:tc>
        <w:tc>
          <w:tcPr>
            <w:tcW w:w="1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125.3</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115.74</w:t>
            </w:r>
          </w:p>
        </w:tc>
        <w:tc>
          <w:tcPr>
            <w:tcW w:w="23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125.3</w:t>
            </w:r>
          </w:p>
        </w:tc>
        <w:tc>
          <w:tcPr>
            <w:tcW w:w="10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443.5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116.35</w:t>
            </w:r>
          </w:p>
        </w:tc>
        <w:tc>
          <w:tcPr>
            <w:tcW w:w="2380" w:type="dxa"/>
            <w:vAlign w:val="bottom"/>
          </w:tcPr>
          <w:p>
            <w:pPr>
              <w:jc w:val="right"/>
              <w:ind w:right="255"/>
              <w:spacing w:after="0"/>
              <w:rPr>
                <w:sz w:val="20"/>
                <w:szCs w:val="20"/>
                <w:color w:val="auto"/>
              </w:rPr>
            </w:pPr>
            <w:r>
              <w:rPr>
                <w:rFonts w:ascii="Arial" w:cs="Arial" w:eastAsia="Arial" w:hAnsi="Arial"/>
                <w:sz w:val="18"/>
                <w:szCs w:val="18"/>
                <w:color w:val="auto"/>
              </w:rPr>
              <w:t>443.5</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periods shown are our fiscal periods during the thirteen-week quarter ended March 31, 2018.</w:t>
      </w:r>
    </w:p>
    <w:p>
      <w:pPr>
        <w:spacing w:after="0" w:line="19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Shares in thousands.</w:t>
      </w:r>
    </w:p>
    <w:p>
      <w:pPr>
        <w:jc w:val="both"/>
        <w:ind w:left="180" w:right="40" w:hanging="161"/>
        <w:spacing w:after="0" w:line="228" w:lineRule="auto"/>
        <w:rPr>
          <w:sz w:val="20"/>
          <w:szCs w:val="20"/>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In April 2017, our Board authorized the repurchase of shares of our common stock with a fair market value of up to $650 million, exclusive of any fees, commissions or other expenses related to such purchases. The Board authorization will remain in effect until shares in the amount authorized thereunder have been repurchased.</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Dollars in millions.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w w:val="91"/>
              </w:rPr>
              <w:t>Avery Dennison Corporation</w:t>
            </w:r>
          </w:p>
        </w:tc>
      </w:tr>
      <w:tr>
        <w:trPr>
          <w:trHeight w:val="432"/>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92"/>
        </w:trPr>
        <w:tc>
          <w:tcPr>
            <w:tcW w:w="212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7200" w:type="dxa"/>
            <w:vAlign w:val="bottom"/>
            <w:tcBorders>
              <w:bottom w:val="single" w:sz="8" w:color="0000EE"/>
            </w:tcBorders>
            <w:gridSpan w:val="3"/>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Certification of Chief Executive Officer pursuant to Section 302 of the Sarbanes-Oxley Act of 2002</w:t>
              </w:r>
            </w:hyperlink>
          </w:p>
        </w:tc>
        <w:tc>
          <w:tcPr>
            <w:tcW w:w="2140" w:type="dxa"/>
            <w:vAlign w:val="bottom"/>
          </w:tcPr>
          <w:p>
            <w:pPr>
              <w:spacing w:after="0"/>
              <w:rPr>
                <w:sz w:val="24"/>
                <w:szCs w:val="24"/>
                <w:color w:val="auto"/>
              </w:rPr>
            </w:pPr>
          </w:p>
        </w:tc>
      </w:tr>
      <w:tr>
        <w:trPr>
          <w:trHeight w:val="196"/>
        </w:trPr>
        <w:tc>
          <w:tcPr>
            <w:tcW w:w="2120" w:type="dxa"/>
            <w:vAlign w:val="bottom"/>
            <w:gridSpan w:val="2"/>
          </w:tcPr>
          <w:p>
            <w:pPr>
              <w:spacing w:after="0" w:line="196" w:lineRule="exact"/>
              <w:rPr>
                <w:sz w:val="20"/>
                <w:szCs w:val="20"/>
                <w:color w:val="auto"/>
              </w:rPr>
            </w:pPr>
            <w:r>
              <w:rPr>
                <w:rFonts w:ascii="Arial" w:cs="Arial" w:eastAsia="Arial" w:hAnsi="Arial"/>
                <w:sz w:val="18"/>
                <w:szCs w:val="18"/>
                <w:color w:val="auto"/>
              </w:rPr>
              <w:t>Exhibit 31.2*</w:t>
            </w:r>
          </w:p>
        </w:tc>
        <w:tc>
          <w:tcPr>
            <w:tcW w:w="71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Certification of Chief Financial Officer pursuant to Section 302 of the Sarbanes-Oxley Act of 2002</w:t>
              </w:r>
            </w:hyperlink>
          </w:p>
        </w:tc>
        <w:tc>
          <w:tcPr>
            <w:tcW w:w="2180" w:type="dxa"/>
            <w:vAlign w:val="bottom"/>
            <w:gridSpan w:val="2"/>
          </w:tcPr>
          <w:p>
            <w:pPr>
              <w:spacing w:after="0"/>
              <w:rPr>
                <w:sz w:val="17"/>
                <w:szCs w:val="17"/>
                <w:color w:val="auto"/>
              </w:rPr>
            </w:pPr>
          </w:p>
        </w:tc>
      </w:tr>
      <w:tr>
        <w:trPr>
          <w:trHeight w:val="196"/>
        </w:trPr>
        <w:tc>
          <w:tcPr>
            <w:tcW w:w="2120" w:type="dxa"/>
            <w:vAlign w:val="bottom"/>
            <w:gridSpan w:val="2"/>
          </w:tcPr>
          <w:p>
            <w:pPr>
              <w:spacing w:after="0" w:line="196" w:lineRule="exact"/>
              <w:rPr>
                <w:sz w:val="20"/>
                <w:szCs w:val="20"/>
                <w:color w:val="auto"/>
              </w:rPr>
            </w:pPr>
            <w:r>
              <w:rPr>
                <w:rFonts w:ascii="Arial" w:cs="Arial" w:eastAsia="Arial" w:hAnsi="Arial"/>
                <w:sz w:val="18"/>
                <w:szCs w:val="18"/>
                <w:color w:val="auto"/>
              </w:rPr>
              <w:t>Exhibit 32.1**</w:t>
            </w:r>
          </w:p>
        </w:tc>
        <w:tc>
          <w:tcPr>
            <w:tcW w:w="72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Certification of Chief Executive Officer pursuant to Section 906 of the Sarbanes-Oxley Act of 2002</w:t>
              </w:r>
            </w:hyperlink>
          </w:p>
        </w:tc>
        <w:tc>
          <w:tcPr>
            <w:tcW w:w="2140" w:type="dxa"/>
            <w:vAlign w:val="bottom"/>
          </w:tcPr>
          <w:p>
            <w:pPr>
              <w:spacing w:after="0"/>
              <w:rPr>
                <w:sz w:val="17"/>
                <w:szCs w:val="17"/>
                <w:color w:val="auto"/>
              </w:rPr>
            </w:pPr>
          </w:p>
        </w:tc>
      </w:tr>
      <w:tr>
        <w:trPr>
          <w:trHeight w:val="196"/>
        </w:trPr>
        <w:tc>
          <w:tcPr>
            <w:tcW w:w="2120" w:type="dxa"/>
            <w:vAlign w:val="bottom"/>
            <w:gridSpan w:val="2"/>
          </w:tcPr>
          <w:p>
            <w:pPr>
              <w:spacing w:after="0" w:line="196" w:lineRule="exact"/>
              <w:rPr>
                <w:sz w:val="20"/>
                <w:szCs w:val="20"/>
                <w:color w:val="auto"/>
              </w:rPr>
            </w:pPr>
            <w:r>
              <w:rPr>
                <w:rFonts w:ascii="Arial" w:cs="Arial" w:eastAsia="Arial" w:hAnsi="Arial"/>
                <w:sz w:val="18"/>
                <w:szCs w:val="18"/>
                <w:color w:val="auto"/>
              </w:rPr>
              <w:t>Exhibit 32.2**</w:t>
            </w:r>
          </w:p>
        </w:tc>
        <w:tc>
          <w:tcPr>
            <w:tcW w:w="9340" w:type="dxa"/>
            <w:vAlign w:val="bottom"/>
            <w:gridSpan w:val="4"/>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Certification of Chief Financial Officer pursuant to Section 906 of the Sarbanes-Oxley Act of 2002</w:t>
              </w:r>
            </w:hyperlink>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7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200" w:type="dxa"/>
            <w:vAlign w:val="bottom"/>
            <w:gridSpan w:val="3"/>
          </w:tcPr>
          <w:p>
            <w:pPr>
              <w:spacing w:after="0"/>
              <w:rPr>
                <w:sz w:val="19"/>
                <w:szCs w:val="19"/>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9340" w:type="dxa"/>
            <w:vAlign w:val="bottom"/>
            <w:gridSpan w:val="4"/>
          </w:tcPr>
          <w:p>
            <w:pPr>
              <w:spacing w:after="0"/>
              <w:rPr>
                <w:sz w:val="20"/>
                <w:szCs w:val="20"/>
                <w:color w:val="auto"/>
              </w:rPr>
            </w:pPr>
            <w:r>
              <w:rPr>
                <w:rFonts w:ascii="Arial" w:cs="Arial" w:eastAsia="Arial" w:hAnsi="Arial"/>
                <w:sz w:val="18"/>
                <w:szCs w:val="18"/>
                <w:color w:val="auto"/>
              </w:rPr>
              <w:t>XBRL Extension Schema Document</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9340" w:type="dxa"/>
            <w:vAlign w:val="bottom"/>
            <w:gridSpan w:val="4"/>
          </w:tcPr>
          <w:p>
            <w:pPr>
              <w:spacing w:after="0"/>
              <w:rPr>
                <w:sz w:val="20"/>
                <w:szCs w:val="20"/>
                <w:color w:val="auto"/>
              </w:rPr>
            </w:pPr>
            <w:r>
              <w:rPr>
                <w:rFonts w:ascii="Arial" w:cs="Arial" w:eastAsia="Arial" w:hAnsi="Arial"/>
                <w:sz w:val="18"/>
                <w:szCs w:val="18"/>
                <w:color w:val="auto"/>
              </w:rPr>
              <w:t>XBRL Extension Calculation Linkbase Document</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9340" w:type="dxa"/>
            <w:vAlign w:val="bottom"/>
            <w:gridSpan w:val="4"/>
          </w:tcPr>
          <w:p>
            <w:pPr>
              <w:spacing w:after="0"/>
              <w:rPr>
                <w:sz w:val="20"/>
                <w:szCs w:val="20"/>
                <w:color w:val="auto"/>
              </w:rPr>
            </w:pPr>
            <w:r>
              <w:rPr>
                <w:rFonts w:ascii="Arial" w:cs="Arial" w:eastAsia="Arial" w:hAnsi="Arial"/>
                <w:sz w:val="18"/>
                <w:szCs w:val="18"/>
                <w:color w:val="auto"/>
              </w:rPr>
              <w:t>XBRL Extension Label Linkbase Document</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9340" w:type="dxa"/>
            <w:vAlign w:val="bottom"/>
            <w:gridSpan w:val="4"/>
          </w:tcPr>
          <w:p>
            <w:pPr>
              <w:spacing w:after="0"/>
              <w:rPr>
                <w:sz w:val="20"/>
                <w:szCs w:val="20"/>
                <w:color w:val="auto"/>
              </w:rPr>
            </w:pPr>
            <w:r>
              <w:rPr>
                <w:rFonts w:ascii="Arial" w:cs="Arial" w:eastAsia="Arial" w:hAnsi="Arial"/>
                <w:sz w:val="18"/>
                <w:szCs w:val="18"/>
                <w:color w:val="auto"/>
              </w:rPr>
              <w:t>XBRL Extension Presentation Linkbase Document</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9340" w:type="dxa"/>
            <w:vAlign w:val="bottom"/>
            <w:gridSpan w:val="4"/>
          </w:tcPr>
          <w:p>
            <w:pPr>
              <w:spacing w:after="0"/>
              <w:rPr>
                <w:sz w:val="20"/>
                <w:szCs w:val="20"/>
                <w:color w:val="auto"/>
              </w:rPr>
            </w:pPr>
            <w:r>
              <w:rPr>
                <w:rFonts w:ascii="Arial" w:cs="Arial" w:eastAsia="Arial" w:hAnsi="Arial"/>
                <w:sz w:val="18"/>
                <w:szCs w:val="18"/>
                <w:color w:val="auto"/>
              </w:rPr>
              <w:t>XBRL Extension Definition Linkbase Document</w:t>
            </w: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 Furnished herewith.</w:t>
            </w: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gridSpan w:val="4"/>
          </w:tcPr>
          <w:p>
            <w:pPr>
              <w:jc w:val="right"/>
              <w:spacing w:after="0"/>
              <w:rPr>
                <w:sz w:val="20"/>
                <w:szCs w:val="20"/>
                <w:color w:val="auto"/>
              </w:rPr>
            </w:pPr>
            <w:r>
              <w:rPr>
                <w:rFonts w:ascii="Arial" w:cs="Arial" w:eastAsia="Arial" w:hAnsi="Arial"/>
                <w:sz w:val="18"/>
                <w:szCs w:val="18"/>
                <w:color w:val="auto"/>
              </w:rPr>
              <w:t>33</w:t>
            </w:r>
          </w:p>
        </w:tc>
      </w:tr>
      <w:tr>
        <w:trPr>
          <w:trHeight w:val="132"/>
        </w:trPr>
        <w:tc>
          <w:tcPr>
            <w:tcW w:w="1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r>
      <w:tr>
        <w:trPr>
          <w:trHeight w:val="523"/>
        </w:trPr>
        <w:tc>
          <w:tcPr>
            <w:tcW w:w="21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w w:val="91"/>
              </w:rPr>
              <w:t>Avery Dennison Corporation</w:t>
            </w:r>
          </w:p>
        </w:tc>
      </w:tr>
      <w:tr>
        <w:trPr>
          <w:trHeight w:val="432"/>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340" w:type="dxa"/>
            <w:vAlign w:val="bottom"/>
            <w:gridSpan w:val="4"/>
          </w:tcPr>
          <w:p>
            <w:pPr>
              <w:ind w:left="3020"/>
              <w:spacing w:after="0"/>
              <w:rPr>
                <w:sz w:val="20"/>
                <w:szCs w:val="20"/>
                <w:color w:val="auto"/>
              </w:rPr>
            </w:pPr>
            <w:r>
              <w:rPr>
                <w:rFonts w:ascii="Arial" w:cs="Arial" w:eastAsia="Arial" w:hAnsi="Arial"/>
                <w:sz w:val="18"/>
                <w:szCs w:val="18"/>
                <w:b w:val="1"/>
                <w:bCs w:val="1"/>
                <w:color w:val="auto"/>
              </w:rPr>
              <w:t>SIGNATURES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AVERY DENNISON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60"/>
          </w:cols>
          <w:pgMar w:left="240" w:top="341" w:right="199" w:bottom="1044"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color w:val="auto"/>
        </w:rPr>
        <w:t>/s/ Gregory S. Lovins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Lori J. Bondar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Vice President, Controller, and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May 1, 2018</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42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46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4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518"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6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35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9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Lovins, certify that:</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Avery Dennison Corporation;</w:t>
      </w:r>
    </w:p>
    <w:p>
      <w:pPr>
        <w:spacing w:after="0" w:line="225" w:lineRule="exact"/>
        <w:rPr>
          <w:rFonts w:ascii="Arial" w:cs="Arial" w:eastAsia="Arial" w:hAnsi="Arial"/>
          <w:sz w:val="18"/>
          <w:szCs w:val="18"/>
          <w:color w:val="auto"/>
        </w:rPr>
      </w:pPr>
    </w:p>
    <w:p>
      <w:pPr>
        <w:ind w:left="260" w:hanging="252"/>
        <w:spacing w:after="0" w:line="342" w:lineRule="auto"/>
        <w:tabs>
          <w:tab w:leader="none" w:pos="4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7"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4" w:lineRule="auto"/>
        <w:tabs>
          <w:tab w:leader="none" w:pos="4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49"/>
        <w:spacing w:after="0" w:line="264" w:lineRule="auto"/>
        <w:tabs>
          <w:tab w:leader="none" w:pos="5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49"/>
        <w:spacing w:after="0" w:line="277" w:lineRule="auto"/>
        <w:tabs>
          <w:tab w:leader="none" w:pos="5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49"/>
        <w:spacing w:after="0" w:line="264" w:lineRule="auto"/>
        <w:tabs>
          <w:tab w:leader="none" w:pos="5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8" w:lineRule="auto"/>
        <w:tabs>
          <w:tab w:leader="none" w:pos="3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49"/>
        <w:spacing w:after="0" w:line="277" w:lineRule="auto"/>
        <w:tabs>
          <w:tab w:leader="none" w:pos="4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249"/>
        <w:spacing w:after="0" w:line="277" w:lineRule="auto"/>
        <w:tabs>
          <w:tab w:leader="none" w:pos="5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Gregory S. Lovins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080" w:hanging="501"/>
        <w:spacing w:after="0" w:line="277" w:lineRule="auto"/>
        <w:tabs>
          <w:tab w:leader="none" w:pos="12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2018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1080" w:hanging="501"/>
        <w:spacing w:after="0" w:line="277" w:lineRule="auto"/>
        <w:tabs>
          <w:tab w:leader="none" w:pos="1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2018</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Mitchell R. Butier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70" w:lineRule="exact"/>
        <w:rPr>
          <w:sz w:val="20"/>
          <w:szCs w:val="20"/>
          <w:color w:val="auto"/>
        </w:rPr>
      </w:pPr>
    </w:p>
    <w:p>
      <w:pPr>
        <w:ind w:left="1080" w:right="20" w:hanging="501"/>
        <w:spacing w:after="0" w:line="277" w:lineRule="auto"/>
        <w:tabs>
          <w:tab w:leader="none" w:pos="12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2018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1080" w:hanging="501"/>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2018</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/s/</w:t>
        <w:tab/>
        <w:t>Gregory S. Lovins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180" w:right="60" w:hanging="172"/>
        <w:spacing w:after="0" w:line="277" w:lineRule="auto"/>
        <w:tabs>
          <w:tab w:leader="none" w:pos="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58" Type="http://schemas.openxmlformats.org/officeDocument/2006/relationships/hyperlink" Target="file:///data/convert/a18-8604_1ex31d1.htm#Exhibit31_1_102909" TargetMode="External"/><Relationship Id="rId59" Type="http://schemas.openxmlformats.org/officeDocument/2006/relationships/hyperlink" Target="file:///data/convert/a18-8604_1ex31d2.htm#Exhibit31_2_103648" TargetMode="External"/><Relationship Id="rId60" Type="http://schemas.openxmlformats.org/officeDocument/2006/relationships/hyperlink" Target="file:///data/convert/a18-8604_1ex32d1.htm#Exhibit32_1_103954" TargetMode="External"/><Relationship Id="rId61" Type="http://schemas.openxmlformats.org/officeDocument/2006/relationships/hyperlink" Target="file:///data/convert/a18-8604_1ex32d2.htm#Exhibit32_2_10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2019-12-05T01:17:12Z</dcterms:created>
  <dcterms:modified xsi:type="dcterms:W3CDTF">2019-12-05T01:17:12Z</dcterms:modified>
</cp:coreProperties>
</file>