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right="2060" w:hanging="332"/>
        <w:spacing w:after="0" w:line="282" w:lineRule="auto"/>
        <w:tabs>
          <w:tab w:leader="none" w:pos="2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29, 2018.</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40"/>
        <w:spacing w:after="0"/>
        <w:tabs>
          <w:tab w:leader="none" w:pos="4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-19050</wp:posOffset>
            </wp:positionV>
            <wp:extent cx="2889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1-7685</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AVERY DENNISON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539"/>
              <w:spacing w:after="0"/>
              <w:rPr>
                <w:sz w:val="20"/>
                <w:szCs w:val="20"/>
                <w:color w:val="auto"/>
              </w:rPr>
            </w:pPr>
            <w:r>
              <w:rPr>
                <w:rFonts w:ascii="Arial" w:cs="Arial" w:eastAsia="Arial" w:hAnsi="Arial"/>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20" w:type="dxa"/>
            <w:vAlign w:val="bottom"/>
          </w:tcPr>
          <w:p>
            <w:pPr>
              <w:jc w:val="center"/>
              <w:ind w:left="6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4"/>
              </w:rPr>
              <w:t>incorporation or organization)</w:t>
            </w:r>
          </w:p>
        </w:tc>
        <w:tc>
          <w:tcPr>
            <w:tcW w:w="2820" w:type="dxa"/>
            <w:vAlign w:val="bottom"/>
          </w:tcPr>
          <w:p>
            <w:pPr>
              <w:spacing w:after="0"/>
              <w:rPr>
                <w:sz w:val="15"/>
                <w:szCs w:val="15"/>
                <w:color w:val="auto"/>
              </w:rPr>
            </w:pPr>
          </w:p>
        </w:tc>
      </w:tr>
      <w:tr>
        <w:trPr>
          <w:trHeight w:val="399"/>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88"/>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2"/>
              </w:rPr>
              <w:t>Glendale, California</w:t>
            </w:r>
          </w:p>
        </w:tc>
        <w:tc>
          <w:tcPr>
            <w:tcW w:w="2820" w:type="dxa"/>
            <w:vAlign w:val="bottom"/>
          </w:tcPr>
          <w:p>
            <w:pPr>
              <w:jc w:val="right"/>
              <w:ind w:right="739"/>
              <w:spacing w:after="0"/>
              <w:rPr>
                <w:sz w:val="20"/>
                <w:szCs w:val="20"/>
                <w:color w:val="auto"/>
              </w:rPr>
            </w:pPr>
            <w:r>
              <w:rPr>
                <w:rFonts w:ascii="Arial" w:cs="Arial" w:eastAsia="Arial" w:hAnsi="Arial"/>
                <w:sz w:val="18"/>
                <w:szCs w:val="18"/>
                <w:b w:val="1"/>
                <w:bCs w:val="1"/>
                <w:color w:val="auto"/>
              </w:rPr>
              <w:t>91203</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jc w:val="center"/>
              <w:ind w:left="639"/>
              <w:spacing w:after="0"/>
              <w:rPr>
                <w:sz w:val="20"/>
                <w:szCs w:val="20"/>
                <w:color w:val="auto"/>
              </w:rPr>
            </w:pPr>
            <w:r>
              <w:rPr>
                <w:rFonts w:ascii="Arial" w:cs="Arial" w:eastAsia="Arial" w:hAnsi="Arial"/>
                <w:sz w:val="14"/>
                <w:szCs w:val="14"/>
                <w:color w:val="auto"/>
                <w:w w:val="93"/>
              </w:rPr>
              <w:t>(Zip Code)</w:t>
            </w:r>
          </w:p>
        </w:tc>
      </w:tr>
    </w:tbl>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(626) 304-2000</w:t>
      </w:r>
    </w:p>
    <w:p>
      <w:pPr>
        <w:spacing w:after="0" w:line="230" w:lineRule="exact"/>
        <w:rPr>
          <w:sz w:val="24"/>
          <w:szCs w:val="24"/>
          <w:color w:val="auto"/>
        </w:rPr>
      </w:pPr>
    </w:p>
    <w:p>
      <w:pPr>
        <w:jc w:val="both"/>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6" w:lineRule="exact"/>
        <w:rPr>
          <w:sz w:val="24"/>
          <w:szCs w:val="24"/>
          <w:color w:val="auto"/>
        </w:rPr>
      </w:pPr>
    </w:p>
    <w:p>
      <w:pPr>
        <w:jc w:val="both"/>
        <w:spacing w:after="0" w:line="32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48"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p>
      <w:pPr>
        <w:ind w:left="100"/>
        <w:spacing w:after="0"/>
        <w:tabs>
          <w:tab w:leader="none" w:pos="2200" w:val="left"/>
          <w:tab w:leader="none" w:pos="4020" w:val="left"/>
          <w:tab w:leader="none" w:pos="6980" w:val="left"/>
          <w:tab w:leader="none" w:pos="9280" w:val="left"/>
        </w:tabs>
        <w:rPr>
          <w:sz w:val="20"/>
          <w:szCs w:val="20"/>
          <w:color w:val="auto"/>
        </w:rPr>
      </w:pPr>
      <w:r>
        <w:rPr>
          <w:rFonts w:ascii="Arial" w:cs="Arial" w:eastAsia="Arial" w:hAnsi="Arial"/>
          <w:sz w:val="16"/>
          <w:szCs w:val="16"/>
          <w:color w:val="auto"/>
        </w:rPr>
        <w:t>x Large accelerated filer</w:t>
      </w:r>
      <w:r>
        <w:rPr>
          <w:sz w:val="20"/>
          <w:szCs w:val="20"/>
          <w:color w:val="auto"/>
        </w:rPr>
        <w:tab/>
      </w:r>
      <w:r>
        <w:rPr>
          <w:rFonts w:ascii="Arial" w:cs="Arial" w:eastAsia="Arial" w:hAnsi="Arial"/>
          <w:sz w:val="16"/>
          <w:szCs w:val="16"/>
          <w:color w:val="auto"/>
        </w:rPr>
        <w:t>o Accelerated filer</w:t>
      </w:r>
      <w:r>
        <w:rPr>
          <w:sz w:val="20"/>
          <w:szCs w:val="20"/>
          <w:color w:val="auto"/>
        </w:rPr>
        <w:tab/>
      </w:r>
      <w:r>
        <w:rPr>
          <w:rFonts w:ascii="Arial" w:cs="Arial" w:eastAsia="Arial" w:hAnsi="Arial"/>
          <w:sz w:val="16"/>
          <w:szCs w:val="16"/>
          <w:color w:val="auto"/>
        </w:rPr>
        <w:t>o Non-accelerated filer</w:t>
      </w:r>
      <w:r>
        <w:rPr>
          <w:sz w:val="20"/>
          <w:szCs w:val="20"/>
          <w:color w:val="auto"/>
        </w:rPr>
        <w:tab/>
      </w:r>
      <w:r>
        <w:rPr>
          <w:rFonts w:ascii="Arial" w:cs="Arial" w:eastAsia="Arial" w:hAnsi="Arial"/>
          <w:sz w:val="16"/>
          <w:szCs w:val="16"/>
          <w:color w:val="auto"/>
        </w:rPr>
        <w:t>o Smaller reporting company</w:t>
      </w:r>
      <w:r>
        <w:rPr>
          <w:sz w:val="20"/>
          <w:szCs w:val="20"/>
          <w:color w:val="auto"/>
        </w:rPr>
        <w:tab/>
      </w:r>
      <w:r>
        <w:rPr>
          <w:rFonts w:ascii="Arial" w:cs="Arial" w:eastAsia="Arial" w:hAnsi="Arial"/>
          <w:sz w:val="14"/>
          <w:szCs w:val="14"/>
          <w:color w:val="auto"/>
        </w:rPr>
        <w:t>o Emerging growth company</w:t>
      </w:r>
    </w:p>
    <w:p>
      <w:pPr>
        <w:spacing w:after="0" w:line="370" w:lineRule="exact"/>
        <w:rPr>
          <w:sz w:val="24"/>
          <w:szCs w:val="24"/>
          <w:color w:val="auto"/>
        </w:rPr>
      </w:pPr>
    </w:p>
    <w:p>
      <w:pPr>
        <w:ind w:right="200"/>
        <w:spacing w:after="0" w:line="293"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 o</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$1 par value common stock outstanding as of October 27, 2018: 86,710,248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80" w:type="dxa"/>
            <w:vAlign w:val="bottom"/>
            <w:gridSpan w:val="16"/>
          </w:tcPr>
          <w:p>
            <w:pPr>
              <w:jc w:val="center"/>
              <w:ind w:right="3100"/>
              <w:spacing w:after="0"/>
              <w:rPr>
                <w:sz w:val="20"/>
                <w:szCs w:val="20"/>
                <w:color w:val="auto"/>
              </w:rPr>
            </w:pPr>
            <w:r>
              <w:rPr>
                <w:rFonts w:ascii="Arial" w:cs="Arial" w:eastAsia="Arial" w:hAnsi="Arial"/>
                <w:sz w:val="18"/>
                <w:szCs w:val="18"/>
                <w:b w:val="1"/>
                <w:bCs w:val="1"/>
                <w:color w:val="auto"/>
                <w:w w:val="99"/>
              </w:rPr>
              <w:t>AVERY DENNISON CORPORATION</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24"/>
          </w:tcPr>
          <w:p>
            <w:pPr>
              <w:jc w:val="center"/>
              <w:ind w:right="1840"/>
              <w:spacing w:after="0"/>
              <w:rPr>
                <w:sz w:val="20"/>
                <w:szCs w:val="20"/>
                <w:color w:val="auto"/>
              </w:rPr>
            </w:pPr>
            <w:r>
              <w:rPr>
                <w:rFonts w:ascii="Arial" w:cs="Arial" w:eastAsia="Arial" w:hAnsi="Arial"/>
                <w:sz w:val="18"/>
                <w:szCs w:val="18"/>
                <w:b w:val="1"/>
                <w:bCs w:val="1"/>
                <w:color w:val="auto"/>
                <w:w w:val="99"/>
              </w:rPr>
              <w:t>FISCAL THIRD QUARTER 2018 QUARTERLY REPORT ON FORM 10-Q</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80" w:type="dxa"/>
            <w:vAlign w:val="bottom"/>
            <w:gridSpan w:val="14"/>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11"/>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SAFE HARBOR STATEMENT</w:t>
              </w:r>
            </w:hyperlink>
          </w:p>
        </w:tc>
        <w:tc>
          <w:tcPr>
            <w:tcW w:w="8200" w:type="dxa"/>
            <w:vAlign w:val="bottom"/>
            <w:gridSpan w:val="26"/>
            <w:vMerge w:val="restart"/>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11"/>
            <w:vMerge w:val="continue"/>
          </w:tcPr>
          <w:p>
            <w:pPr>
              <w:spacing w:after="0"/>
              <w:rPr>
                <w:sz w:val="13"/>
                <w:szCs w:val="13"/>
                <w:color w:val="auto"/>
              </w:rPr>
            </w:pPr>
          </w:p>
        </w:tc>
        <w:tc>
          <w:tcPr>
            <w:tcW w:w="8200" w:type="dxa"/>
            <w:vAlign w:val="bottom"/>
            <w:gridSpan w:val="26"/>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0660" w:type="dxa"/>
            <w:vAlign w:val="bottom"/>
            <w:gridSpan w:val="3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 (UNAUDITED)</w:t>
              </w:r>
            </w:hyperlink>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00" w:type="dxa"/>
            <w:vAlign w:val="bottom"/>
            <w:tcBorders>
              <w:top w:val="single" w:sz="8" w:color="0000EE"/>
            </w:tcBorders>
            <w:gridSpan w:val="4"/>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5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1500" w:type="dxa"/>
            <w:vAlign w:val="bottom"/>
            <w:tcBorders>
              <w:top w:val="single" w:sz="8" w:color="0000EE"/>
            </w:tcBorders>
            <w:gridSpan w:val="7"/>
          </w:tcPr>
          <w:p>
            <w:pPr>
              <w:spacing w:after="0"/>
              <w:rPr>
                <w:sz w:val="24"/>
                <w:szCs w:val="24"/>
                <w:color w:val="auto"/>
              </w:rPr>
            </w:pPr>
          </w:p>
        </w:tc>
        <w:tc>
          <w:tcPr>
            <w:tcW w:w="6340" w:type="dxa"/>
            <w:vAlign w:val="bottom"/>
            <w:gridSpan w:val="15"/>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28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September 29, 2018 and December 30, 2017</w:t>
              </w:r>
            </w:hyperlink>
          </w:p>
        </w:tc>
        <w:tc>
          <w:tcPr>
            <w:tcW w:w="5820" w:type="dxa"/>
            <w:vAlign w:val="bottom"/>
            <w:gridSpan w:val="1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Income</w:t>
              </w:r>
            </w:hyperlink>
          </w:p>
        </w:tc>
        <w:tc>
          <w:tcPr>
            <w:tcW w:w="580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and Nine Months ended September 29, 2018 and September 30, 2017</w:t>
              </w:r>
            </w:hyperlink>
          </w:p>
        </w:tc>
        <w:tc>
          <w:tcPr>
            <w:tcW w:w="3560" w:type="dxa"/>
            <w:vAlign w:val="bottom"/>
            <w:gridSpan w:val="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gridSpan w:val="3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Three and Nine Months ended September 29, 2018 and September 30, 2017</w:t>
              </w:r>
            </w:hyperlink>
          </w:p>
        </w:tc>
        <w:tc>
          <w:tcPr>
            <w:tcW w:w="3560" w:type="dxa"/>
            <w:vAlign w:val="bottom"/>
            <w:gridSpan w:val="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550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gridSpan w:val="2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Nine Months ended September 29, 2018 and September 30, 2017</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420" w:type="dxa"/>
            <w:vAlign w:val="bottom"/>
            <w:gridSpan w:val="6"/>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9400" w:type="dxa"/>
            <w:vAlign w:val="bottom"/>
            <w:gridSpan w:val="3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Non-GAAP Financial Measures</w:t>
              </w:r>
            </w:hyperlink>
          </w:p>
        </w:tc>
        <w:tc>
          <w:tcPr>
            <w:tcW w:w="3960" w:type="dxa"/>
            <w:vAlign w:val="bottom"/>
            <w:tcBorders>
              <w:top w:val="single" w:sz="8" w:color="0000EE"/>
            </w:tcBorders>
            <w:gridSpan w:val="16"/>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Overview and Outlook</w:t>
              </w:r>
            </w:hyperlink>
          </w:p>
        </w:tc>
        <w:tc>
          <w:tcPr>
            <w:tcW w:w="7560" w:type="dxa"/>
            <w:vAlign w:val="bottom"/>
            <w:gridSpan w:val="1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Analysis of Results of Operations for the Third Quarter</w:t>
              </w:r>
            </w:hyperlink>
          </w:p>
        </w:tc>
        <w:tc>
          <w:tcPr>
            <w:tcW w:w="5220" w:type="dxa"/>
            <w:vAlign w:val="bottom"/>
            <w:gridSpan w:val="10"/>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Results of Operations by Reportable Segment for the Third Quarter</w:t>
              </w:r>
            </w:hyperlink>
          </w:p>
        </w:tc>
        <w:tc>
          <w:tcPr>
            <w:tcW w:w="4340" w:type="dxa"/>
            <w:vAlign w:val="bottom"/>
            <w:gridSpan w:val="5"/>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Analysis of Results of Operations for the Nine Months Year-to-Date</w:t>
              </w:r>
            </w:hyperlink>
          </w:p>
        </w:tc>
        <w:tc>
          <w:tcPr>
            <w:tcW w:w="4300" w:type="dxa"/>
            <w:vAlign w:val="bottom"/>
            <w:gridSpan w:val="4"/>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gridSpan w:val="3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Results of Operations by Reportable Segment for the Nine Months Year-to-Date</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Financial Condition</w:t>
              </w:r>
            </w:hyperlink>
          </w:p>
        </w:tc>
        <w:tc>
          <w:tcPr>
            <w:tcW w:w="3440" w:type="dxa"/>
            <w:vAlign w:val="bottom"/>
            <w:gridSpan w:val="2"/>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Recent Accounting Requirements</w:t>
              </w:r>
            </w:hyperlink>
          </w:p>
        </w:tc>
        <w:tc>
          <w:tcPr>
            <w:tcW w:w="6780" w:type="dxa"/>
            <w:vAlign w:val="bottom"/>
            <w:gridSpan w:val="16"/>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3.</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5020" w:type="dxa"/>
            <w:vAlign w:val="bottom"/>
            <w:gridSpan w:val="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7620" w:type="dxa"/>
            <w:vAlign w:val="bottom"/>
            <w:gridSpan w:val="20"/>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7880" w:type="dxa"/>
            <w:vAlign w:val="bottom"/>
            <w:gridSpan w:val="23"/>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Borders>
              <w:bottom w:val="single" w:sz="8" w:color="0000EE"/>
            </w:tcBorders>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w:t>
              </w:r>
            </w:hyperlink>
          </w:p>
        </w:tc>
        <w:tc>
          <w:tcPr>
            <w:tcW w:w="3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8060" w:type="dxa"/>
            <w:vAlign w:val="bottom"/>
            <w:gridSpan w:val="24"/>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1A.</w:t>
              </w:r>
            </w:hyperlink>
          </w:p>
        </w:tc>
        <w:tc>
          <w:tcPr>
            <w:tcW w:w="9640" w:type="dxa"/>
            <w:vAlign w:val="bottom"/>
            <w:gridSpan w:val="32"/>
          </w:tcPr>
          <w:p>
            <w:pPr>
              <w:ind w:left="24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040" w:type="dxa"/>
            <w:vAlign w:val="bottom"/>
            <w:gridSpan w:val="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0" w:type="dxa"/>
            <w:vAlign w:val="bottom"/>
            <w:gridSpan w:val="3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7080" w:type="dxa"/>
            <w:vAlign w:val="bottom"/>
            <w:gridSpan w:val="1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5.</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Other Information</w:t>
              </w:r>
            </w:hyperlink>
          </w:p>
        </w:tc>
        <w:tc>
          <w:tcPr>
            <w:tcW w:w="8080" w:type="dxa"/>
            <w:vAlign w:val="bottom"/>
            <w:gridSpan w:val="25"/>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6.</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400" w:type="dxa"/>
            <w:vAlign w:val="bottom"/>
            <w:gridSpan w:val="3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risks and uncertainties are discussed in more detail under “Risk Factors” and “Management’s Discussion and Analysis of Financial Condition and Results of Operations” in our Annual Report on Form 10-K for the fiscal year ended December 30, 2017, and subsequent quarterly reports on Form 10-Q, and include, but are not limited to, risks and uncertainties relating to the following: fluctuations in demand affecting sales to customers; worldwide and local economic conditions; changes in political conditions; changes in governmental laws and regulations; fluctuations in foreign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execution and integration of acquisitions; timely development and market acceptance of new products, including sustainable or sustainably-sourced products; investment in development activities and new production facilities;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including the Tax Cuts and Jobs Act, and uncertainties associated with interpretations of such laws and regulations; outcome of tax audits; fluctuations in pension, insurance, and employee benefit costs, including risks related to the termination of our U.S. pension plan; the impact of legal and regulatory proceedings, including with respect to environmental, health and safety; protection and infringement of intellectual property; the impact of epidemiological events on the economy and our customers and suppliers; acts of war, terrorism, and natural disasters;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the most significant risk factors that could affect our financial performance in the near-term include: (1) the impacts of global economic conditions and political uncertainty on underlying demand for our products and foreign currency fluctuations; (2) the degree to which higher costs can be offset with productivity measures and/or passed on to customers through selling price increases, without a significant loss of volume; (3) competitors’ actions, including pricing, expansion in key markets, and product offerings; and (4) the execution and integration of acquisitions.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4"/>
                <w:szCs w:val="14"/>
                <w:color w:val="auto"/>
              </w:rPr>
              <w:t>(In millions, except per share amount)</w:t>
            </w:r>
          </w:p>
        </w:tc>
        <w:tc>
          <w:tcPr>
            <w:tcW w:w="23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September 29, 2018</w:t>
            </w:r>
          </w:p>
        </w:tc>
        <w:tc>
          <w:tcPr>
            <w:tcW w:w="1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217.6</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ind w:left="160"/>
              <w:spacing w:after="0" w:line="201" w:lineRule="exact"/>
              <w:rPr>
                <w:sz w:val="20"/>
                <w:szCs w:val="20"/>
                <w:color w:val="auto"/>
              </w:rPr>
            </w:pPr>
            <w:r>
              <w:rPr>
                <w:rFonts w:ascii="Arial" w:cs="Arial" w:eastAsia="Arial" w:hAnsi="Arial"/>
                <w:sz w:val="18"/>
                <w:szCs w:val="18"/>
                <w:color w:val="auto"/>
                <w:w w:val="97"/>
              </w:rPr>
              <w:t>Trade accounts receivable, less allowances of $24.6 and $36.2 at September 29, 2018 and</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December 30, 2017, respectively</w:t>
            </w:r>
          </w:p>
        </w:tc>
        <w:tc>
          <w:tcPr>
            <w:tcW w:w="102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1,235.7</w:t>
            </w:r>
          </w:p>
        </w:tc>
        <w:tc>
          <w:tcPr>
            <w:tcW w:w="8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682.5</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219.4</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2,358.8</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1,086.9</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953.1</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resulting from business acquisitions, net</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148.6</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Non-current deferred income taxes</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195.1</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439.4</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5,181.9</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571.7</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1,048.0</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Accrued payroll and employee benefits</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203.6</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534.9</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2,358.2</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1,295.3</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Long-term retirement benefits and other liabilities</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353.5</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and payable income taxes</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127.8</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Commitments and contingencies (see Note 13)</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$1 par value per share, authorized — 400,000,000 shares at September 29,</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w w:val="96"/>
              </w:rPr>
              <w:t>2018 and December 30, 2017; issued — 124,126,624 shares at September 29, 2018 and</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December 30, 2017; outstanding — 87,013,446 shares and 88,011,541 shares at</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September 29, 2018 and December 30, 2017, respectively</w:t>
            </w:r>
          </w:p>
        </w:tc>
        <w:tc>
          <w:tcPr>
            <w:tcW w:w="102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124.1</w:t>
            </w:r>
          </w:p>
        </w:tc>
        <w:tc>
          <w:tcPr>
            <w:tcW w:w="8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862.4</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2,809.4</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Treasury stock at cost, 37,113,178 shares and 36,115,083 shares at September 29, 2018 and</w:t>
            </w:r>
          </w:p>
        </w:tc>
        <w:tc>
          <w:tcPr>
            <w:tcW w:w="1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30, 2017, respectively</w:t>
            </w:r>
          </w:p>
        </w:tc>
        <w:tc>
          <w:tcPr>
            <w:tcW w:w="10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(2,008.4)</w:t>
            </w:r>
          </w:p>
        </w:tc>
        <w:tc>
          <w:tcPr>
            <w:tcW w:w="8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(740.4)</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0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1,047.1</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5,181.9</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7"/>
              </w:rPr>
              <w:t>Three Months Ended</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7"/>
              </w:rPr>
              <w:t>Nine Months Ended</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20" w:type="dxa"/>
            <w:vAlign w:val="bottom"/>
            <w:gridSpan w:val="2"/>
          </w:tcPr>
          <w:p>
            <w:pPr>
              <w:jc w:val="right"/>
              <w:ind w:right="330"/>
              <w:spacing w:after="0" w:line="191" w:lineRule="exact"/>
              <w:rPr>
                <w:sz w:val="20"/>
                <w:szCs w:val="20"/>
                <w:color w:val="auto"/>
              </w:rPr>
            </w:pPr>
            <w:r>
              <w:rPr>
                <w:rFonts w:ascii="Arial" w:cs="Arial" w:eastAsia="Arial" w:hAnsi="Arial"/>
                <w:sz w:val="18"/>
                <w:szCs w:val="18"/>
                <w:b w:val="1"/>
                <w:bCs w:val="1"/>
                <w:color w:val="auto"/>
              </w:rPr>
              <w:t>September 29,</w:t>
            </w:r>
          </w:p>
        </w:tc>
        <w:tc>
          <w:tcPr>
            <w:tcW w:w="14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6"/>
                <w:szCs w:val="16"/>
                <w:color w:val="auto"/>
              </w:rPr>
            </w:pPr>
          </w:p>
        </w:tc>
        <w:tc>
          <w:tcPr>
            <w:tcW w:w="2020" w:type="dxa"/>
            <w:vAlign w:val="bottom"/>
            <w:gridSpan w:val="2"/>
          </w:tcPr>
          <w:p>
            <w:pPr>
              <w:jc w:val="right"/>
              <w:ind w:right="330"/>
              <w:spacing w:after="0" w:line="191" w:lineRule="exact"/>
              <w:rPr>
                <w:sz w:val="20"/>
                <w:szCs w:val="20"/>
                <w:color w:val="auto"/>
              </w:rPr>
            </w:pPr>
            <w:r>
              <w:rPr>
                <w:rFonts w:ascii="Arial" w:cs="Arial" w:eastAsia="Arial" w:hAnsi="Arial"/>
                <w:sz w:val="18"/>
                <w:szCs w:val="18"/>
                <w:b w:val="1"/>
                <w:bCs w:val="1"/>
                <w:color w:val="auto"/>
              </w:rPr>
              <w:t>September 29,</w:t>
            </w:r>
          </w:p>
        </w:tc>
        <w:tc>
          <w:tcPr>
            <w:tcW w:w="156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8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1,759.7</w:t>
            </w: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5,390.3</w:t>
            </w: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1,300.5</w:t>
            </w: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3,946.3</w:t>
            </w: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459.2</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451.6</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1,444.0</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8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270.5</w:t>
            </w:r>
          </w:p>
        </w:tc>
        <w:tc>
          <w:tcPr>
            <w:tcW w:w="7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273.5</w:t>
            </w:r>
          </w:p>
        </w:tc>
        <w:tc>
          <w:tcPr>
            <w:tcW w:w="84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853.0</w:t>
            </w: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66.9</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14.7</w:t>
            </w:r>
          </w:p>
        </w:tc>
        <w:tc>
          <w:tcPr>
            <w:tcW w:w="7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84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42.2</w:t>
            </w: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9.0</w:t>
            </w:r>
          </w:p>
        </w:tc>
        <w:tc>
          <w:tcPr>
            <w:tcW w:w="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8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14.9</w:t>
            </w:r>
          </w:p>
        </w:tc>
        <w:tc>
          <w:tcPr>
            <w:tcW w:w="7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Income before taxes</w:t>
            </w:r>
          </w:p>
        </w:tc>
        <w:tc>
          <w:tcPr>
            <w:tcW w:w="8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168.0</w:t>
            </w:r>
          </w:p>
        </w:tc>
        <w:tc>
          <w:tcPr>
            <w:tcW w:w="7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146.8</w:t>
            </w:r>
          </w:p>
        </w:tc>
        <w:tc>
          <w:tcPr>
            <w:tcW w:w="84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467.0</w:t>
            </w: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17.7</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94.9</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method investment net losses</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w:t>
            </w: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149.5</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370.3</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1.71</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1.23</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4.22</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1.69</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4.16</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per common share</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.52</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.45</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1.49</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87.3</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87.7</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Common shares, assuming dilution</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88.5</w:t>
            </w: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89.9</w:t>
            </w: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89.1</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color w:val="auto"/>
        </w:rPr>
        <w:t>CONDENSED CONSOLIDATED STATEMENTS OF COMPREHENSIVE INCOME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Three Months Ended</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7"/>
              </w:rPr>
              <w:t>Nine Months Ended</w:t>
            </w:r>
          </w:p>
        </w:tc>
        <w:tc>
          <w:tcPr>
            <w:tcW w:w="680" w:type="dxa"/>
            <w:vAlign w:val="bottom"/>
            <w:tcBorders>
              <w:bottom w:val="single" w:sz="8" w:color="auto"/>
            </w:tcBorders>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68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September 29,</w:t>
            </w:r>
          </w:p>
        </w:tc>
        <w:tc>
          <w:tcPr>
            <w:tcW w:w="13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6"/>
                <w:szCs w:val="16"/>
                <w:color w:val="auto"/>
              </w:rPr>
            </w:pPr>
          </w:p>
        </w:tc>
        <w:tc>
          <w:tcPr>
            <w:tcW w:w="166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September 29,</w:t>
            </w:r>
          </w:p>
        </w:tc>
        <w:tc>
          <w:tcPr>
            <w:tcW w:w="144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149.5</w:t>
            </w: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108.3</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370.3</w:t>
            </w:r>
          </w:p>
        </w:tc>
        <w:tc>
          <w:tcPr>
            <w:tcW w:w="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(32.1)</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(83.7)</w:t>
            </w: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58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11.8</w:t>
            </w:r>
          </w:p>
        </w:tc>
        <w:tc>
          <w:tcPr>
            <w:tcW w:w="8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23.5</w:t>
            </w:r>
          </w:p>
        </w:tc>
        <w:tc>
          <w:tcPr>
            <w:tcW w:w="7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7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17.3</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(59.9)</w:t>
            </w: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128.8</w:t>
            </w: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125.6</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310.4</w:t>
            </w:r>
          </w:p>
        </w:tc>
        <w:tc>
          <w:tcPr>
            <w:tcW w:w="7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September 29, 2018</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370.3</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106.2</w:t>
            </w:r>
          </w:p>
        </w:tc>
        <w:tc>
          <w:tcPr>
            <w:tcW w:w="1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29.8</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Provision for doubtful accounts and sales returns</w:t>
            </w:r>
          </w:p>
        </w:tc>
        <w:tc>
          <w:tcPr>
            <w:tcW w:w="11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34.3</w:t>
            </w:r>
          </w:p>
        </w:tc>
        <w:tc>
          <w:tcPr>
            <w:tcW w:w="1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from impairments, sales of assets, and investment settlements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24.8</w:t>
            </w:r>
          </w:p>
        </w:tc>
        <w:tc>
          <w:tcPr>
            <w:tcW w:w="1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settlement of pension obligations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(7.8)</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non-cash expense and loss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41.5</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1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(424.7)</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187.7</w:t>
            </w:r>
          </w:p>
        </w:tc>
        <w:tc>
          <w:tcPr>
            <w:tcW w:w="1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1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(132.7)</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(21.5)</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1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9.4</w:t>
            </w:r>
          </w:p>
        </w:tc>
        <w:tc>
          <w:tcPr>
            <w:tcW w:w="1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Sales (purchases) of investments and proceeds from insurance, net</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17.6</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for acquisitions, net of cash acquired, and investments in businesses</w:t>
            </w:r>
          </w:p>
        </w:tc>
        <w:tc>
          <w:tcPr>
            <w:tcW w:w="1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(127.4)</w:t>
            </w:r>
          </w:p>
        </w:tc>
        <w:tc>
          <w:tcPr>
            <w:tcW w:w="1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11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301.4</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Additional long-term borrowings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Repayments of long-term debt and capital leases</w:t>
            </w:r>
          </w:p>
        </w:tc>
        <w:tc>
          <w:tcPr>
            <w:tcW w:w="11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(130.6)</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Share repurchases</w:t>
            </w:r>
          </w:p>
        </w:tc>
        <w:tc>
          <w:tcPr>
            <w:tcW w:w="11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(175.1)</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Tax withholding for stock-based compensation</w:t>
            </w:r>
          </w:p>
        </w:tc>
        <w:tc>
          <w:tcPr>
            <w:tcW w:w="11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(32.9)</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of contingent consideration</w:t>
            </w:r>
          </w:p>
        </w:tc>
        <w:tc>
          <w:tcPr>
            <w:tcW w:w="1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(17.3)</w:t>
            </w:r>
          </w:p>
        </w:tc>
        <w:tc>
          <w:tcPr>
            <w:tcW w:w="1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(57.9)</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foreign currency translation on cash balances</w:t>
            </w:r>
          </w:p>
        </w:tc>
        <w:tc>
          <w:tcPr>
            <w:tcW w:w="1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(9.2)</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1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224.4</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217.6</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Condensed Consolidated Financial Statements and notes thereto in this Quarterly Report on Form 10-Q are presented as permitted by Article 10 of Regulation S-X and do not contain certain information included in the audited Consolidated Financial Statements and notes thereto in our 2017 Annual Report on Form 10-K, which should be read in conjunction with this Quarterly Report on Form 10-Q. The accompanying unaudited Condensed Consolidated Financial Statements contain all adjustments of a normal and recurring nature necessary for a fair statement of our interim results. Interim results of operations are not necessarily indicative of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Periods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three and nine months ended September 29, 2018 and September 30, 2017 consisted of thirteen-week and thirty-nine week periods,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Inflationary Economy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1, 2018, we began accounting for our operations in Argentina as highly inflationary, as the country’s three-year cumulative inflation rate exceeded 100%. As a result, the functional currency of our Argentine subsidiary became the U.S. dollar.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Guidance Updates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first quarter of 2018, we adopted an accounting guidance update that provides a single comprehensive model on accounting for revenue arising from contracts with customers and supersedes most current revenue recognition guidance, including industry-specific guidance. We adopted this guidance using the modified retrospective method, which means that reporting periods beginning in 2018 are presented in accordance with this guidance, while prior period amounts continue to be reported in accordance with the previous guidance. As allowed by this guidance, we began to apply it to contracts with customers that were not completed as of the beginning of 2018. As a result of the adoption of this guidance, our allowance for customer returns, presented as a reduction of trade accounts receivable in prior years, is now presented as a returns liability in “Other current liabilities.” As of September 29, 2018, the returns liability was $12.6 million. Our adoption of this guidance did not have a material impact on our financial position, results of operations, or cash flows. The disclosures required by this guidance are included in Note 2, “Revenue Recognition,” and Note 14, “Segment and Disaggregated Revenue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Net Periodic Benefit Costs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first quarter of 2018, we adopted an accounting guidance update that requires employers with defined benefit plans to present the service cost component of net periodic benefit cost in the same income statement line item(s) as other employee compensation costs arising from services rendered during the period. Employers are required to present the other components of net periodic benefit cost, including gains or losses from settlements or terminations, separately from the line item(s) that includes the service cost and outside of any subtotal of operating income. Components other than the service cost component are no longer eligible for capitalization in assets. Employers are required to apply the portion of this guidance on the presentation of the components of net periodic benefit cost in the income statement retrospectively, while the portion of this guidance that limits the capitalization of net periodic benefit cost in assets to the service cost component must be applied prospectively.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year results have been reclassified as required by this guidance. The effects of our adoption of this guidance on our unaudited Condensed Consolidated Statements of Income for the prior year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Three Months Ended</w:t>
            </w: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4"/>
              </w:rPr>
              <w:t>Nine Months Ended</w:t>
            </w:r>
          </w:p>
        </w:tc>
        <w:tc>
          <w:tcPr>
            <w:tcW w:w="1260" w:type="dxa"/>
            <w:vAlign w:val="bottom"/>
            <w:tcBorders>
              <w:bottom w:val="single" w:sz="8" w:color="auto"/>
            </w:tcBorders>
          </w:tcPr>
          <w:p>
            <w:pPr>
              <w:spacing w:after="0"/>
              <w:rPr>
                <w:sz w:val="20"/>
                <w:szCs w:val="20"/>
                <w:color w:val="auto"/>
              </w:rPr>
            </w:pPr>
          </w:p>
        </w:tc>
      </w:tr>
      <w:tr>
        <w:trPr>
          <w:trHeight w:val="210"/>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5"/>
              </w:rPr>
              <w:t>September 30, 2017</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2"/>
              </w:rPr>
              <w:t>September 30, 2017</w:t>
            </w:r>
          </w:p>
        </w:tc>
        <w:tc>
          <w:tcPr>
            <w:tcW w:w="1260" w:type="dxa"/>
            <w:vAlign w:val="bottom"/>
            <w:tcBorders>
              <w:bottom w:val="single" w:sz="8" w:color="auto"/>
            </w:tcBorders>
          </w:tcPr>
          <w:p>
            <w:pPr>
              <w:spacing w:after="0"/>
              <w:rPr>
                <w:sz w:val="18"/>
                <w:szCs w:val="18"/>
                <w:color w:val="auto"/>
              </w:rPr>
            </w:pPr>
          </w:p>
        </w:tc>
      </w:tr>
      <w:tr>
        <w:trPr>
          <w:trHeight w:val="191"/>
        </w:trPr>
        <w:tc>
          <w:tcPr>
            <w:tcW w:w="2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As</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As</w:t>
            </w: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24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Previously</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As</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Previously</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As</w:t>
            </w:r>
          </w:p>
        </w:tc>
      </w:tr>
      <w:tr>
        <w:trPr>
          <w:trHeight w:val="234"/>
        </w:trPr>
        <w:tc>
          <w:tcPr>
            <w:tcW w:w="2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Reported</w:t>
            </w:r>
          </w:p>
        </w:tc>
        <w:tc>
          <w:tcPr>
            <w:tcW w:w="19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Reclassification</w:t>
            </w: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Reclassified</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Reported</w:t>
            </w:r>
          </w:p>
        </w:tc>
        <w:tc>
          <w:tcPr>
            <w:tcW w:w="18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Reclassification</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Reclassified</w:t>
            </w:r>
          </w:p>
        </w:tc>
      </w:tr>
      <w:tr>
        <w:trPr>
          <w:trHeight w:val="195"/>
        </w:trPr>
        <w:tc>
          <w:tcPr>
            <w:tcW w:w="2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Marketing, general and</w:t>
            </w: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273.5</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824.1</w:t>
            </w:r>
          </w:p>
        </w:tc>
      </w:tr>
      <w:tr>
        <w:trPr>
          <w:trHeight w:val="223"/>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non-operating expense</w:t>
            </w: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3.7</w:t>
            </w:r>
          </w:p>
        </w:tc>
        <w:tc>
          <w:tcPr>
            <w:tcW w:w="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13.1</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Certain Cash Payments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first quarter of 2018, we adopted an accounting guidance update that reduces the diversity in the presentation and classification of certain cash receipts and cash payments in statements of cash flows.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year results have been reclassified as required by this guidance. The effects of our adoption of this guidance, which primarily relate to the classification of corporate-owned life insurance cash flows, on our unaudited Condensed Consolidated Statements of Cash Flows for the prior year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4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 September 30, 2017</w:t>
            </w:r>
          </w:p>
        </w:tc>
        <w:tc>
          <w:tcPr>
            <w:tcW w:w="780" w:type="dxa"/>
            <w:vAlign w:val="bottom"/>
            <w:tcBorders>
              <w:bottom w:val="single" w:sz="8" w:color="auto"/>
            </w:tcBorders>
          </w:tcPr>
          <w:p>
            <w:pPr>
              <w:spacing w:after="0"/>
              <w:rPr>
                <w:sz w:val="20"/>
                <w:szCs w:val="20"/>
                <w:color w:val="auto"/>
              </w:rPr>
            </w:pPr>
          </w:p>
        </w:tc>
      </w:tr>
      <w:tr>
        <w:trPr>
          <w:trHeight w:val="191"/>
        </w:trPr>
        <w:tc>
          <w:tcPr>
            <w:tcW w:w="6280" w:type="dxa"/>
            <w:vAlign w:val="bottom"/>
          </w:tcPr>
          <w:p>
            <w:pPr>
              <w:spacing w:after="0"/>
              <w:rPr>
                <w:sz w:val="16"/>
                <w:szCs w:val="16"/>
                <w:color w:val="auto"/>
              </w:rPr>
            </w:pPr>
          </w:p>
        </w:tc>
        <w:tc>
          <w:tcPr>
            <w:tcW w:w="180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As Previously</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Reported</w:t>
            </w:r>
          </w:p>
        </w:tc>
        <w:tc>
          <w:tcPr>
            <w:tcW w:w="17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Reclassification</w:t>
            </w:r>
          </w:p>
        </w:tc>
        <w:tc>
          <w:tcPr>
            <w:tcW w:w="15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As Reclassified</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392.6</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389.9</w:t>
            </w: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(446.1)</w:t>
            </w:r>
          </w:p>
        </w:tc>
        <w:tc>
          <w:tcPr>
            <w:tcW w:w="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w:t>
            </w: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2018, we adopted an accounting guidance update that requires companies to recognize the income tax effects of intra-entity sales and transfers of assets other than inventory in the period in which they occur. Upon adoption, we derecognized tax-related deferred charges and recognized deferred tax assets related to certain intra-entity asset transfers as a $14 million net reduction to retained earnings.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a Cloud Computing Arrangement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In the third quarter of 2018, we adopted an accounting guidance update that requires companies to capitalize implementation costs incurred in a hosting arrangement that is a service contract. We adopted this guidance early and on a prospective basis. Our adoption of this guidance did not have a material impact on our financial position,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are recognized when or as we satisfy a performance obligation by transferring control of a product or service to a customer, in an amount that reflects the consideration to which we expect to be entitled in exchange for the product or service. We consider a number of factors in determining when we have transferred control to a customer, including the following: (i) our present right to payment; (ii) the customer’s legal title to the asset; (iii) physical possession of the asset; (iv) the customer’s significant risks and rewards of ownership of the asset; and (v) the customer’s acceptance of the asset.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Generally, payment terms with our customers are consistent with those used in our industries and the regions in which we operate.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returns are accepted in certain limited circumstances. We record an estimate for returns liabilities and a corresponding reduction to sales, in the amount we expect to repay or credit customers, which we base on historical returns and outstanding customer claims. Changes in estimates are updated each reporting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rebates, discounts, and other customer concessions are common in the industries in which we operate and are accounted for as a reduction to sales based on estimates at the time at which products are sold. These estimates are based on our historical experience, as well as current information such as sales forecasts. We review our estimates regularly and, as additional information becomes available, we adjust our sales and the respective accruals, if necessary.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Sales tax, value-added tax, and other taxes we collect from customers are excluded from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activities after control of a product is transferred to a customer are accounted for as a fulfillment cost and not as a separate performance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with an original expected length of less than one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expense sales commissions when incurred because the amortization period would have been one year or less. These costs are recorded in “Marketing, general and administrative expense” in the unaudited Condensed Consolidated Income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revenue primarily relates to constrained variable consideration on supply agreements for sales of products, as well as to payments received in advance of performance under a contract. Deferred revenue is recognized as revenue as or when we perform under a contract.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and balance sheet locations of deferred revenue as of September 29, 2018 and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8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September 29, 2018</w:t>
            </w:r>
          </w:p>
        </w:tc>
        <w:tc>
          <w:tcPr>
            <w:tcW w:w="20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December 30, 2017</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16.1</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r>
      <w:tr>
        <w:trPr>
          <w:trHeight w:val="216"/>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retirement benefits and other liabilities</w:t>
            </w:r>
          </w:p>
        </w:tc>
        <w:tc>
          <w:tcPr>
            <w:tcW w:w="2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r>
      <w:tr>
        <w:trPr>
          <w:trHeight w:val="217"/>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16.4</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recognized from amounts included in deferred revenue as of December 30, 2017 was $1.1 million and $11.4 million for the three and nine months ended September 29, 2018, respectively, which was included in “Net sales” in the unaudited Condensed Consolidated Statements of Income.</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carrying amount of goodwill for the nine months ended September 29, 2018 by reportable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Label and</w:t>
            </w:r>
          </w:p>
        </w:tc>
        <w:tc>
          <w:tcPr>
            <w:tcW w:w="1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Retail Branding</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Industrial and</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Graphic</w:t>
            </w:r>
          </w:p>
        </w:tc>
        <w:tc>
          <w:tcPr>
            <w:tcW w:w="1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and Information</w:t>
            </w:r>
          </w:p>
        </w:tc>
        <w:tc>
          <w:tcPr>
            <w:tcW w:w="17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Healthcare</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Materials</w:t>
            </w:r>
          </w:p>
        </w:tc>
        <w:tc>
          <w:tcPr>
            <w:tcW w:w="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Solutions</w:t>
            </w:r>
          </w:p>
        </w:tc>
        <w:tc>
          <w:tcPr>
            <w:tcW w:w="17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Materials</w:t>
            </w: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30, 2017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429.5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355.4</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200.2</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985.1</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8"/>
                <w:szCs w:val="18"/>
                <w:color w:val="auto"/>
              </w:rPr>
              <w:t>Acquisition adjustments</w:t>
            </w:r>
            <w:r>
              <w:rPr>
                <w:rFonts w:ascii="Arial" w:cs="Arial" w:eastAsia="Arial" w:hAnsi="Arial"/>
                <w:sz w:val="23"/>
                <w:szCs w:val="23"/>
                <w:color w:val="auto"/>
                <w:vertAlign w:val="superscript"/>
              </w:rPr>
              <w:t>(1)</w:t>
            </w:r>
          </w:p>
        </w:tc>
        <w:tc>
          <w:tcPr>
            <w:tcW w:w="150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(17.7)</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7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(4.9)</w:t>
            </w:r>
          </w:p>
        </w:tc>
        <w:tc>
          <w:tcPr>
            <w:tcW w:w="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Goodwill as of September 29, 2018</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424.0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351.5</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177.6</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180" w:hanging="161"/>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Goodwill purchase price allocation adjustments and measurement period adjustments for contingent consideration liabilities, in each case related to the acquisition of Yongle Tape Ltd. completed in June 2017.</w:t>
      </w:r>
    </w:p>
    <w:p>
      <w:pPr>
        <w:spacing w:after="0" w:line="20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The carrying amounts of goodwill at September 29, 2018 and December 30, 2017 were net of accumulated impairment losses of $820 million recognized in fiscal year 2009 by our Retail Branding and Information Solutions (“RBIS”)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the European business of Mactac and the remainder of which was used for general corporate purposes, including other acquisitions. We designate a portion of these senior notes as a net investment hedge of our investment in foreign operations. Refer to Note 8, “Financial Instruments,” for more information.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 of our long-term debt is primarily based on the credit spread above U.S. Treasury securities or euro government bond securities, as applicable, on notes with similar rates, credit ratings, and remaining maturities. The fair value of short-term borrowings, which includes commercial paper issuances and short-term lines of credit, approximates the carrying value given the short duration of these obligations. The fair value of our total debt was $1.86 billion at September 29, 2018 and $1.60 billion at December 30, 2017. Fair value amounts were determined based primarily on Level 2 inputs, which are inputs other than quoted prices in active markets that are either directly or indirectly observable.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$800 million revolving credit facility (the “Revolver”) contains financial covenants requiring that we maintain specified ratios, including total debt and interest expense in relation to certain measures of income. No balance was outstanding under the Revolver as of September 29, 2018 or December 30, 2017. As of September 29, 2018 and December 30, 2017, we were in compliance with our financial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number of defined benefit plans, the accrual of benefits under some of which have been frozen, covering eligible employees in the U.S. and certain other countries. Benefits payable to an employee are based primarily on years of service and the employee’s compensation during the course of his or her employment with us.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periodic benefit cost (credit), which are recorded in income, for our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86"/>
              </w:rPr>
              <w:t>Pension Benefits</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8"/>
              </w:rPr>
              <w:t>Nine Months Ended</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September 29, 2018</w:t>
            </w:r>
          </w:p>
        </w:tc>
        <w:tc>
          <w:tcPr>
            <w:tcW w:w="19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9"/>
              </w:rPr>
              <w:t>September 30, 2017</w:t>
            </w: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8"/>
              </w:rPr>
              <w:t>September 29, 2018</w:t>
            </w:r>
          </w:p>
        </w:tc>
        <w:tc>
          <w:tcPr>
            <w:tcW w:w="19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8"/>
              </w:rPr>
              <w:t>September 30, 2017</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Int’l</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Int’l</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Int’l</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w w:val="99"/>
              </w:rPr>
              <w:t>Amortization of prior service cost (credit)</w:t>
            </w:r>
          </w:p>
        </w:tc>
        <w:tc>
          <w:tcPr>
            <w:tcW w:w="36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Recognized loss on settlements</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14.1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 2018, settlements in the U.S. were related to lump-sum payments associated with two nonqualified benefit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U.S. Postretirement Health Benefits</w:t>
            </w:r>
          </w:p>
        </w:tc>
        <w:tc>
          <w:tcPr>
            <w:tcW w:w="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10"/>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60" w:type="dxa"/>
            <w:vAlign w:val="bottom"/>
            <w:gridSpan w:val="4"/>
          </w:tcPr>
          <w:p>
            <w:pPr>
              <w:jc w:val="right"/>
              <w:ind w:right="140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330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5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w w:val="94"/>
              </w:rPr>
              <w:t>September 29,</w:t>
            </w:r>
          </w:p>
        </w:tc>
        <w:tc>
          <w:tcPr>
            <w:tcW w:w="5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34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w w:val="92"/>
              </w:rPr>
              <w:t>September 29,</w:t>
            </w:r>
          </w:p>
        </w:tc>
        <w:tc>
          <w:tcPr>
            <w:tcW w:w="4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September 30,</w:t>
            </w:r>
          </w:p>
        </w:tc>
      </w:tr>
      <w:tr>
        <w:trPr>
          <w:trHeight w:val="234"/>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5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16"/>
        </w:trPr>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5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credit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 cost and components of net periodic benefit cost other than service cost were included in “Marketing, general and administrative expense” and “Other non-operating expense” in the unaudited Condensed Consolidated Statements of Income, respectively. Refer to Note 1, “General,” for more information.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2018, our Board of Directors (“Board”) approved the termination of the Avery Dennison Pension Plan (the “ADPP”), a U.S. defined benefit plan, effective as of September 28, 2018. In connection with the termination, we contributed $200 million to the ADPP in August 2018 using U.S. commercial paper borrowings. The ADPP’s net pension benefit obligation based on 2017 year end discount rates was underfunded by approximately $24 million as of September 29, 2018. We expect to settle the long-term liability associated with the ADPP termination through a combination of (i) lump-sum payments in 2018 to eligible participants who elect to receive them and (ii) the purchase of a group annuity contract from one or more yet-to-be-identified highly rated insurance companies in the first half of 2019. The actual amount of our long-term liability when it is transferred will depend upon the nature and timing of participant settlements, as well as prevailing market conditions. We currently estimate the total non-cash charge associated with the termination of the ADPP to be between $575 million and $600 million, approximately $100 million of which we expect to recognize during the fourth quarter of 2018 and the remainder of which we expect to recognize at the time the remaining pension liability is transferred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expense was $8.4 million and $24.8 million for the three and nine months ended September 29, 2018, respectively, and $9 million and $22.2 million for the three and nine months ended September 30, 2017, respectively. This expense was included in “Marketing, general and administrative expense” in the unaudited Condensed Consolidated Statements of Income.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29, 2018, we had approximately $48 million of unrecognized compensation expense related to unvested stock-based awards, which is expected to be recognized over the remaining weighted-average requisite service period of approximately two years.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Cash-Based Awards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compensation expense related to long-term incentive units was $3.9 million and $12.7 million for the three and nine months ended September 29, 2018, respectively, and $7.8 million and $24.6 million for the three and nine months ended September 30, 2017, respectively. This expense was included in “Marketing, general and administrative expense” in the unaudited Condensed Consolidated Statements of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approved a restructuring plan (the “2018 Plan”) associated with the consolidation of the European footprint of our Label and Graphic Materials (“LGM”) reportable segment that is expected to result in a headcount reduction of 350 to 400 positions related to the closure of a manufacturing facility. This reduction is expected to be partially offset by headcount additions in other locations, resulting in a net reduction of approximately 150 positions. We expect the 2018 Plan to be largely complete by the end of 2019.</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29, 2018, we recorded $54.8 million in restructuring charges, net of reversals, related to the 2018 Plan. These charges consisted of severance and related costs for the reduction of approximately 345 positions, as well as asset impairment charges.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29, 2018, we recorded a reduction in restructuring charges related to the 2018 Plan due to a change in management’s estimate of severance and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29, 2018, we recorded $10.9 million in restructuring charges, net of reversals, related to restructuring actions initiated during the third quarter of 2015 (“2015/2016 Actions”). These charges consisted of severance and related costs for the reduction of approximately 500 positions, lease cancellation costs, and asset impairment charges.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29, 2018, restructuring charges and payments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Accrual at</w:t>
            </w:r>
          </w:p>
        </w:tc>
        <w:tc>
          <w:tcPr>
            <w:tcW w:w="46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Charges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Foreign</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Accrual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30,</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(Reversals),</w:t>
            </w:r>
          </w:p>
        </w:tc>
        <w:tc>
          <w:tcPr>
            <w:tcW w:w="52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Cash</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Non-cash</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29,</w:t>
            </w: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2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Payments</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Impairment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Translation</w:t>
            </w:r>
          </w:p>
        </w:tc>
        <w:tc>
          <w:tcPr>
            <w:tcW w:w="7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2018 Plan</w:t>
            </w:r>
          </w:p>
        </w:tc>
        <w:tc>
          <w:tcPr>
            <w:tcW w:w="1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Severance and related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47.6</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2015/2016 Actions</w:t>
            </w: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Severance and related costs</w:t>
            </w:r>
          </w:p>
        </w:tc>
        <w:tc>
          <w:tcPr>
            <w:tcW w:w="134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62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Lease cancellation costs</w:t>
            </w: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impairment charges</w:t>
            </w: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65.7</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(16.8)</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3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gridSpan w:val="4"/>
          </w:tcPr>
          <w:p>
            <w:pPr>
              <w:ind w:left="420"/>
              <w:spacing w:after="0"/>
              <w:rPr>
                <w:sz w:val="20"/>
                <w:szCs w:val="20"/>
                <w:color w:val="auto"/>
              </w:rPr>
            </w:pPr>
            <w:r>
              <w:rPr>
                <w:rFonts w:ascii="Arial" w:cs="Arial" w:eastAsia="Arial" w:hAnsi="Arial"/>
                <w:sz w:val="18"/>
                <w:szCs w:val="18"/>
                <w:color w:val="auto"/>
                <w:w w:val="91"/>
              </w:rPr>
              <w:t>Avery Dennison Corporation</w:t>
            </w:r>
          </w:p>
        </w:tc>
      </w:tr>
      <w:tr>
        <w:trPr>
          <w:trHeight w:val="432"/>
        </w:trPr>
        <w:tc>
          <w:tcPr>
            <w:tcW w:w="8440" w:type="dxa"/>
            <w:vAlign w:val="bottom"/>
            <w:gridSpan w:val="7"/>
          </w:tcPr>
          <w:p>
            <w:pPr>
              <w:spacing w:after="0"/>
              <w:rPr>
                <w:sz w:val="20"/>
                <w:szCs w:val="20"/>
                <w:color w:val="auto"/>
              </w:rPr>
            </w:pPr>
            <w:r>
              <w:rPr>
                <w:rFonts w:ascii="Arial" w:cs="Arial" w:eastAsia="Arial" w:hAnsi="Arial"/>
                <w:sz w:val="18"/>
                <w:szCs w:val="18"/>
                <w:color w:val="auto"/>
                <w:w w:val="92"/>
              </w:rPr>
              <w:t>The table below shows the total amount of restructuring charges, net of reversals, incurred by reportable segment:</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87"/>
              </w:rPr>
              <w:t>September 29,</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6"/>
                <w:szCs w:val="16"/>
                <w:color w:val="auto"/>
              </w:rPr>
            </w:pPr>
          </w:p>
        </w:tc>
        <w:tc>
          <w:tcPr>
            <w:tcW w:w="1540" w:type="dxa"/>
            <w:vAlign w:val="bottom"/>
            <w:tcBorders>
              <w:top w:val="single" w:sz="8" w:color="auto"/>
            </w:tcBorders>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September 29,</w:t>
            </w:r>
          </w:p>
        </w:tc>
        <w:tc>
          <w:tcPr>
            <w:tcW w:w="1440" w:type="dxa"/>
            <w:vAlign w:val="bottom"/>
            <w:tcBorders>
              <w:top w:val="single" w:sz="8" w:color="auto"/>
            </w:tcBorders>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6"/>
                <w:szCs w:val="16"/>
                <w:color w:val="auto"/>
              </w:rPr>
            </w:pPr>
          </w:p>
        </w:tc>
      </w:tr>
      <w:tr>
        <w:trPr>
          <w:trHeight w:val="234"/>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Restructuring charges, net of reversals, by reportable segment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Label and Graphic Materials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55.9</w:t>
            </w:r>
          </w:p>
        </w:tc>
        <w:tc>
          <w:tcPr>
            <w:tcW w:w="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r>
      <w:tr>
        <w:trPr>
          <w:trHeight w:val="216"/>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Industrial and Healthcare Materials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7"/>
        </w:trPr>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65.7</w:t>
            </w:r>
          </w:p>
        </w:tc>
        <w:tc>
          <w:tcPr>
            <w:tcW w:w="8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exchange hedge contracts to reduce our risk from foreign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29, 2018, the aggregate U.S. dollar equivalent notional value of our outstanding commodity contracts and foreign exchange contracts was $3.8 million and $1.44 billion,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We also enter into foreign exchange contracts to offset risks arising from foreign exchange rate fluctuations.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balance sheet locations of cash flow hedges as of September 29, 2018 and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4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Location</w:t>
            </w:r>
          </w:p>
        </w:tc>
        <w:tc>
          <w:tcPr>
            <w:tcW w:w="6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Asset</w:t>
            </w: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September 29, 2018</w:t>
            </w:r>
          </w:p>
        </w:tc>
        <w:tc>
          <w:tcPr>
            <w:tcW w:w="1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December 30, 2017</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4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Location</w:t>
            </w: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Liability</w:t>
            </w: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September 29, 2018</w:t>
            </w:r>
          </w:p>
        </w:tc>
        <w:tc>
          <w:tcPr>
            <w:tcW w:w="1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December 30, 2017</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1.2</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4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Long-term retirement benefits and other liabilities</w:t>
            </w: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380" w:type="dxa"/>
            <w:vAlign w:val="bottom"/>
            <w:tcBorders>
              <w:bottom w:val="single" w:sz="8" w:color="auto"/>
            </w:tcBorders>
            <w:shd w:val="clear" w:color="auto" w:fill="CCEEFF"/>
          </w:tcPr>
          <w:p>
            <w:pPr>
              <w:spacing w:after="0"/>
              <w:rPr>
                <w:sz w:val="18"/>
                <w:szCs w:val="18"/>
                <w:color w:val="auto"/>
              </w:rPr>
            </w:pPr>
          </w:p>
        </w:tc>
        <w:tc>
          <w:tcPr>
            <w:tcW w:w="4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1.3</w:t>
            </w: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balance sheet locations of other derivatives as of September 29, 2018 and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44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Location</w:t>
            </w:r>
          </w:p>
        </w:tc>
        <w:tc>
          <w:tcPr>
            <w:tcW w:w="6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Asset</w:t>
            </w:r>
          </w:p>
        </w:tc>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September 29, 2018</w:t>
            </w:r>
          </w:p>
        </w:tc>
        <w:tc>
          <w:tcPr>
            <w:tcW w:w="1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December 30, 2017</w:t>
            </w:r>
          </w:p>
        </w:tc>
        <w:tc>
          <w:tcPr>
            <w:tcW w:w="0" w:type="dxa"/>
            <w:vAlign w:val="bottom"/>
          </w:tcPr>
          <w:p>
            <w:pPr>
              <w:spacing w:after="0"/>
              <w:rPr>
                <w:sz w:val="1"/>
                <w:szCs w:val="1"/>
                <w:color w:val="auto"/>
              </w:rPr>
            </w:pPr>
          </w:p>
        </w:tc>
      </w:tr>
      <w:tr>
        <w:trPr>
          <w:trHeight w:val="217"/>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3.7</w:t>
            </w:r>
          </w:p>
        </w:tc>
        <w:tc>
          <w:tcPr>
            <w:tcW w:w="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4"/>
                <w:szCs w:val="24"/>
                <w:color w:val="auto"/>
              </w:rPr>
            </w:pPr>
          </w:p>
        </w:tc>
        <w:tc>
          <w:tcPr>
            <w:tcW w:w="44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Location</w:t>
            </w:r>
          </w:p>
        </w:tc>
        <w:tc>
          <w:tcPr>
            <w:tcW w:w="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Liability</w:t>
            </w: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September 29, 2018</w:t>
            </w:r>
          </w:p>
        </w:tc>
        <w:tc>
          <w:tcPr>
            <w:tcW w:w="1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December 30, 2017</w:t>
            </w:r>
          </w:p>
        </w:tc>
        <w:tc>
          <w:tcPr>
            <w:tcW w:w="0" w:type="dxa"/>
            <w:vAlign w:val="bottom"/>
          </w:tcPr>
          <w:p>
            <w:pPr>
              <w:spacing w:after="0"/>
              <w:rPr>
                <w:sz w:val="1"/>
                <w:szCs w:val="1"/>
                <w:color w:val="auto"/>
              </w:rPr>
            </w:pPr>
          </w:p>
        </w:tc>
      </w:tr>
      <w:tr>
        <w:trPr>
          <w:trHeight w:val="217"/>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3.5</w:t>
            </w:r>
          </w:p>
        </w:tc>
        <w:tc>
          <w:tcPr>
            <w:tcW w:w="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derivatives, representing either hedge ineffectiveness or hedge components excluded from the assessment of effectiveness, are recognized in current earnings.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(losses), before taxes, recognized in “Accumulated other comprehensive loss” (effective portion) on derivatives related to cash flow hedge contracts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Nine Months Ended</w:t>
            </w:r>
          </w:p>
        </w:tc>
        <w:tc>
          <w:tcPr>
            <w:tcW w:w="660" w:type="dxa"/>
            <w:vAlign w:val="bottom"/>
            <w:tcBorders>
              <w:bottom w:val="single" w:sz="8" w:color="auto"/>
            </w:tcBorders>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620" w:type="dxa"/>
            <w:vAlign w:val="bottom"/>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rPr>
              <w:t>September 29,</w:t>
            </w:r>
          </w:p>
        </w:tc>
        <w:tc>
          <w:tcPr>
            <w:tcW w:w="14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6"/>
                <w:szCs w:val="16"/>
                <w:color w:val="auto"/>
              </w:rPr>
            </w:pPr>
          </w:p>
        </w:tc>
        <w:tc>
          <w:tcPr>
            <w:tcW w:w="1580" w:type="dxa"/>
            <w:vAlign w:val="bottom"/>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rPr>
              <w:t>September 29,</w:t>
            </w:r>
          </w:p>
        </w:tc>
        <w:tc>
          <w:tcPr>
            <w:tcW w:w="152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Neither the amount recognized in income related to the ineffective portion of, nor the amount excluded from, effectiveness testing for cash flow hedges and derivatives not designated as hedging instruments was material for the three and nine months ended September 29, 2018 or September 30, 2017.</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29, 2018, we did not expect a significant amount to be reclassified from “Accumulated other comprehensive loss” to earnings within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other derivative instruments, which are not designated as hedging instruments, the gain or loss is recognized in current earnings. These derivatives are intended to offset certain of our economic exposures. The following table shows the components of the net gains (losses) recognized in income related to these derivative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29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Location of Net Gains</w:t>
            </w: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6"/>
              </w:rPr>
              <w:t>Three Months Ended</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7"/>
              </w:rPr>
              <w:t>Nine Months Ended</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148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rPr>
              <w:t>September 29,</w:t>
            </w:r>
          </w:p>
        </w:tc>
        <w:tc>
          <w:tcPr>
            <w:tcW w:w="132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80" w:type="dxa"/>
            <w:vAlign w:val="bottom"/>
          </w:tcPr>
          <w:p>
            <w:pPr>
              <w:spacing w:after="0"/>
              <w:rPr>
                <w:sz w:val="16"/>
                <w:szCs w:val="16"/>
                <w:color w:val="auto"/>
              </w:rPr>
            </w:pPr>
          </w:p>
        </w:tc>
        <w:tc>
          <w:tcPr>
            <w:tcW w:w="148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September 29,</w:t>
            </w:r>
          </w:p>
        </w:tc>
        <w:tc>
          <w:tcPr>
            <w:tcW w:w="140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(Losses) in Income</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 of products sold</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Foreign exchange contracts</w:t>
            </w:r>
          </w:p>
        </w:tc>
        <w:tc>
          <w:tcPr>
            <w:tcW w:w="2980" w:type="dxa"/>
            <w:vAlign w:val="bottom"/>
          </w:tcPr>
          <w:p>
            <w:pPr>
              <w:ind w:left="520"/>
              <w:spacing w:after="0" w:line="201" w:lineRule="exact"/>
              <w:rPr>
                <w:sz w:val="20"/>
                <w:szCs w:val="20"/>
                <w:color w:val="auto"/>
              </w:rPr>
            </w:pPr>
            <w:r>
              <w:rPr>
                <w:rFonts w:ascii="Arial" w:cs="Arial" w:eastAsia="Arial" w:hAnsi="Arial"/>
                <w:sz w:val="18"/>
                <w:szCs w:val="18"/>
                <w:color w:val="auto"/>
              </w:rPr>
              <w:t>Marketing, general and</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administrative expense</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w:t>
            </w:r>
          </w:p>
        </w:tc>
        <w:tc>
          <w:tcPr>
            <w:tcW w:w="8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(18.9)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(13.4)</w:t>
            </w: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7"/>
        </w:trPr>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c>
          <w:tcPr>
            <w:tcW w:w="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we designated €500 million of our 1.25% senior notes due 2025 as a net investment hedge of our investment in foreign operations. In January 2018, we reduced the amount we designate as a net investment hedge to €255 million. The net assets from the investment in foreign operations were greater than the senior notes, and as such, the net investment hedge was effective.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Gains (losses), before tax, recognized in “Accumulated other comprehensive loss” (effective portion) related to the net investment hedge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Nine Months Ended</w:t>
            </w:r>
          </w:p>
        </w:tc>
        <w:tc>
          <w:tcPr>
            <w:tcW w:w="660" w:type="dxa"/>
            <w:vAlign w:val="bottom"/>
            <w:tcBorders>
              <w:bottom w:val="single" w:sz="8" w:color="auto"/>
            </w:tcBorders>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640" w:type="dxa"/>
            <w:vAlign w:val="bottom"/>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rPr>
              <w:t>September 29,</w:t>
            </w:r>
          </w:p>
        </w:tc>
        <w:tc>
          <w:tcPr>
            <w:tcW w:w="14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6"/>
                <w:szCs w:val="16"/>
                <w:color w:val="auto"/>
              </w:rPr>
            </w:pPr>
          </w:p>
        </w:tc>
        <w:tc>
          <w:tcPr>
            <w:tcW w:w="1620" w:type="dxa"/>
            <w:vAlign w:val="bottom"/>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rPr>
              <w:t>September 29,</w:t>
            </w:r>
          </w:p>
        </w:tc>
        <w:tc>
          <w:tcPr>
            <w:tcW w:w="14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denominated debt</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8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8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no ineffectiveness from our net investment hedge in net income during the three or nine months ended September 29, 2018 and September 30, 2017.</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Taxes Based on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income before taxes, provision for income taxes, and effective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680" w:type="dxa"/>
            <w:vAlign w:val="bottom"/>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rPr>
              <w:t>September 29,</w:t>
            </w:r>
          </w:p>
        </w:tc>
        <w:tc>
          <w:tcPr>
            <w:tcW w:w="13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6"/>
                <w:szCs w:val="16"/>
                <w:color w:val="auto"/>
              </w:rPr>
            </w:pPr>
          </w:p>
        </w:tc>
        <w:tc>
          <w:tcPr>
            <w:tcW w:w="1640" w:type="dxa"/>
            <w:vAlign w:val="bottom"/>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rPr>
              <w:t>September 29,</w:t>
            </w:r>
          </w:p>
        </w:tc>
        <w:tc>
          <w:tcPr>
            <w:tcW w:w="146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September 30,</w:t>
            </w: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percentages)</w:t>
            </w: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168.0</w:t>
            </w:r>
          </w:p>
        </w:tc>
        <w:tc>
          <w:tcPr>
            <w:tcW w:w="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467.0</w:t>
            </w: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432.2</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17.7</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38.5</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94.9</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90.8</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and nine months ended September 29, 2018 compared to the same periods last year reflected a decrease in the U.S. federal statutory tax rate from 35% to 21%, offset by net tax charges related to certain U.S. international tax provisions, the loss of domestic manufacturing deductions, and limitations on the deductibility of our executive compensation, all as a result of the Tax Cuts and Jobs Act (“TCJA”) enacted in December 2017.</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tax rate for the three and nine months ended September 29, 2018 included net discrete tax benefits of $36.6 million and $37.3 million, respectively, reflecting return to provision adjustments recognized in the third quarter primarily related to an incremental $31 million tax benefit from our U.S. pension plan contributions and an $8.6 million tax benefit from recognition of a net foreign currency loss, both of which were deducted at a tax rate higher than 21%, concurrent with the completion of our 2017 U.S. federal income tax return. The $31 million tax benefit was related to the ADPP termination approved by our Board in July 2018, as well as lump-sum payments associated with two U.S. nonqualified benefit plans. Refer to Note 5, “Pension and Other Postretirement Benefits,” to the unaudited Condensed Consolidated Financial Statements for more information. The $8.6 million tax benefit was related to our election of a mark-to-market method of accounting on our 2017 U.S. federal income tax return to realize certain fair value adjustments.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nine months ended September 29, 2018 also included net tax charges related to: (i) the effects of certain U.S. international tax provisions imposed by TCJA, such as Global Intangible Low-taxed Income (“GILTI”), Base Erosion Antiabuse Tax (“BEAT”), and Foreign Derived Intangible Income (“FDII”); (ii) tax charges for foreign withholding taxes on our current year earnings; and (iii) discrete items primarily from excess tax benefits associated with stock-based payments and changes in our uncertain tax positions.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for the nine months ended September 30, 2017 included net tax benefits related to releases of valuation allowance on certain U.S. state deferred tax assets and changes in our uncertain tax positions.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effective tax rate for the three and nine months ended September 29, 2018 also included certain measurement period adjustments to our 2017 provisional amounts related to the enactment of the TCJA in accordance with guidance provided under SEC Staff Accounting Bulletin No. 118 (“SAB 118”). SAB 118 provides for a measurement period up to one year from the enactment of the TCJA within which we must complete our final assessment of the legislation’s impact. For the nine months ended September 29, 2018, we adjusted our provisional amounts by recognizing net tax charges of $2.7 million. This amount included: (i) $3.6 million of charges for changes in our indefinite reinvestment assertions related to our investments in certain foreign subsidiaries after information required to make such determinations was obtained; (ii) an $8.5 million of charge for adjustments made to the one-time transition tax, primarily due to a change in filing position and regulatory guidance subsequently issued by the Internal Revenue Service (“IRS”); and (iii) a $9.4 million of benefit from releasing a previously recorded uncertain tax position after the position was not included on our 2017 U.S. federal income tax return. We have not finalized any aspects of the previously disclosed provisional amounts. Furthermore, we have not yet made a determination on our accounting policy choice related to our GILTI provision nor have we completed the assessment of our indefinite reinvestment assertions. We will continue to assess any future guidance and accounting interpretations on the effects of the TCJA and expect to complete our analysis within the measurement period afforded by SAB 118.</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We and our U.S. subsidiaries completed the IRS’ Compliance Assurance Process Program for 2016 in the second quarter of 2018. With some exceptions, our foreign subsidiaries are no longer subject to income tax examinations by tax authorities for years prior to 2006.</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reasonably possible that, during the next 12 months, we may realize a decrease in our uncertain tax positions, including interest and penalties, of approximately $29 million, primarily as a result of audit settlements and closing tax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Note 10. Net Income Per Common Share</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Net income per common share was computed as follows: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Three Months Ended</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Nine Months Ended</w:t>
            </w:r>
          </w:p>
        </w:tc>
        <w:tc>
          <w:tcPr>
            <w:tcW w:w="580" w:type="dxa"/>
            <w:vAlign w:val="bottom"/>
            <w:tcBorders>
              <w:bottom w:val="single" w:sz="8" w:color="auto"/>
            </w:tcBorders>
          </w:tcPr>
          <w:p>
            <w:pPr>
              <w:spacing w:after="0"/>
              <w:rPr>
                <w:sz w:val="24"/>
                <w:szCs w:val="24"/>
                <w:color w:val="auto"/>
              </w:rPr>
            </w:pPr>
          </w:p>
        </w:tc>
      </w:tr>
      <w:tr>
        <w:trPr>
          <w:trHeight w:val="191"/>
        </w:trPr>
        <w:tc>
          <w:tcPr>
            <w:tcW w:w="5780" w:type="dxa"/>
            <w:vAlign w:val="bottom"/>
          </w:tcPr>
          <w:p>
            <w:pPr>
              <w:spacing w:after="0"/>
              <w:rPr>
                <w:sz w:val="16"/>
                <w:szCs w:val="16"/>
                <w:color w:val="auto"/>
              </w:rPr>
            </w:pPr>
          </w:p>
        </w:tc>
        <w:tc>
          <w:tcPr>
            <w:tcW w:w="146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September 29,</w:t>
            </w:r>
          </w:p>
        </w:tc>
        <w:tc>
          <w:tcPr>
            <w:tcW w:w="126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6"/>
                <w:szCs w:val="16"/>
                <w:color w:val="auto"/>
              </w:rPr>
            </w:pPr>
          </w:p>
        </w:tc>
        <w:tc>
          <w:tcPr>
            <w:tcW w:w="140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9"/>
              </w:rPr>
              <w:t>September 29,</w:t>
            </w:r>
          </w:p>
        </w:tc>
        <w:tc>
          <w:tcPr>
            <w:tcW w:w="136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r>
      <w:tr>
        <w:trPr>
          <w:trHeight w:val="234"/>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 Net income available to common shareholders</w:t>
            </w: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149.5</w:t>
            </w:r>
          </w:p>
        </w:tc>
        <w:tc>
          <w:tcPr>
            <w:tcW w:w="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108.3</w:t>
            </w: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370.3</w:t>
            </w:r>
          </w:p>
        </w:tc>
        <w:tc>
          <w:tcPr>
            <w:tcW w:w="7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(B) Weighted average number of common shares outstanding</w:t>
            </w:r>
          </w:p>
        </w:tc>
        <w:tc>
          <w:tcPr>
            <w:tcW w:w="4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87.3</w:t>
            </w:r>
          </w:p>
        </w:tc>
        <w:tc>
          <w:tcPr>
            <w:tcW w:w="8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c>
          <w:tcPr>
            <w:tcW w:w="4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87.7</w:t>
            </w:r>
          </w:p>
        </w:tc>
        <w:tc>
          <w:tcPr>
            <w:tcW w:w="7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88.4</w:t>
            </w:r>
          </w:p>
        </w:tc>
      </w:tr>
      <w:tr>
        <w:trPr>
          <w:trHeight w:val="202"/>
        </w:trPr>
        <w:tc>
          <w:tcPr>
            <w:tcW w:w="5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Dilutive shares (additional common shares issuable under stock-based</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57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awards)</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195"/>
        </w:trPr>
        <w:tc>
          <w:tcPr>
            <w:tcW w:w="5780" w:type="dxa"/>
            <w:vAlign w:val="bottom"/>
          </w:tcPr>
          <w:p>
            <w:pPr>
              <w:spacing w:after="0" w:line="195" w:lineRule="exact"/>
              <w:rPr>
                <w:sz w:val="20"/>
                <w:szCs w:val="20"/>
                <w:color w:val="auto"/>
              </w:rPr>
            </w:pPr>
            <w:r>
              <w:rPr>
                <w:rFonts w:ascii="Arial" w:cs="Arial" w:eastAsia="Arial" w:hAnsi="Arial"/>
                <w:sz w:val="18"/>
                <w:szCs w:val="18"/>
                <w:color w:val="auto"/>
                <w:w w:val="99"/>
              </w:rPr>
              <w:t>(C) Weighted average number of common shares outstanding, assuming</w:t>
            </w: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0"/>
        </w:trPr>
        <w:tc>
          <w:tcPr>
            <w:tcW w:w="57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dilution</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88.5</w:t>
            </w:r>
          </w:p>
        </w:tc>
        <w:tc>
          <w:tcPr>
            <w:tcW w:w="8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89.9</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89.1</w:t>
            </w:r>
          </w:p>
        </w:tc>
        <w:tc>
          <w:tcPr>
            <w:tcW w:w="7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r>
      <w:tr>
        <w:trPr>
          <w:trHeight w:val="210"/>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 ÷ (B)</w:t>
            </w: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4.22</w:t>
            </w:r>
          </w:p>
        </w:tc>
        <w:tc>
          <w:tcPr>
            <w:tcW w:w="7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17"/>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 assuming dilution: (A) ÷ (C)</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1.69</w:t>
            </w: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1.20</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4.16</w:t>
            </w: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awards excluded from the computation of net income per common share, assuming dilution, because they would not have had a dilutive effect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8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7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5780" w:type="dxa"/>
            <w:vAlign w:val="bottom"/>
          </w:tcPr>
          <w:p>
            <w:pPr>
              <w:spacing w:after="0"/>
              <w:rPr>
                <w:sz w:val="16"/>
                <w:szCs w:val="16"/>
                <w:color w:val="auto"/>
              </w:rPr>
            </w:pPr>
          </w:p>
        </w:tc>
        <w:tc>
          <w:tcPr>
            <w:tcW w:w="14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September 29,</w:t>
            </w:r>
          </w:p>
        </w:tc>
        <w:tc>
          <w:tcPr>
            <w:tcW w:w="1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6"/>
                <w:szCs w:val="16"/>
                <w:color w:val="auto"/>
              </w:rPr>
            </w:pPr>
          </w:p>
        </w:tc>
        <w:tc>
          <w:tcPr>
            <w:tcW w:w="14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9"/>
              </w:rPr>
              <w:t>September 29,</w:t>
            </w:r>
          </w:p>
        </w:tc>
        <w:tc>
          <w:tcPr>
            <w:tcW w:w="13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r>
      <w:tr>
        <w:trPr>
          <w:trHeight w:val="234"/>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195"/>
        </w:trPr>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Antidilutive shares excluded from computation of net income per common</w:t>
            </w:r>
          </w:p>
        </w:tc>
        <w:tc>
          <w:tcPr>
            <w:tcW w:w="1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7"/>
        </w:trPr>
        <w:tc>
          <w:tcPr>
            <w:tcW w:w="5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share, assuming dilution</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Supplemental Equity and Comprehensive Income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Consolidated Statements of Shareholders’ Equity</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Three Months Ended</w:t>
            </w:r>
          </w:p>
        </w:tc>
        <w:tc>
          <w:tcPr>
            <w:tcW w:w="6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Nine Months Ended</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80" w:type="dxa"/>
            <w:vAlign w:val="bottom"/>
          </w:tcPr>
          <w:p>
            <w:pPr>
              <w:spacing w:after="0"/>
              <w:rPr>
                <w:sz w:val="16"/>
                <w:szCs w:val="16"/>
                <w:color w:val="auto"/>
              </w:rPr>
            </w:pPr>
          </w:p>
        </w:tc>
        <w:tc>
          <w:tcPr>
            <w:tcW w:w="168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September 29,</w:t>
            </w:r>
          </w:p>
        </w:tc>
        <w:tc>
          <w:tcPr>
            <w:tcW w:w="13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6"/>
                <w:szCs w:val="16"/>
                <w:color w:val="auto"/>
              </w:rPr>
            </w:pPr>
          </w:p>
        </w:tc>
        <w:tc>
          <w:tcPr>
            <w:tcW w:w="1640" w:type="dxa"/>
            <w:vAlign w:val="bottom"/>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rPr>
              <w:t>September 29,</w:t>
            </w:r>
          </w:p>
        </w:tc>
        <w:tc>
          <w:tcPr>
            <w:tcW w:w="13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6"/>
                <w:szCs w:val="16"/>
                <w:color w:val="auto"/>
              </w:rPr>
            </w:pPr>
          </w:p>
        </w:tc>
      </w:tr>
      <w:tr>
        <w:trPr>
          <w:trHeight w:val="234"/>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In millions, except per share amount)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r>
      <w:tr>
        <w:trPr>
          <w:trHeight w:val="210"/>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issued, $1 par value per share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124.1</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124.1</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r>
      <w:tr>
        <w:trPr>
          <w:trHeight w:val="210"/>
        </w:trPr>
        <w:tc>
          <w:tcPr>
            <w:tcW w:w="5080" w:type="dxa"/>
            <w:vAlign w:val="bottom"/>
          </w:tcPr>
          <w:p>
            <w:pPr>
              <w:spacing w:after="0"/>
              <w:rPr>
                <w:sz w:val="20"/>
                <w:szCs w:val="20"/>
                <w:color w:val="auto"/>
              </w:rPr>
            </w:pPr>
            <w:r>
              <w:rPr>
                <w:rFonts w:ascii="Arial" w:cs="Arial" w:eastAsia="Arial" w:hAnsi="Arial"/>
                <w:sz w:val="18"/>
                <w:szCs w:val="18"/>
                <w:b w:val="1"/>
                <w:bCs w:val="1"/>
                <w:color w:val="auto"/>
              </w:rPr>
              <w:t>Capital in excess of par value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854.5</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862.6</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w:t>
            </w:r>
          </w:p>
        </w:tc>
      </w:tr>
      <w:tr>
        <w:trPr>
          <w:trHeight w:val="21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Issuance of shares under stock-based compensation plans</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7.9</w:t>
            </w: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8.7</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0"/>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862.4</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862.4</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854.6</w:t>
            </w:r>
          </w:p>
        </w:tc>
      </w:tr>
      <w:tr>
        <w:trPr>
          <w:trHeight w:val="210"/>
        </w:trPr>
        <w:tc>
          <w:tcPr>
            <w:tcW w:w="50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2,702.1</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2,596.7</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149.5</w:t>
            </w:r>
          </w:p>
        </w:tc>
        <w:tc>
          <w:tcPr>
            <w:tcW w:w="7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108.3</w:t>
            </w:r>
          </w:p>
        </w:tc>
        <w:tc>
          <w:tcPr>
            <w:tcW w:w="62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370.3</w:t>
            </w:r>
          </w:p>
        </w:tc>
        <w:tc>
          <w:tcPr>
            <w:tcW w:w="6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r>
      <w:tr>
        <w:trPr>
          <w:trHeight w:val="216"/>
        </w:trPr>
        <w:tc>
          <w:tcPr>
            <w:tcW w:w="5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Issuance of shares under stock-based compensation plans</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5080" w:type="dxa"/>
            <w:vAlign w:val="bottom"/>
          </w:tcPr>
          <w:p>
            <w:pPr>
              <w:spacing w:after="0" w:line="216" w:lineRule="exact"/>
              <w:rPr>
                <w:sz w:val="20"/>
                <w:szCs w:val="20"/>
                <w:color w:val="auto"/>
              </w:rPr>
            </w:pPr>
            <w:r>
              <w:rPr>
                <w:rFonts w:ascii="Arial" w:cs="Arial" w:eastAsia="Arial" w:hAnsi="Arial"/>
                <w:sz w:val="18"/>
                <w:szCs w:val="18"/>
                <w:color w:val="auto"/>
              </w:rPr>
              <w:t>Contribution of shares to 401(k) Plan</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(45.3)</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(130.6)</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w:t>
            </w:r>
          </w:p>
        </w:tc>
      </w:tr>
      <w:tr>
        <w:trPr>
          <w:trHeight w:val="216"/>
        </w:trPr>
        <w:tc>
          <w:tcPr>
            <w:tcW w:w="508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Other changes</w:t>
            </w:r>
            <w:r>
              <w:rPr>
                <w:rFonts w:ascii="Arial" w:cs="Arial" w:eastAsia="Arial" w:hAnsi="Arial"/>
                <w:sz w:val="23"/>
                <w:szCs w:val="23"/>
                <w:color w:val="auto"/>
                <w:vertAlign w:val="superscript"/>
              </w:rPr>
              <w:t>(2)</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(13.8)</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2,809.4</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2,693.3</w:t>
            </w: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2,809.4</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2,693.3</w:t>
            </w:r>
          </w:p>
        </w:tc>
      </w:tr>
      <w:tr>
        <w:trPr>
          <w:trHeight w:val="210"/>
        </w:trPr>
        <w:tc>
          <w:tcPr>
            <w:tcW w:w="5080" w:type="dxa"/>
            <w:vAlign w:val="bottom"/>
          </w:tcPr>
          <w:p>
            <w:pPr>
              <w:spacing w:after="0"/>
              <w:rPr>
                <w:sz w:val="20"/>
                <w:szCs w:val="20"/>
                <w:color w:val="auto"/>
              </w:rPr>
            </w:pPr>
            <w:r>
              <w:rPr>
                <w:rFonts w:ascii="Arial" w:cs="Arial" w:eastAsia="Arial" w:hAnsi="Arial"/>
                <w:sz w:val="18"/>
                <w:szCs w:val="18"/>
                <w:b w:val="1"/>
                <w:bCs w:val="1"/>
                <w:color w:val="auto"/>
              </w:rPr>
              <w:t>Treasury stock at cost</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(1,939.1)</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(1,805.6)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(1,856.7)</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(1,772.0)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Repurchase of shares for treasury</w:t>
            </w:r>
          </w:p>
        </w:tc>
        <w:tc>
          <w:tcPr>
            <w:tcW w:w="6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(72.2)</w:t>
            </w:r>
          </w:p>
        </w:tc>
        <w:tc>
          <w:tcPr>
            <w:tcW w:w="7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6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(175.1)</w:t>
            </w:r>
          </w:p>
        </w:tc>
        <w:tc>
          <w:tcPr>
            <w:tcW w:w="6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stock-based compensation plans</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17.4</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Contribution of shares to 401(k) Plan</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w:t>
            </w: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1.9</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0"/>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(2,008.4)</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(1,838.0)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(2,008.4)</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(1,838.0)</w:t>
            </w:r>
          </w:p>
        </w:tc>
      </w:tr>
      <w:tr>
        <w:trPr>
          <w:trHeight w:val="210"/>
        </w:trPr>
        <w:tc>
          <w:tcPr>
            <w:tcW w:w="50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(719.7)</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(680.5)</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(751.9)</w:t>
            </w:r>
          </w:p>
        </w:tc>
      </w:tr>
      <w:tr>
        <w:trPr>
          <w:trHeight w:val="21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w:t>
            </w: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17.3</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52.8</w:t>
            </w: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Ending balance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(740.4)</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(699.1)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(740.4)</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jc w:val="both"/>
        <w:ind w:left="180" w:right="20" w:hanging="167"/>
        <w:spacing w:after="0" w:line="200"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We fund a portion of our employee-related expenses using shares of our common stock held in treasury. We record net gains or losses associated with our use of treasury shares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180" w:right="20" w:hanging="167"/>
        <w:spacing w:after="0" w:line="219" w:lineRule="auto"/>
        <w:rPr>
          <w:sz w:val="20"/>
          <w:szCs w:val="20"/>
          <w:color w:val="auto"/>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In the first quarter of 2018, we adopted an accounting guidance update that requires companies to recognize the income tax effects of intra-entity sales and transfers of assets other than inventory in the period in which they occur. Refer to Note 1, “Accounting Guidance Updates.”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nine-month period ended September 29, 2018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Pension and</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Foreign</w:t>
            </w:r>
          </w:p>
        </w:tc>
        <w:tc>
          <w:tcPr>
            <w:tcW w:w="6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Currency</w:t>
            </w:r>
          </w:p>
        </w:tc>
        <w:tc>
          <w:tcPr>
            <w:tcW w:w="1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Postretirement</w:t>
            </w:r>
          </w:p>
        </w:tc>
        <w:tc>
          <w:tcPr>
            <w:tcW w:w="42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Cash Flow</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Benefits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Hedges</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(loss) income before reclassifications, net of</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tax</w:t>
            </w:r>
          </w:p>
        </w:tc>
        <w:tc>
          <w:tcPr>
            <w:tcW w:w="5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(83.7)</w:t>
            </w:r>
          </w:p>
        </w:tc>
        <w:tc>
          <w:tcPr>
            <w:tcW w:w="6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16"/>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21.8</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r>
      <w:tr>
        <w:trPr>
          <w:trHeight w:val="21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current-period other comprehensive (loss) income, net of tax</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(83.7)</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23.5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17"/>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September 29, 2018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(239.9)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(500.5)</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nine-month period ended September 30, 2017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Pension and</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Foreign</w:t>
            </w:r>
          </w:p>
        </w:tc>
        <w:tc>
          <w:tcPr>
            <w:tcW w:w="64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Currency</w:t>
            </w:r>
          </w:p>
        </w:tc>
        <w:tc>
          <w:tcPr>
            <w:tcW w:w="17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4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Cash Flow</w:t>
            </w: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Translation</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Benefits</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Hedges</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(212.6)</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(540.3)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 (loss) before reclassifications, net of</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tax</w:t>
            </w:r>
          </w:p>
        </w:tc>
        <w:tc>
          <w:tcPr>
            <w:tcW w:w="54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39.3</w:t>
            </w:r>
          </w:p>
        </w:tc>
        <w:tc>
          <w:tcPr>
            <w:tcW w:w="6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37.2</w:t>
            </w:r>
          </w:p>
        </w:tc>
      </w:tr>
      <w:tr>
        <w:trPr>
          <w:trHeight w:val="216"/>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14.6</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1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current-period other comprehensive income (loss), net of tax</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39.3</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14.6</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r>
      <w:tr>
        <w:trPr>
          <w:trHeight w:val="217"/>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(173.3)</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(525.7)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reclassified from “Accumulated other comprehensive loss” to increase (decrease) net income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88"/>
              </w:rPr>
              <w:t>Amounts Reclassified from Accumulated</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Other Comprehensive Loss</w:t>
            </w:r>
          </w:p>
        </w:tc>
        <w:tc>
          <w:tcPr>
            <w:tcW w:w="7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4"/>
              </w:rPr>
              <w:t>Three Months Ended</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4"/>
              </w:rPr>
              <w:t>Nine Months Ended</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Affected Line Item</w:t>
            </w:r>
          </w:p>
        </w:tc>
        <w:tc>
          <w:tcPr>
            <w:tcW w:w="0" w:type="dxa"/>
            <w:vAlign w:val="bottom"/>
          </w:tcPr>
          <w:p>
            <w:pPr>
              <w:spacing w:after="0"/>
              <w:rPr>
                <w:sz w:val="1"/>
                <w:szCs w:val="1"/>
                <w:color w:val="auto"/>
              </w:rPr>
            </w:pPr>
          </w:p>
        </w:tc>
      </w:tr>
      <w:tr>
        <w:trPr>
          <w:trHeight w:val="178"/>
        </w:trPr>
        <w:tc>
          <w:tcPr>
            <w:tcW w:w="2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b w:val="1"/>
                <w:bCs w:val="1"/>
                <w:color w:val="auto"/>
              </w:rPr>
              <w:t>in the Statements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29,</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September 29,</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September 30,</w:t>
            </w:r>
          </w:p>
        </w:tc>
        <w:tc>
          <w:tcPr>
            <w:tcW w:w="2960" w:type="dxa"/>
            <w:vAlign w:val="bottom"/>
          </w:tcPr>
          <w:p>
            <w:pPr>
              <w:ind w:left="120"/>
              <w:spacing w:after="0"/>
              <w:rPr>
                <w:sz w:val="20"/>
                <w:szCs w:val="20"/>
                <w:color w:val="auto"/>
              </w:rPr>
            </w:pPr>
            <w:r>
              <w:rPr>
                <w:rFonts w:ascii="Arial" w:cs="Arial" w:eastAsia="Arial" w:hAnsi="Arial"/>
                <w:sz w:val="18"/>
                <w:szCs w:val="18"/>
                <w:b w:val="1"/>
                <w:bCs w:val="1"/>
                <w:color w:val="auto"/>
              </w:rPr>
              <w:t>Where Net Income</w:t>
            </w: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2017</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is Presented</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200"/>
              <w:spacing w:after="0" w:line="201" w:lineRule="exact"/>
              <w:rPr>
                <w:sz w:val="20"/>
                <w:szCs w:val="20"/>
                <w:color w:val="auto"/>
              </w:rPr>
            </w:pPr>
            <w:r>
              <w:rPr>
                <w:rFonts w:ascii="Arial" w:cs="Arial" w:eastAsia="Arial" w:hAnsi="Arial"/>
                <w:sz w:val="18"/>
                <w:szCs w:val="18"/>
                <w:color w:val="auto"/>
              </w:rPr>
              <w:t>Foreign exchange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80"/>
              <w:spacing w:after="0"/>
              <w:rPr>
                <w:sz w:val="20"/>
                <w:szCs w:val="20"/>
                <w:color w:val="auto"/>
              </w:rPr>
            </w:pPr>
            <w:r>
              <w:rPr>
                <w:rFonts w:ascii="Arial" w:cs="Arial" w:eastAsia="Arial" w:hAnsi="Arial"/>
                <w:sz w:val="18"/>
                <w:szCs w:val="18"/>
                <w:color w:val="auto"/>
              </w:rPr>
              <w:t>contracts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960" w:type="dxa"/>
            <w:vAlign w:val="bottom"/>
          </w:tcPr>
          <w:p>
            <w:pPr>
              <w:ind w:left="1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rate contracts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Pension and other</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postretirement benefits</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9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5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(28.4)</w:t>
            </w:r>
          </w:p>
        </w:tc>
        <w:tc>
          <w:tcPr>
            <w:tcW w:w="7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960" w:type="dxa"/>
            <w:vAlign w:val="bottom"/>
          </w:tcPr>
          <w:p>
            <w:pPr>
              <w:ind w:left="120"/>
              <w:spacing w:after="0"/>
              <w:rPr>
                <w:sz w:val="20"/>
                <w:szCs w:val="20"/>
                <w:color w:val="auto"/>
              </w:rPr>
            </w:pPr>
            <w:r>
              <w:rPr>
                <w:rFonts w:ascii="Arial" w:cs="Arial" w:eastAsia="Arial" w:hAnsi="Arial"/>
                <w:sz w:val="18"/>
                <w:szCs w:val="18"/>
                <w:color w:val="auto"/>
              </w:rPr>
              <w:t>Other non-operating expense</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6.6</w:t>
            </w:r>
          </w:p>
        </w:tc>
        <w:tc>
          <w:tcPr>
            <w:tcW w:w="7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2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(5.0)</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(21.8)</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(14.6)</w:t>
            </w:r>
          </w:p>
        </w:tc>
        <w:tc>
          <w:tcPr>
            <w:tcW w:w="2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reclassifications for the</w:t>
            </w: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(21.2)</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net of tax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income tax expense (benefit) allocated to each component of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Three Months Ended</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5"/>
              </w:rPr>
              <w:t>Nine Months Ended</w:t>
            </w:r>
          </w:p>
        </w:tc>
        <w:tc>
          <w:tcPr>
            <w:tcW w:w="660" w:type="dxa"/>
            <w:vAlign w:val="bottom"/>
            <w:tcBorders>
              <w:bottom w:val="single" w:sz="8" w:color="auto"/>
            </w:tcBorders>
          </w:tcPr>
          <w:p>
            <w:pPr>
              <w:spacing w:after="0"/>
              <w:rPr>
                <w:sz w:val="20"/>
                <w:szCs w:val="20"/>
                <w:color w:val="auto"/>
              </w:rPr>
            </w:pPr>
          </w:p>
        </w:tc>
      </w:tr>
      <w:tr>
        <w:trPr>
          <w:trHeight w:val="191"/>
        </w:trPr>
        <w:tc>
          <w:tcPr>
            <w:tcW w:w="5000" w:type="dxa"/>
            <w:vAlign w:val="bottom"/>
          </w:tcPr>
          <w:p>
            <w:pPr>
              <w:spacing w:after="0"/>
              <w:rPr>
                <w:sz w:val="16"/>
                <w:szCs w:val="16"/>
                <w:color w:val="auto"/>
              </w:rPr>
            </w:pPr>
          </w:p>
        </w:tc>
        <w:tc>
          <w:tcPr>
            <w:tcW w:w="1680" w:type="dxa"/>
            <w:vAlign w:val="bottom"/>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rPr>
              <w:t>September 29,</w:t>
            </w:r>
          </w:p>
        </w:tc>
        <w:tc>
          <w:tcPr>
            <w:tcW w:w="13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6"/>
                <w:szCs w:val="16"/>
                <w:color w:val="auto"/>
              </w:rPr>
            </w:pPr>
          </w:p>
        </w:tc>
        <w:tc>
          <w:tcPr>
            <w:tcW w:w="166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September 29,</w:t>
            </w:r>
          </w:p>
        </w:tc>
        <w:tc>
          <w:tcPr>
            <w:tcW w:w="144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September 30,</w:t>
            </w: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Pension and other postretirement benefits</w:t>
            </w:r>
          </w:p>
        </w:tc>
        <w:tc>
          <w:tcPr>
            <w:tcW w:w="64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7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w w:val="99"/>
              </w:rPr>
              <w:t>Income tax expense (benefit) allocated to components of other</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7"/>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comprehensive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6.7</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assets and liabilities carried at fair value, measured on a recurring basis, as of September 29,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Fair Value Measurements Using</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46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Quoted Prices</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6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in Active</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Observable</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Markets</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Inputs</w:t>
            </w:r>
          </w:p>
        </w:tc>
        <w:tc>
          <w:tcPr>
            <w:tcW w:w="6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(Level 1)</w:t>
            </w:r>
          </w:p>
        </w:tc>
        <w:tc>
          <w:tcPr>
            <w:tcW w:w="4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26.3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Bank drafts</w:t>
            </w:r>
          </w:p>
        </w:tc>
        <w:tc>
          <w:tcPr>
            <w:tcW w:w="168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16.8</w:t>
            </w: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16.8</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Contingent consideration liabilities</w:t>
            </w:r>
          </w:p>
        </w:tc>
        <w:tc>
          <w:tcPr>
            <w:tcW w:w="1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5.9</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Arial" w:cs="Arial" w:eastAsia="Arial" w:hAnsi="Arial"/>
                <w:sz w:val="18"/>
                <w:szCs w:val="18"/>
                <w:color w:val="auto"/>
                <w:w w:val="91"/>
              </w:rPr>
              <w:t>Avery Dennison Corporation</w:t>
            </w:r>
          </w:p>
        </w:tc>
        <w:tc>
          <w:tcPr>
            <w:tcW w:w="0" w:type="dxa"/>
            <w:vAlign w:val="bottom"/>
          </w:tcPr>
          <w:p>
            <w:pPr>
              <w:spacing w:after="0"/>
              <w:rPr>
                <w:sz w:val="1"/>
                <w:szCs w:val="1"/>
                <w:color w:val="auto"/>
              </w:rPr>
            </w:pPr>
          </w:p>
        </w:tc>
      </w:tr>
      <w:tr>
        <w:trPr>
          <w:trHeight w:val="432"/>
        </w:trPr>
        <w:tc>
          <w:tcPr>
            <w:tcW w:w="9960" w:type="dxa"/>
            <w:vAlign w:val="bottom"/>
            <w:gridSpan w:val="9"/>
          </w:tcPr>
          <w:p>
            <w:pPr>
              <w:spacing w:after="0"/>
              <w:rPr>
                <w:sz w:val="20"/>
                <w:szCs w:val="20"/>
                <w:color w:val="auto"/>
              </w:rPr>
            </w:pPr>
            <w:r>
              <w:rPr>
                <w:rFonts w:ascii="Arial" w:cs="Arial" w:eastAsia="Arial" w:hAnsi="Arial"/>
                <w:sz w:val="18"/>
                <w:szCs w:val="18"/>
                <w:color w:val="auto"/>
                <w:w w:val="96"/>
              </w:rPr>
              <w:t>The following table shows the assets and liabilities carried at fair value, measured on a recurring basis, as of December 30, 2017:</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Fair Value Measurements Using</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46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Significant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Quoted Prices</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6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in Active</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Observable</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Markets</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Inputs</w:t>
            </w:r>
          </w:p>
        </w:tc>
        <w:tc>
          <w:tcPr>
            <w:tcW w:w="6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41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(Level 1)</w:t>
            </w:r>
          </w:p>
        </w:tc>
        <w:tc>
          <w:tcPr>
            <w:tcW w:w="4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Trading securities</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22.7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17.7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Bank drafts</w:t>
            </w:r>
          </w:p>
        </w:tc>
        <w:tc>
          <w:tcPr>
            <w:tcW w:w="168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18.4</w:t>
            </w: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Contingent consideration liabilities</w:t>
            </w:r>
          </w:p>
        </w:tc>
        <w:tc>
          <w:tcPr>
            <w:tcW w:w="1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45.0</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Trading securities include fixed income securities (primarily U.S. government and corporate debt securities) measured at fair value using quoted prices/bids and a money market fund measured at fair value using net asset value. As of September 29, 2018, trading securities of $.9 million and $25.4 million were included in “Cash and cash equivalents” and “Other current assets,” respectively, in the unaudited Condensed Consolidated Balance Sheets. As of December 30, 2017, trading securities of $.4 million and $22.3 million were included in “Cash and cash equivalents” and “Other current assets,” respectively, in the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were included in “Other current assets” in the unaudited Condensed Consolidated Balance Sheets. Contingent consideration liabilities relate to estimated earn-out payments associated with certain acquisitions we completed in 2017. These payments are based on the achievements of certain performance targets in 2017 and 2018 based on the applicable terms of the purchase agreements, and our estimates are based on the expected payments related to these targets under the terms of their respective agreements. We have classified these liabilities as Level 3. As of September 29, 2018, contingent consideration liabilities were included in “Other current liabilities” in the unaudited Condensed Consolidated Balance Sheets. As of December 30, 2017, contingent consideration liabilities of approximately $18 million and $27 million were included in “Other current liabilities” and “Long-term retirement benefits and other liabilities,” respectively, in the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Level 3 contingent consideration liabilities for the nine months ended September 29,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 Liabilities</w:t>
            </w:r>
          </w:p>
        </w:tc>
      </w:tr>
      <w:tr>
        <w:trPr>
          <w:trHeight w:val="210"/>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Contingent Consideration</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2017</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Payments</w:t>
            </w:r>
          </w:p>
        </w:tc>
        <w:tc>
          <w:tcPr>
            <w:tcW w:w="8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86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(1)</w:t>
            </w:r>
          </w:p>
        </w:tc>
        <w:tc>
          <w:tcPr>
            <w:tcW w:w="8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4"/>
        </w:trPr>
        <w:tc>
          <w:tcPr>
            <w:tcW w:w="8860" w:type="dxa"/>
            <w:vAlign w:val="bottom"/>
          </w:tcPr>
          <w:p>
            <w:pPr>
              <w:spacing w:after="0"/>
              <w:rPr>
                <w:sz w:val="20"/>
                <w:szCs w:val="20"/>
                <w:color w:val="auto"/>
              </w:rPr>
            </w:pPr>
            <w:r>
              <w:rPr>
                <w:rFonts w:ascii="Arial" w:cs="Arial" w:eastAsia="Arial" w:hAnsi="Arial"/>
                <w:sz w:val="18"/>
                <w:szCs w:val="18"/>
                <w:color w:val="auto"/>
              </w:rPr>
              <w:t>Balance at September 29, 2018</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Adjustments primarily relate to measurement period adjustments. Refer to Note 3, “Goodwill,”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nine months ended September 29, 2018, long-lived assets with carrying amounts totaling $18.1 million were written down to their fair value of $10.6 million, resulting in an impairment charge of $7.5 million, which was included in “Other expense, net” in the unaudited Condensed Consolidated Statements of Income. The fair value was based on the estimated sale price of the assets, less estimated broker fees, which is primarily a Level 3 input.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 accrued. Potential insurance reimbursements are not offset against potential liabilities.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the costs of complying with environmental laws related to remediation and cleanup of various sites, including sites in which governmental agencies have designated us as a potentially responsible party (“PRP”).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potential liabilities.</w:t>
      </w:r>
    </w:p>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September 29, 2018, we have been designated by the U.S. Environmental Protection Agency (“EPA”) and/or other responsible state agencies as a PRP at thirteen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negotiate with the EPA or other governmental authorities.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the nine months ended September 29, 2018 related to our environmental liabilities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30, 2017</w:t>
            </w:r>
          </w:p>
        </w:tc>
        <w:tc>
          <w:tcPr>
            <w:tcW w:w="44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Charges (reversals), net</w:t>
            </w:r>
          </w:p>
        </w:tc>
        <w:tc>
          <w:tcPr>
            <w:tcW w:w="4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4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September 29, 2018</w:t>
            </w:r>
          </w:p>
        </w:tc>
        <w:tc>
          <w:tcPr>
            <w:tcW w:w="4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$5 million of the balance was classified as short-term and included in “Other current liabilities” in the unaudited Condensed Consolidated Balance Sheets as of September 29, 2018 and December 30, 2017.</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and Disaggregated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 Information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Disaggregated revenue information is set forth below in the manner that best depicts how the nature, amount, timing and uncertainty of our revenue and cash flows are affected by economic factors. Revenue from our LGM reportable segment is attributed to geographic areas based on the location from which products are shipped. Revenue from our </w:t>
      </w:r>
      <w:r>
        <w:rPr>
          <w:rFonts w:ascii="Arial" w:cs="Arial" w:eastAsia="Arial" w:hAnsi="Arial"/>
          <w:sz w:val="17"/>
          <w:szCs w:val="17"/>
          <w:color w:val="auto"/>
        </w:rPr>
        <w:t>RBIS</w:t>
      </w:r>
      <w:r>
        <w:rPr>
          <w:rFonts w:ascii="Arial" w:cs="Arial" w:eastAsia="Arial" w:hAnsi="Arial"/>
          <w:sz w:val="18"/>
          <w:szCs w:val="18"/>
          <w:color w:val="auto"/>
        </w:rPr>
        <w:t xml:space="preserve"> reportable segment is shown by product group.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31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rPr>
              <w:t>September 29,</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September 29,</w:t>
            </w:r>
          </w:p>
        </w:tc>
        <w:tc>
          <w:tcPr>
            <w:tcW w:w="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September 30,</w:t>
            </w:r>
          </w:p>
        </w:tc>
      </w:tr>
      <w:tr>
        <w:trPr>
          <w:trHeight w:val="234"/>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to unaffiliated customers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948.5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908.1</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Europe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441.5</w:t>
            </w:r>
          </w:p>
        </w:tc>
        <w:tc>
          <w:tcPr>
            <w:tcW w:w="3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419.8</w:t>
            </w:r>
          </w:p>
        </w:tc>
        <w:tc>
          <w:tcPr>
            <w:tcW w:w="2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1,416.6</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1,246.4</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266.4</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804.5</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735.4</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94.4</w:t>
            </w:r>
          </w:p>
        </w:tc>
        <w:tc>
          <w:tcPr>
            <w:tcW w:w="3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280.7</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266.5</w:t>
            </w:r>
          </w:p>
        </w:tc>
      </w:tr>
      <w:tr>
        <w:trPr>
          <w:trHeight w:val="216"/>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international</w:t>
            </w: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76.3</w:t>
            </w: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219.4</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r>
      <w:tr>
        <w:trPr>
          <w:trHeight w:val="21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Label and Graphic Materials</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1,194.2</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1,137.3</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3,669.7</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3,350.0</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Apparel</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354.4</w:t>
            </w:r>
          </w:p>
        </w:tc>
        <w:tc>
          <w:tcPr>
            <w:tcW w:w="3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336.0</w:t>
            </w:r>
          </w:p>
        </w:tc>
        <w:tc>
          <w:tcPr>
            <w:tcW w:w="2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1,074.9</w:t>
            </w:r>
          </w:p>
        </w:tc>
        <w:tc>
          <w:tcPr>
            <w:tcW w:w="3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998.0</w:t>
            </w:r>
          </w:p>
        </w:tc>
      </w:tr>
      <w:tr>
        <w:trPr>
          <w:trHeight w:val="216"/>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Printer Solutions</w:t>
            </w: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44.0</w:t>
            </w: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126.2</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r>
      <w:tr>
        <w:trPr>
          <w:trHeight w:val="21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Retail Branding and Information Solutions</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398.4</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373.8</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1,201.1</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1,115.7</w:t>
            </w:r>
          </w:p>
        </w:tc>
      </w:tr>
      <w:tr>
        <w:trPr>
          <w:trHeight w:val="210"/>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167.1</w:t>
            </w: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168.4</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519.5</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412.8</w:t>
            </w:r>
          </w:p>
        </w:tc>
      </w:tr>
      <w:tr>
        <w:trPr>
          <w:trHeight w:val="21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 to unaffiliated customers</w:t>
            </w: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1,759.7</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1,679.5</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5,390.3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4,878.5</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information by reportable segment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Three Months Ended</w:t>
            </w:r>
          </w:p>
        </w:tc>
        <w:tc>
          <w:tcPr>
            <w:tcW w:w="6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9"/>
              </w:rPr>
              <w:t>Nine Months Ended</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4540" w:type="dxa"/>
            <w:vAlign w:val="bottom"/>
          </w:tcPr>
          <w:p>
            <w:pPr>
              <w:spacing w:after="0"/>
              <w:rPr>
                <w:sz w:val="16"/>
                <w:szCs w:val="16"/>
                <w:color w:val="auto"/>
              </w:rPr>
            </w:pPr>
          </w:p>
        </w:tc>
        <w:tc>
          <w:tcPr>
            <w:tcW w:w="1820" w:type="dxa"/>
            <w:vAlign w:val="bottom"/>
            <w:gridSpan w:val="2"/>
          </w:tcPr>
          <w:p>
            <w:pPr>
              <w:jc w:val="right"/>
              <w:ind w:right="270"/>
              <w:spacing w:after="0" w:line="191" w:lineRule="exact"/>
              <w:rPr>
                <w:sz w:val="20"/>
                <w:szCs w:val="20"/>
                <w:color w:val="auto"/>
              </w:rPr>
            </w:pPr>
            <w:r>
              <w:rPr>
                <w:rFonts w:ascii="Arial" w:cs="Arial" w:eastAsia="Arial" w:hAnsi="Arial"/>
                <w:sz w:val="18"/>
                <w:szCs w:val="18"/>
                <w:b w:val="1"/>
                <w:bCs w:val="1"/>
                <w:color w:val="auto"/>
              </w:rPr>
              <w:t>September 29,</w:t>
            </w:r>
          </w:p>
        </w:tc>
        <w:tc>
          <w:tcPr>
            <w:tcW w:w="1380" w:type="dxa"/>
            <w:vAlign w:val="bottom"/>
            <w:gridSpan w:val="2"/>
          </w:tcPr>
          <w:p>
            <w:pPr>
              <w:ind w:left="300"/>
              <w:spacing w:after="0" w:line="191" w:lineRule="exact"/>
              <w:rPr>
                <w:sz w:val="20"/>
                <w:szCs w:val="20"/>
                <w:color w:val="auto"/>
              </w:rPr>
            </w:pPr>
            <w:r>
              <w:rPr>
                <w:rFonts w:ascii="Arial" w:cs="Arial" w:eastAsia="Arial" w:hAnsi="Arial"/>
                <w:sz w:val="18"/>
                <w:szCs w:val="18"/>
                <w:b w:val="1"/>
                <w:bCs w:val="1"/>
                <w:color w:val="auto"/>
                <w:w w:val="86"/>
              </w:rPr>
              <w:t>September 30,</w:t>
            </w:r>
          </w:p>
        </w:tc>
        <w:tc>
          <w:tcPr>
            <w:tcW w:w="300" w:type="dxa"/>
            <w:vAlign w:val="bottom"/>
          </w:tcPr>
          <w:p>
            <w:pPr>
              <w:spacing w:after="0"/>
              <w:rPr>
                <w:sz w:val="16"/>
                <w:szCs w:val="16"/>
                <w:color w:val="auto"/>
              </w:rPr>
            </w:pPr>
          </w:p>
        </w:tc>
        <w:tc>
          <w:tcPr>
            <w:tcW w:w="1840" w:type="dxa"/>
            <w:vAlign w:val="bottom"/>
            <w:gridSpan w:val="2"/>
          </w:tcPr>
          <w:p>
            <w:pPr>
              <w:jc w:val="right"/>
              <w:ind w:right="270"/>
              <w:spacing w:after="0" w:line="191" w:lineRule="exact"/>
              <w:rPr>
                <w:sz w:val="20"/>
                <w:szCs w:val="20"/>
                <w:color w:val="auto"/>
              </w:rPr>
            </w:pPr>
            <w:r>
              <w:rPr>
                <w:rFonts w:ascii="Arial" w:cs="Arial" w:eastAsia="Arial" w:hAnsi="Arial"/>
                <w:sz w:val="18"/>
                <w:szCs w:val="18"/>
                <w:b w:val="1"/>
                <w:bCs w:val="1"/>
                <w:color w:val="auto"/>
              </w:rPr>
              <w:t>September 29,</w:t>
            </w:r>
          </w:p>
        </w:tc>
        <w:tc>
          <w:tcPr>
            <w:tcW w:w="14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gridSpan w:val="2"/>
          </w:tcPr>
          <w:p>
            <w:pPr>
              <w:spacing w:after="0"/>
              <w:rPr>
                <w:sz w:val="16"/>
                <w:szCs w:val="16"/>
                <w:color w:val="auto"/>
              </w:rPr>
            </w:pP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2017</w:t>
            </w: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sales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20.9</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59.6</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Industrial and Healthcare Materials</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2.1</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6.8</w:t>
            </w: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24.8</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69.3</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Label and Graphic Materials</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152.9</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147.5</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418.1</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68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42.4</w:t>
            </w:r>
          </w:p>
        </w:tc>
        <w:tc>
          <w:tcPr>
            <w:tcW w:w="7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7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122.4</w:t>
            </w:r>
          </w:p>
        </w:tc>
        <w:tc>
          <w:tcPr>
            <w:tcW w:w="7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15.3</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44.9</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Corporate expense</w:t>
            </w:r>
          </w:p>
        </w:tc>
        <w:tc>
          <w:tcPr>
            <w:tcW w:w="6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(18.9)</w:t>
            </w:r>
          </w:p>
        </w:tc>
        <w:tc>
          <w:tcPr>
            <w:tcW w:w="7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70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(61.3)</w:t>
            </w:r>
          </w:p>
        </w:tc>
        <w:tc>
          <w:tcPr>
            <w:tcW w:w="7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(14.7)</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(42.2)</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18"/>
                <w:szCs w:val="18"/>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non-operating expense</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(9.0)</w:t>
            </w: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(3.7)</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(14.9)</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168.0</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146.8</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467.0</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Other (income) expense, net by reportable segment</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Label and Graphic Materials</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59.9</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68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7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7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9.1</w:t>
            </w:r>
          </w:p>
        </w:tc>
        <w:tc>
          <w:tcPr>
            <w:tcW w:w="7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66.9</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Other (income) expense, net by type</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Severance and related costs, net of reversals</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56.0</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Asset impairment charges and lease cancellation costs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9.7</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items:</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Argentine peso remeasurement transition loss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Other restructuring-related charge</w:t>
            </w:r>
          </w:p>
        </w:tc>
        <w:tc>
          <w:tcPr>
            <w:tcW w:w="68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sales of assets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Transaction costs</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66.9</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432"/>
        </w:trPr>
        <w:tc>
          <w:tcPr>
            <w:tcW w:w="4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r>
      <w:tr>
        <w:trPr>
          <w:trHeight w:val="132"/>
        </w:trPr>
        <w:tc>
          <w:tcPr>
            <w:tcW w:w="45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Note 15. Supplemental Financial Information</w:t>
            </w:r>
          </w:p>
        </w:tc>
        <w:tc>
          <w:tcPr>
            <w:tcW w:w="3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Net inventories consisted of the following:</w:t>
            </w:r>
          </w:p>
        </w:tc>
        <w:tc>
          <w:tcPr>
            <w:tcW w:w="3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1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September 29, 2018</w:t>
            </w: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0"/>
              </w:rPr>
              <w:t>December 30, 2017</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254.8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Work-in-progress</w:t>
            </w:r>
          </w:p>
        </w:tc>
        <w:tc>
          <w:tcPr>
            <w:tcW w:w="3180" w:type="dxa"/>
            <w:vAlign w:val="bottom"/>
          </w:tcPr>
          <w:p>
            <w:pPr>
              <w:spacing w:after="0"/>
              <w:rPr>
                <w:sz w:val="18"/>
                <w:szCs w:val="18"/>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203.3</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179.8</w:t>
            </w:r>
          </w:p>
        </w:tc>
      </w:tr>
      <w:tr>
        <w:trPr>
          <w:trHeight w:val="216"/>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224.4</w:t>
            </w:r>
          </w:p>
        </w:tc>
        <w:tc>
          <w:tcPr>
            <w:tcW w:w="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215.2</w:t>
            </w:r>
          </w:p>
        </w:tc>
      </w:tr>
      <w:tr>
        <w:trPr>
          <w:trHeight w:val="217"/>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 net</w:t>
            </w:r>
          </w:p>
        </w:tc>
        <w:tc>
          <w:tcPr>
            <w:tcW w:w="3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682.5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609.6</w:t>
            </w:r>
          </w:p>
        </w:tc>
      </w:tr>
      <w:tr>
        <w:trPr>
          <w:trHeight w:val="432"/>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4"/>
        </w:trPr>
        <w:tc>
          <w:tcPr>
            <w:tcW w:w="5660" w:type="dxa"/>
            <w:vAlign w:val="bottom"/>
          </w:tcPr>
          <w:p>
            <w:pPr>
              <w:spacing w:after="0"/>
              <w:rPr>
                <w:sz w:val="24"/>
                <w:szCs w:val="24"/>
                <w:color w:val="auto"/>
              </w:rPr>
            </w:pP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29, 2018</w:t>
            </w:r>
          </w:p>
        </w:tc>
        <w:tc>
          <w:tcPr>
            <w:tcW w:w="4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30,</w:t>
            </w: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2,992.4</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3,000.9</w:t>
            </w: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3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(1,905.5)</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(1,903.0)</w:t>
            </w:r>
          </w:p>
        </w:tc>
      </w:tr>
      <w:tr>
        <w:trPr>
          <w:trHeight w:val="217"/>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 was $24.5 million and $74.5 million for the three and nine months ended September 29, 2018, respectively, and $23.6 million and $70 million for the three and nine months ended September 30, 2017, respectively. This expense was included in “Marketing, general and administrative expense” in the unaudited Condensed Consolidated Statements of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 of our equity method investment was $7.2 million and $9.1 million as of September 29, 2018 and December 30, 2017, respectively, and was included in “Other assets” in the unaudited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Recent Accounting Requirements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Financial Accounting Standards Board (“FASB”) issued guidance to improve the effectiveness of disclosures by removing, modifying and adding disclosures related to fair value measurements. This guidance will be effective for interim and annual periods beginning after December 15, 2019, and early adoption is permitted. We anticipate adopting this guidance in the fourth quarter of 2018 and do not anticipate that our adoption will have a significant impact on our disclosures.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2018, the FASB issued guidance to improve the effectiveness of disclosures by removing and adding certain disclosures related to defined benefit plans. This guidance will be effective for interim and annual periods beginning after December 15, 2020, and early adoption is permitted. We anticipate adopting this guidance in the fourth quarter of 2018 and do not anticipate that our adoption will have a significant impact on our disclosures.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2017, the FASB issued amended guidance to improve the financial reporting of hedging relationships to better reflect the economic results of an entity’s risk management activities in its financial statements, as well as to simplify the application of hedge accounting. Adoption of this amended guidance is required prospectively. This guidance will be effective for interim and annual periods beginning after December 15, 2018, and early adoption is permitted. We do not anticipate that our adoption will have a significant impact on our financial position, results of operations, cash flows, and disclosures.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and in subsequent updates, the FASB issued guidance on accounting for leases that requires lessees to recognize the rights and obligations created by leases on their balance sheets. This guidance also requires enhanced disclosures regarding the amount, timing, and uncertainty of cash flows arising from leases and will be effective for interim and annual periods beginning after December 15, 2018. Early adoption is permitted. Modified retrospective adoption is required with respect to all leases that exist at or commence after the date of initial application of this guidance, with the option to use certain practical expedients. We established a cross-functional team to manage the assessment, design, and implementation of this new guidance. We are continuing to implement processes and information technology tools and to evaluate our accounting policies and controls to address this guidance. While we are still assessing the impact of this guidance on our financial position, results of operations, cash flows, and disclosures, we currently expect our adoption to have a significant impact on our financial position and disclosures.</w:t>
      </w:r>
    </w:p>
    <w:p>
      <w:pPr>
        <w:spacing w:after="0" w:line="17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presentation of our financial results that are prepared in accordance with GAAP. Based upon feedback from investors and financial analysts, we believe that the supplemental non-GAAP financial measures we provide are useful to their assessment of our performance and operating trends, as well as liquidity.</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non-GAAP financial measures exclude the impact of certain events, activities or strategic decisions. The accounting effects of these events, activities or decisions, which are included in the GAAP financial measures, may make it difficult to assess our underlying performance in a single period. By excluding the accounting effects, both positive or negative, of certain items (e.g., restructuring charges, legal settlements, certain effects of strategic transactions and related costs, losses from debt extinguishments, gains and losses from curtailment or settlement of pension obligations, gains and losses on sales of certain assets, and other items), we believe that we are providing meaningful supplemental information that facilitates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non-GAAP financial measures in this MD&amp;A:</w:t>
      </w:r>
    </w:p>
    <w:p>
      <w:pPr>
        <w:spacing w:after="0" w:line="225" w:lineRule="exact"/>
        <w:rPr>
          <w:sz w:val="20"/>
          <w:szCs w:val="20"/>
          <w:color w:val="auto"/>
        </w:rPr>
      </w:pPr>
    </w:p>
    <w:p>
      <w:pPr>
        <w:jc w:val="both"/>
        <w:ind w:left="340" w:hanging="332"/>
        <w:spacing w:after="0" w:line="28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Sales change ex. currency </w:t>
      </w:r>
      <w:r>
        <w:rPr>
          <w:rFonts w:ascii="Arial" w:cs="Arial" w:eastAsia="Arial" w:hAnsi="Arial"/>
          <w:sz w:val="16"/>
          <w:szCs w:val="16"/>
          <w:color w:val="auto"/>
        </w:rPr>
        <w:t>refers to the increase or decrease in sales excluding the estimated impact of foreign currency translation and the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for transitional reporting of highly inflationary economies (Argentina). The estimated impact of foreign currency translation is calculated on a constant currency basis, with prior period results translated at current period average exchange rates to exclude the effect of foreign currency fluctuations.</w:t>
      </w:r>
    </w:p>
    <w:p>
      <w:pPr>
        <w:jc w:val="both"/>
        <w:ind w:left="340" w:hanging="332"/>
        <w:spacing w:after="0" w:line="255" w:lineRule="auto"/>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Organic sales change </w:t>
      </w:r>
      <w:r>
        <w:rPr>
          <w:rFonts w:ascii="Arial" w:cs="Arial" w:eastAsia="Arial" w:hAnsi="Arial"/>
          <w:sz w:val="18"/>
          <w:szCs w:val="18"/>
          <w:color w:val="auto"/>
        </w:rPr>
        <w:t>refers to the increase or decrease in sales excluding the estimated impact of foreign currency translation, the currency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transitional reporting of highly inflationary economies (Argentina), product line exits, acquisitions and divestitures, and, where applicable, the extra week in our fiscal year.</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sales change ex. currency and organic sales change assist investors in evaluating the sales growth from the ongoing activities of our businesses and provide greater ability to evaluate our results from period to period.</w:t>
      </w:r>
    </w:p>
    <w:p>
      <w:pPr>
        <w:spacing w:after="0" w:line="170" w:lineRule="exact"/>
        <w:rPr>
          <w:sz w:val="20"/>
          <w:szCs w:val="20"/>
          <w:color w:val="auto"/>
        </w:rPr>
      </w:pPr>
    </w:p>
    <w:p>
      <w:pPr>
        <w:jc w:val="both"/>
        <w:ind w:left="340" w:hanging="332"/>
        <w:spacing w:after="0" w:line="286" w:lineRule="auto"/>
        <w:tabs>
          <w:tab w:leader="none" w:pos="331"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refers to cash flow provided by operating activities, less payments for property, plant and equipment, software and other deferred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plus proceeds from sales of property, plant and equipment, plus (minus) net proceeds from sales (purchases) of investments and proceeds from insurance. Free cash flow is also adjusted for the cash contributions related to the termination of our U.S. pension plan. We believe that free cash flow assists investors by showing the amount of cash we have available for debt reductions, dividends, share repurchases, and acquisitions.</w:t>
      </w:r>
    </w:p>
    <w:p>
      <w:pPr>
        <w:spacing w:after="0" w:line="1" w:lineRule="exact"/>
        <w:rPr>
          <w:rFonts w:ascii="Arial" w:cs="Arial" w:eastAsia="Arial" w:hAnsi="Arial"/>
          <w:sz w:val="16"/>
          <w:szCs w:val="16"/>
          <w:color w:val="auto"/>
        </w:rPr>
      </w:pPr>
    </w:p>
    <w:p>
      <w:pPr>
        <w:jc w:val="both"/>
        <w:ind w:left="340" w:hanging="332"/>
        <w:spacing w:after="0" w:line="269" w:lineRule="auto"/>
        <w:tabs>
          <w:tab w:leader="none" w:pos="38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Operational working capital </w:t>
      </w:r>
      <w:r>
        <w:rPr>
          <w:rFonts w:ascii="Arial" w:cs="Arial" w:eastAsia="Arial" w:hAnsi="Arial"/>
          <w:sz w:val="17"/>
          <w:szCs w:val="17"/>
          <w:color w:val="auto"/>
        </w:rPr>
        <w:t>refers to trade accounts receivable and inventories, net of accounts payable, and excludes cash and cash equivalents, short-term borrowings, deferred taxes, other current assets and other current liabilities, as well as net current assets or liabilities held-for-sale.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reported sales change, as compared to the prior year periods,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4620" w:type="dxa"/>
            <w:vAlign w:val="bottom"/>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44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September 29, 2018</w:t>
            </w:r>
          </w:p>
        </w:tc>
        <w:tc>
          <w:tcPr>
            <w:tcW w:w="2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September 29, 2018</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62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5%</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462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1</w:t>
            </w:r>
          </w:p>
        </w:tc>
        <w:tc>
          <w:tcPr>
            <w:tcW w:w="2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10"/>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4620" w:type="dxa"/>
            <w:vAlign w:val="bottom"/>
            <w:tcBorders>
              <w:bottom w:val="single" w:sz="8" w:color="auto"/>
            </w:tcBorders>
            <w:shd w:val="clear" w:color="auto" w:fill="CCEEFF"/>
          </w:tcPr>
          <w:p>
            <w:pPr>
              <w:ind w:left="3780"/>
              <w:spacing w:after="0"/>
              <w:rPr>
                <w:sz w:val="20"/>
                <w:szCs w:val="20"/>
                <w:color w:val="auto"/>
              </w:rPr>
            </w:pPr>
            <w:r>
              <w:rPr>
                <w:rFonts w:ascii="Arial" w:cs="Arial" w:eastAsia="Arial" w:hAnsi="Arial"/>
                <w:sz w:val="18"/>
                <w:szCs w:val="18"/>
                <w:color w:val="auto"/>
              </w:rPr>
              <w:t>6%</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4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Acquisitions</w:t>
            </w:r>
          </w:p>
        </w:tc>
        <w:tc>
          <w:tcPr>
            <w:tcW w:w="462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r>
      <w:tr>
        <w:trPr>
          <w:trHeight w:val="217"/>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4620" w:type="dxa"/>
            <w:vAlign w:val="bottom"/>
            <w:tcBorders>
              <w:bottom w:val="single" w:sz="8" w:color="auto"/>
            </w:tcBorders>
            <w:shd w:val="clear" w:color="auto" w:fill="CCEEFF"/>
          </w:tcPr>
          <w:p>
            <w:pPr>
              <w:ind w:left="3780"/>
              <w:spacing w:after="0"/>
              <w:rPr>
                <w:sz w:val="20"/>
                <w:szCs w:val="20"/>
                <w:color w:val="auto"/>
              </w:rPr>
            </w:pPr>
            <w:r>
              <w:rPr>
                <w:rFonts w:ascii="Arial" w:cs="Arial" w:eastAsia="Arial" w:hAnsi="Arial"/>
                <w:sz w:val="18"/>
                <w:szCs w:val="18"/>
                <w:color w:val="auto"/>
              </w:rPr>
              <w:t>6%</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29, 2018, net sales increased on an organic basis primarily due to higher volume and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29, 2018, net sales increased on an organic basis primarily due to higher volume.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income increased by approximately $29 million in the first nine months of 2018 compared to the same period last year. Major factors affecting net income in the first nine months of 2018 compared to the prior year period included the following:</w:t>
      </w:r>
    </w:p>
    <w:p>
      <w:pPr>
        <w:spacing w:after="0" w:line="184"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combined effect of volume and mix</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Benefits from productivity initiatives, including savings from restructuring actions, net of transition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Offsetting factors:</w:t>
      </w:r>
    </w:p>
    <w:p>
      <w:pPr>
        <w:spacing w:after="0" w:line="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restructuring charges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employee-related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Plan</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approved a restructuring plan (the “2018 Plan”) associated with the consolidation of the European footprint of our Label and Graphic Materials (“LGM”) reportable segment that is expected to result in a headcount reduction of 350 to 400 positions related to the closure of a manufacturing facility. This reduction is expected to be partially offset by headcount additions in other locations, resulting in a net reduction of approximately 150 positions. We expect the 2018 Plan to be largely complete by the end of 2019.</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29, 2018, we recorded $54.8 million in restructuring charges, net of reversals, related to the 2018 Plan. These charges consisted of severance and related costs for the reduction of approximately 345 positions, as well as asset impairment charges. The vast majority of the cash payments associated with these charges is expected to be made in 2019. We anticipate annualized savings from the 2018 Plan of approximately $25 million, beginning in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29, 2018, we recorded a reduction in restructuring charges related to the 2018 Plan due to a change in management’s estimate of severance and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29, 2018, we recorded $10.9 million in restructuring charges, net of reversals, related to restructuring actions initiated during the third quarter of 2015 (“2015/2016 Actions”). These charges consisted of severance and related costs for the reduction of approximately 500 positions, lease cancellation costs, and asset impairment charges.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Cost Reduction Actions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anticipate savings from cost reduction actions, net of transition costs, of approximately $30 million in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were included in “Other expense, net” in the unaudited Condensed Consolidated Statements of Income. Refer to Note 7, “Cost Reduction Actions,” to the unaudited Condensed Consolidated Financial Statements for more information.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 Termination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2018, our Board of Directors (“Board”) approved the termination of the Avery Dennison Pension Plan (the “ADPP”), a U.S. defined benefit plan, effective as of September 28, 2018. In connection with the termination, we contributed $200 million to the ADPP in August 2018 using U.S. commercial paper borrowings. The ADPP’s net pension benefit obligation based on 2017 year end discount rates was underfunded by approximately $24 million as of September 29, 2018. We expect to settle the long-term liability associated with the ADPP termination through a combination of (i) lump-sum payments in 2018 to eligible participants who elect to receive them and (ii) the purchase of a group annuity contract from one or more yet-to-be-identified highly rated insurance companies in the first half of 2019. The actual amount of our long-term liability when it is transferred will depend upon the nature and timing of participant settlements, as well as prevailing market conditions. We currently estimate the total non-cash charge associated with the termination of the ADPP to be between $575 million and $600 million, approximately $100 million of which we expect to recognize during the fourth quarter of 2018 and the remainder of which we expect to recognize at the time the remaining pension liability is transferred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 and Guidance Updates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2018, we adopted a new accounting pronouncement and four accounting guidance updates. Refer to Note 1, “General,” to the unaudited Condensed Consolidated Financial Statements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Highly Inflationary Economy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1, 2018, we began accounting for our operations in Argentina as highly inflationary, as the country’s three-year cumulative inflation rate exceeded 100%. As a result, the functional currency of our Argentine subsidiary became the U.S. dollar.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w:t>
            </w: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7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Borders>
              <w:bottom w:val="single" w:sz="8" w:color="auto"/>
            </w:tcBorders>
          </w:tcPr>
          <w:p>
            <w:pPr>
              <w:spacing w:after="0"/>
              <w:rPr>
                <w:sz w:val="24"/>
                <w:szCs w:val="24"/>
                <w:color w:val="auto"/>
              </w:rPr>
            </w:pPr>
          </w:p>
        </w:tc>
      </w:tr>
      <w:tr>
        <w:trPr>
          <w:trHeight w:val="210"/>
        </w:trPr>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3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September 29, 2018</w:t>
            </w:r>
          </w:p>
        </w:tc>
        <w:tc>
          <w:tcPr>
            <w:tcW w:w="1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 2017</w:t>
            </w: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187.7</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(132.7)</w:t>
            </w:r>
          </w:p>
        </w:tc>
        <w:tc>
          <w:tcPr>
            <w:tcW w:w="9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(21.5)</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98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9.4</w:t>
            </w:r>
          </w:p>
        </w:tc>
        <w:tc>
          <w:tcPr>
            <w:tcW w:w="9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 (purchases) of investments and proceeds from insurance, net</w:t>
            </w: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17.6</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Pension plan contribution for plan termination</w:t>
            </w: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200.0</w:t>
            </w:r>
          </w:p>
        </w:tc>
        <w:tc>
          <w:tcPr>
            <w:tcW w:w="9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7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260.5</w:t>
            </w:r>
          </w:p>
        </w:tc>
        <w:tc>
          <w:tcPr>
            <w:tcW w:w="9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nine months of 2018, net cash provided by operating activities decreased compared to the same period last year primarily due to our $200 million contribution to the ADPP associated with its termination, as well as higher income tax payments, net of refunds, and higher incentive compensation payments, partially offset by higher net income. In the first nine months of 2018, free cash flow increased compared to the same period last year primarily due to higher net proceeds from sales of investments and insurance and higher proceeds from sales of property, plant and equipment, partially offset by higher capital and software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Certain factors that we believe may contribute to our 2018 results are described below.</w:t>
      </w:r>
    </w:p>
    <w:p>
      <w:pPr>
        <w:spacing w:after="0" w:line="211"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our net sales to increase by approximately 8.5%.</w:t>
      </w:r>
    </w:p>
    <w:p>
      <w:pPr>
        <w:spacing w:after="0" w:line="23" w:lineRule="exact"/>
        <w:rPr>
          <w:rFonts w:ascii="Arial" w:cs="Arial" w:eastAsia="Arial" w:hAnsi="Arial"/>
          <w:sz w:val="18"/>
          <w:szCs w:val="18"/>
          <w:color w:val="auto"/>
        </w:rPr>
      </w:pPr>
    </w:p>
    <w:p>
      <w:pPr>
        <w:ind w:left="660" w:hanging="328"/>
        <w:spacing w:after="0" w:line="250" w:lineRule="auto"/>
        <w:tabs>
          <w:tab w:leader="none" w:pos="921"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continuation of foreign currency rates in effect during October 2018, we expect foreign currency translation to increase pre-tax operating income by approximately $12 million.</w:t>
      </w: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estimate our full-year effective tax rate to be approximately 20%.</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anticipate our capital and software expenditures to be between $250 million and $260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estimate restructuring charges of approximately $70 million.</w:t>
      </w:r>
    </w:p>
    <w:p>
      <w:pPr>
        <w:spacing w:after="0" w:line="9" w:lineRule="exact"/>
        <w:rPr>
          <w:rFonts w:ascii="Arial" w:cs="Arial" w:eastAsia="Arial" w:hAnsi="Arial"/>
          <w:sz w:val="18"/>
          <w:szCs w:val="18"/>
          <w:color w:val="auto"/>
        </w:rPr>
      </w:pPr>
    </w:p>
    <w:p>
      <w:pPr>
        <w:ind w:left="660" w:hanging="328"/>
        <w:spacing w:after="0" w:line="261" w:lineRule="auto"/>
        <w:tabs>
          <w:tab w:leader="none" w:pos="85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estimate the net effect of non-cash charges and the tax impact related to the ADPP termination to reduce net income by $45 million to $65 million.</w:t>
      </w:r>
    </w:p>
    <w:p>
      <w:pPr>
        <w:spacing w:after="0" w:line="18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ANALYSIS OF RESULTS OF OPERATIONS FOR THE THIRD QUARTER</w:t>
            </w: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 Before Taxes</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Arial" w:cs="Arial" w:eastAsia="Arial" w:hAnsi="Arial"/>
                <w:sz w:val="14"/>
                <w:szCs w:val="14"/>
                <w:color w:val="auto"/>
              </w:rPr>
              <w:t>(In millions, except percentages)</w:t>
            </w:r>
          </w:p>
        </w:tc>
        <w:tc>
          <w:tcPr>
            <w:tcW w:w="24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September 29, 2018</w:t>
            </w:r>
          </w:p>
        </w:tc>
        <w:tc>
          <w:tcPr>
            <w:tcW w:w="20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1,759.7</w:t>
            </w:r>
          </w:p>
        </w:tc>
        <w:tc>
          <w:tcPr>
            <w:tcW w:w="9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Cost of products sold</w:t>
            </w: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1,300.5</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459.2</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Marketing, general and administrative expense</w:t>
            </w:r>
          </w:p>
        </w:tc>
        <w:tc>
          <w:tcPr>
            <w:tcW w:w="94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270.5</w:t>
            </w:r>
          </w:p>
        </w:tc>
        <w:tc>
          <w:tcPr>
            <w:tcW w:w="90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14.7</w:t>
            </w:r>
          </w:p>
        </w:tc>
        <w:tc>
          <w:tcPr>
            <w:tcW w:w="90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9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9.0</w:t>
            </w:r>
          </w:p>
        </w:tc>
        <w:tc>
          <w:tcPr>
            <w:tcW w:w="9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taxes</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168.0</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Gross profit margin</w:t>
            </w:r>
          </w:p>
        </w:tc>
        <w:tc>
          <w:tcPr>
            <w:tcW w:w="9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26.1%</w:t>
            </w: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profit margin for the third quarter of 2018 decreased compared to the same period last year reflecting the net impact of pricing and raw material costs and growth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Marketing, general and administrative expense decreased in the third quarter of 2018 compared to the same period last year reflecting lower employee-related costs and foreign currency translation, partially offset by growth investments.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0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Borders>
              <w:bottom w:val="single" w:sz="8" w:color="auto"/>
            </w:tcBorders>
          </w:tcPr>
          <w:p>
            <w:pPr>
              <w:spacing w:after="0"/>
              <w:rPr>
                <w:sz w:val="24"/>
                <w:szCs w:val="24"/>
                <w:color w:val="auto"/>
              </w:rPr>
            </w:pPr>
          </w:p>
        </w:tc>
      </w:tr>
      <w:tr>
        <w:trPr>
          <w:trHeight w:val="210"/>
        </w:trPr>
        <w:tc>
          <w:tcPr>
            <w:tcW w:w="7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3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September 29, 2018</w:t>
            </w:r>
          </w:p>
        </w:tc>
        <w:tc>
          <w:tcPr>
            <w:tcW w:w="20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September 30, 2017</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 by type</w:t>
            </w: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Restructuring charges:</w:t>
            </w: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 net of reversals</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940" w:type="dxa"/>
            <w:vAlign w:val="bottom"/>
          </w:tcPr>
          <w:p>
            <w:pPr>
              <w:spacing w:after="0"/>
              <w:rPr>
                <w:sz w:val="18"/>
                <w:szCs w:val="18"/>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10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Argentine peso remeasurement transition loss</w:t>
            </w:r>
          </w:p>
        </w:tc>
        <w:tc>
          <w:tcPr>
            <w:tcW w:w="940" w:type="dxa"/>
            <w:vAlign w:val="bottom"/>
          </w:tcPr>
          <w:p>
            <w:pPr>
              <w:spacing w:after="0"/>
              <w:rPr>
                <w:sz w:val="18"/>
                <w:szCs w:val="18"/>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0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9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r>
      <w:tr>
        <w:trPr>
          <w:trHeight w:val="217"/>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7, “Cost Reduction Actions,” to the unaudited Condensed Consolidated Financial Statements for more information associated with restructuring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in the third quarter of 2018 compared to the same period last year reflecting our repayment of senior notes in October 2017, which was financed by commercial paper borrowings at a lower interest rate. Refer to Note 4, “Debt,” to the unaudited Condensed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Expense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2018, we adopted an accounting guidance update that requires employers with defined benefit plans to present the components of net periodic benefit cost other than service cost, outside of operating income. Refer to Note 1, “General,” to the unaudited Condensed Consolidated Financial Statements for more information. Other non-operating expense increased in the third quarter of 2018 compared to the same period last year due to settlement losses associated with two U.S. nonqualified benefit plans, partially offset by a higher expected return on plan assets in certain of our international defined benefit pension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4"/>
                <w:szCs w:val="14"/>
                <w:color w:val="auto"/>
              </w:rPr>
              <w:t>(In millions, except per share amounts and percentages)</w:t>
            </w:r>
          </w:p>
        </w:tc>
        <w:tc>
          <w:tcPr>
            <w:tcW w:w="24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September 29, 2018</w:t>
            </w:r>
          </w:p>
        </w:tc>
        <w:tc>
          <w:tcPr>
            <w:tcW w:w="20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9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168.0</w:t>
            </w:r>
          </w:p>
        </w:tc>
        <w:tc>
          <w:tcPr>
            <w:tcW w:w="10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17.7</w:t>
            </w:r>
          </w:p>
        </w:tc>
        <w:tc>
          <w:tcPr>
            <w:tcW w:w="10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method investment net losses</w:t>
            </w:r>
          </w:p>
        </w:tc>
        <w:tc>
          <w:tcPr>
            <w:tcW w:w="9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w:t>
            </w:r>
          </w:p>
        </w:tc>
        <w:tc>
          <w:tcPr>
            <w:tcW w:w="10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149.5</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1.71</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9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1.69</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10.5%</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25" w:gutter="0" w:footer="0" w:header="0"/>
        </w:sectPr>
      </w:pPr>
    </w:p>
    <w:p>
      <w:pPr>
        <w:spacing w:after="0" w:line="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25"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tax rate for the three months ended September 29, 2018 compared to the same period last year reflected a decrease in the U.S. federal statutory tax rate from 35% to 21%, offset by net tax charges related to certain U.S. international tax provisions, the loss of domestic manufacturing deductions, and limitations on the deductibility of our executive compensation, all as a result of the Tax Cuts and Jobs Act (“TCJA”) enacted in December 2017.</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for the three months ended September 29, 2018 included net discrete tax benefits of $36.6 million reflecting return to provision adjustments recognized in the third quarter primarily related to an incremental $31 million tax benefit from our U.S. pension plan contributions and an $8.6 million tax benefit from recognition of a net foreign currency loss, both of which were deducted at. a tax rate higher than 21%, concurrent with the completion of our 2017 U.S. federal income tax return. The $31 million tax benefit was related to the ADPP termination approved by our Board in July 2018, as well as lump-sum payments associated with two U.S. nonqualified benefit plans. Refer to Note 5, “Pension and Other Postretirement Benefits,” to the unaudited Condensed Consolidated Financial Statements for more information. The $8.6 million tax benefit related to our election of a mark-to-market method of accounting on our 2017 U.S. federal income tax return to realize certain fair value adjustments.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and the recognition of discrete events. Refer to Note 9, “Taxes Based on Income,” to the unaudited Condensed Consolidated Financial Statements for further information.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RESULTS OF OPERATIONS BY REPORTABLE SEGMENT FOR THE THIRD QUARTER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380" w:type="dxa"/>
            <w:vAlign w:val="bottom"/>
            <w:gridSpan w:val="3"/>
          </w:tcPr>
          <w:p>
            <w:pPr>
              <w:spacing w:after="0"/>
              <w:rPr>
                <w:sz w:val="20"/>
                <w:szCs w:val="20"/>
                <w:color w:val="auto"/>
              </w:rPr>
            </w:pPr>
            <w:r>
              <w:rPr>
                <w:rFonts w:ascii="Arial" w:cs="Arial" w:eastAsia="Arial" w:hAnsi="Arial"/>
                <w:sz w:val="18"/>
                <w:szCs w:val="18"/>
                <w:color w:val="auto"/>
              </w:rPr>
              <w:t>Operating income refers to income before taxes, interest and other non-operating expenses.</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Label and Graphic Materials</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24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29, 2018</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8"/>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1,215.1</w:t>
            </w:r>
          </w:p>
        </w:tc>
        <w:tc>
          <w:tcPr>
            <w:tcW w:w="6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intersegment sales</w:t>
            </w:r>
          </w:p>
        </w:tc>
        <w:tc>
          <w:tcPr>
            <w:tcW w:w="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(20.9)</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1,194.2</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gridSpan w:val="2"/>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152.9</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60" w:type="dxa"/>
            <w:vAlign w:val="bottom"/>
            <w:gridSpan w:val="2"/>
          </w:tcPr>
          <w:p>
            <w:pPr>
              <w:spacing w:after="0" w:line="202" w:lineRule="exact"/>
              <w:rPr>
                <w:sz w:val="20"/>
                <w:szCs w:val="20"/>
                <w:color w:val="auto"/>
              </w:rPr>
            </w:pPr>
            <w:r>
              <w:rPr>
                <w:rFonts w:ascii="Arial" w:cs="Arial" w:eastAsia="Arial" w:hAnsi="Arial"/>
                <w:sz w:val="23"/>
                <w:szCs w:val="23"/>
                <w:color w:val="auto"/>
                <w:w w:val="93"/>
                <w:vertAlign w:val="superscript"/>
              </w:rPr>
              <w:t>(1)</w:t>
            </w:r>
            <w:r>
              <w:rPr>
                <w:rFonts w:ascii="Arial" w:cs="Arial" w:eastAsia="Arial" w:hAnsi="Arial"/>
                <w:sz w:val="18"/>
                <w:szCs w:val="18"/>
                <w:color w:val="auto"/>
                <w:w w:val="93"/>
              </w:rPr>
              <w:t>Included charges associated with restructuring, net of reversals, in both quarters, Argentine peso</w:t>
            </w:r>
          </w:p>
        </w:tc>
        <w:tc>
          <w:tcPr>
            <w:tcW w:w="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remeasurement transition loss in 2018, and transaction costs in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8"/>
        </w:trPr>
        <w:tc>
          <w:tcPr>
            <w:tcW w:w="738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80" w:type="dxa"/>
            <w:vAlign w:val="bottom"/>
            <w:gridSpan w:val="3"/>
          </w:tcPr>
          <w:p>
            <w:pPr>
              <w:spacing w:after="0"/>
              <w:rPr>
                <w:sz w:val="20"/>
                <w:szCs w:val="20"/>
                <w:color w:val="auto"/>
              </w:rPr>
            </w:pPr>
            <w:r>
              <w:rPr>
                <w:rFonts w:ascii="Arial" w:cs="Arial" w:eastAsia="Arial" w:hAnsi="Arial"/>
                <w:sz w:val="18"/>
                <w:szCs w:val="18"/>
                <w:color w:val="auto"/>
              </w:rPr>
              <w:t>The factors impacting reported sales change are shown in the table below.</w:t>
            </w:r>
          </w:p>
        </w:tc>
        <w:tc>
          <w:tcPr>
            <w:tcW w:w="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September 29, 2018</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580" w:type="dxa"/>
            <w:vAlign w:val="bottom"/>
            <w:shd w:val="clear" w:color="auto" w:fill="CCEEFF"/>
          </w:tcPr>
          <w:p>
            <w:pPr>
              <w:spacing w:after="0"/>
              <w:rPr>
                <w:sz w:val="18"/>
                <w:szCs w:val="18"/>
                <w:color w:val="auto"/>
              </w:rPr>
            </w:pPr>
          </w:p>
        </w:tc>
        <w:tc>
          <w:tcPr>
            <w:tcW w:w="1860" w:type="dxa"/>
            <w:vAlign w:val="bottom"/>
            <w:tcBorders>
              <w:righ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w w:val="92"/>
              </w:rPr>
              <w:t>5%</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5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righ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w w:val="92"/>
              </w:rPr>
              <w:t>6%</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Organic sales change</w:t>
            </w:r>
          </w:p>
        </w:tc>
        <w:tc>
          <w:tcPr>
            <w:tcW w:w="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2"/>
              </w:rPr>
              <w:t>6%</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third quarter of 2018, net sales increased on an organic basis primarily due to higher volume and prices. Sales increased on an organic basis at high-single digit rates in the emerging markets and North America. Sales increased on an organic basis at a low-single digit rate in Western Europe.</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third quarter of 2018 compared to the same period last year due to higher volume/mix and a reversal of restructuring charges, partially offset by the net impact of pricing and raw material costs, excluding the effects of foreign currency, growth-related investments and higher employee-related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Retail Branding and Information Solutions</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September 29, 2018</w:t>
            </w:r>
          </w:p>
        </w:tc>
        <w:tc>
          <w:tcPr>
            <w:tcW w:w="1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8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399.7</w:t>
            </w:r>
          </w:p>
        </w:tc>
        <w:tc>
          <w:tcPr>
            <w:tcW w:w="9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398.4</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42.4</w:t>
            </w: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360" w:type="dxa"/>
            <w:vAlign w:val="bottom"/>
            <w:tcBorders>
              <w:bottom w:val="single" w:sz="8" w:color="auto"/>
            </w:tcBorders>
          </w:tcPr>
          <w:p>
            <w:pPr>
              <w:spacing w:after="0" w:line="216"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charges associated with restructuring in both quarters.</w:t>
            </w: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reported sales change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4720" w:type="dxa"/>
            <w:vAlign w:val="bottom"/>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10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September 29, 2018</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720" w:type="dxa"/>
            <w:vAlign w:val="bottom"/>
            <w:shd w:val="clear" w:color="auto" w:fill="CCEEFF"/>
          </w:tcPr>
          <w:p>
            <w:pPr>
              <w:ind w:left="4400"/>
              <w:spacing w:after="0"/>
              <w:rPr>
                <w:sz w:val="20"/>
                <w:szCs w:val="20"/>
                <w:color w:val="auto"/>
              </w:rPr>
            </w:pPr>
            <w:r>
              <w:rPr>
                <w:rFonts w:ascii="Arial" w:cs="Arial" w:eastAsia="Arial" w:hAnsi="Arial"/>
                <w:sz w:val="18"/>
                <w:szCs w:val="18"/>
                <w:color w:val="auto"/>
              </w:rPr>
              <w:t>7%</w:t>
            </w:r>
          </w:p>
        </w:tc>
      </w:tr>
      <w:tr>
        <w:trPr>
          <w:trHeight w:val="216"/>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4720" w:type="dxa"/>
            <w:vAlign w:val="bottom"/>
            <w:tcBorders>
              <w:bottom w:val="single" w:sz="8" w:color="auto"/>
            </w:tcBorders>
          </w:tcPr>
          <w:p>
            <w:pPr>
              <w:ind w:left="4400"/>
              <w:spacing w:after="0"/>
              <w:rPr>
                <w:sz w:val="20"/>
                <w:szCs w:val="20"/>
                <w:color w:val="auto"/>
              </w:rPr>
            </w:pPr>
            <w:r>
              <w:rPr>
                <w:rFonts w:ascii="Arial" w:cs="Arial" w:eastAsia="Arial" w:hAnsi="Arial"/>
                <w:sz w:val="18"/>
                <w:szCs w:val="18"/>
                <w:color w:val="auto"/>
              </w:rPr>
              <w:t>2</w:t>
            </w:r>
          </w:p>
        </w:tc>
      </w:tr>
      <w:tr>
        <w:trPr>
          <w:trHeight w:val="210"/>
        </w:trPr>
        <w:tc>
          <w:tcPr>
            <w:tcW w:w="510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Sales change ex. currency</w:t>
            </w:r>
            <w:r>
              <w:rPr>
                <w:rFonts w:ascii="Arial" w:cs="Arial" w:eastAsia="Arial" w:hAnsi="Arial"/>
                <w:sz w:val="23"/>
                <w:szCs w:val="23"/>
                <w:color w:val="auto"/>
                <w:vertAlign w:val="superscript"/>
              </w:rPr>
              <w:t>(1)</w:t>
            </w:r>
          </w:p>
        </w:tc>
        <w:tc>
          <w:tcPr>
            <w:tcW w:w="4720" w:type="dxa"/>
            <w:vAlign w:val="bottom"/>
            <w:tcBorders>
              <w:bottom w:val="single" w:sz="8" w:color="auto"/>
            </w:tcBorders>
            <w:shd w:val="clear" w:color="auto" w:fill="CCEEFF"/>
          </w:tcPr>
          <w:p>
            <w:pPr>
              <w:ind w:left="4400"/>
              <w:spacing w:after="0"/>
              <w:rPr>
                <w:sz w:val="20"/>
                <w:szCs w:val="20"/>
                <w:color w:val="auto"/>
              </w:rPr>
            </w:pPr>
            <w:r>
              <w:rPr>
                <w:rFonts w:ascii="Arial" w:cs="Arial" w:eastAsia="Arial" w:hAnsi="Arial"/>
                <w:sz w:val="18"/>
                <w:szCs w:val="18"/>
                <w:color w:val="auto"/>
              </w:rPr>
              <w:t>8%</w:t>
            </w:r>
          </w:p>
        </w:tc>
      </w:tr>
      <w:tr>
        <w:trPr>
          <w:trHeight w:val="235"/>
        </w:trPr>
        <w:tc>
          <w:tcPr>
            <w:tcW w:w="5100" w:type="dxa"/>
            <w:vAlign w:val="bottom"/>
          </w:tcPr>
          <w:p>
            <w:pPr>
              <w:spacing w:after="0" w:line="235"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4720" w:type="dxa"/>
            <w:vAlign w:val="bottom"/>
          </w:tcPr>
          <w:p>
            <w:pPr>
              <w:ind w:left="440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2261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 may not sum due to rounding.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2018, net sales increased on an organic basis driven by strength in both the base business and radio-frequency identification solutions.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third quarter of 2018 compared to the same period last year primarily reflecting higher volume, productivity initiatives, including savings from restructuring actions, net of transition costs, and lower restructuring charges, partially offset by growth-related investments and higher employee-related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Industrial and Healthcare Materials</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September 29, 2018</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9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169.7</w:t>
            </w:r>
          </w:p>
        </w:tc>
        <w:tc>
          <w:tcPr>
            <w:tcW w:w="10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w:t>
            </w:r>
          </w:p>
        </w:tc>
        <w:tc>
          <w:tcPr>
            <w:tcW w:w="10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167.1</w:t>
            </w:r>
          </w:p>
        </w:tc>
        <w:tc>
          <w:tcPr>
            <w:tcW w:w="1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15.3</w:t>
            </w:r>
          </w:p>
        </w:tc>
        <w:tc>
          <w:tcPr>
            <w:tcW w:w="1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140" w:type="dxa"/>
            <w:vAlign w:val="bottom"/>
            <w:tcBorders>
              <w:bottom w:val="single" w:sz="8" w:color="auto"/>
            </w:tcBorders>
          </w:tcPr>
          <w:p>
            <w:pPr>
              <w:spacing w:after="0" w:line="216"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transaction costs in 2017.</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reported sales change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1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September 29, 2018</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4640" w:type="dxa"/>
            <w:vAlign w:val="bottom"/>
            <w:tcBorders>
              <w:bottom w:val="single" w:sz="8" w:color="auto"/>
            </w:tcBorders>
          </w:tcPr>
          <w:p>
            <w:pPr>
              <w:ind w:left="4260"/>
              <w:spacing w:after="0"/>
              <w:rPr>
                <w:sz w:val="20"/>
                <w:szCs w:val="20"/>
                <w:color w:val="auto"/>
              </w:rPr>
            </w:pPr>
            <w:r>
              <w:rPr>
                <w:rFonts w:ascii="Arial" w:cs="Arial" w:eastAsia="Arial" w:hAnsi="Arial"/>
                <w:sz w:val="18"/>
                <w:szCs w:val="18"/>
                <w:color w:val="auto"/>
              </w:rPr>
              <w:t>–</w:t>
            </w:r>
          </w:p>
        </w:tc>
      </w:tr>
      <w:tr>
        <w:trPr>
          <w:trHeight w:val="210"/>
        </w:trPr>
        <w:tc>
          <w:tcPr>
            <w:tcW w:w="518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Sales change ex. currency</w:t>
            </w:r>
            <w:r>
              <w:rPr>
                <w:rFonts w:ascii="Arial" w:cs="Arial" w:eastAsia="Arial" w:hAnsi="Arial"/>
                <w:sz w:val="23"/>
                <w:szCs w:val="23"/>
                <w:color w:val="auto"/>
                <w:vertAlign w:val="superscript"/>
              </w:rPr>
              <w:t>(1)</w:t>
            </w:r>
          </w:p>
        </w:tc>
        <w:tc>
          <w:tcPr>
            <w:tcW w:w="4640" w:type="dxa"/>
            <w:vAlign w:val="bottom"/>
            <w:tcBorders>
              <w:bottom w:val="single" w:sz="8" w:color="auto"/>
            </w:tcBorders>
            <w:shd w:val="clear" w:color="auto" w:fill="CCEEFF"/>
          </w:tcPr>
          <w:p>
            <w:pPr>
              <w:ind w:left="4260"/>
              <w:spacing w:after="0"/>
              <w:rPr>
                <w:sz w:val="20"/>
                <w:szCs w:val="20"/>
                <w:color w:val="auto"/>
              </w:rPr>
            </w:pPr>
            <w:r>
              <w:rPr>
                <w:rFonts w:ascii="Arial" w:cs="Arial" w:eastAsia="Arial" w:hAnsi="Arial"/>
                <w:sz w:val="18"/>
                <w:szCs w:val="18"/>
                <w:color w:val="auto"/>
              </w:rPr>
              <w:t>–%</w:t>
            </w:r>
          </w:p>
        </w:tc>
      </w:tr>
      <w:tr>
        <w:trPr>
          <w:trHeight w:val="217"/>
        </w:trPr>
        <w:tc>
          <w:tcPr>
            <w:tcW w:w="5180" w:type="dxa"/>
            <w:vAlign w:val="bottom"/>
            <w:tcBorders>
              <w:bottom w:val="single" w:sz="8" w:color="auto"/>
            </w:tcBorders>
          </w:tcPr>
          <w:p>
            <w:pPr>
              <w:spacing w:after="0" w:line="210"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4640" w:type="dxa"/>
            <w:vAlign w:val="bottom"/>
            <w:tcBorders>
              <w:bottom w:val="single" w:sz="8" w:color="auto"/>
            </w:tcBorders>
          </w:tcPr>
          <w:p>
            <w:pPr>
              <w:ind w:left="4260"/>
              <w:spacing w:after="0"/>
              <w:rPr>
                <w:sz w:val="20"/>
                <w:szCs w:val="20"/>
                <w:color w:val="auto"/>
              </w:rPr>
            </w:pPr>
            <w:r>
              <w:rPr>
                <w:rFonts w:ascii="Arial" w:cs="Arial" w:eastAsia="Arial" w:hAnsi="Arial"/>
                <w:sz w:val="18"/>
                <w:szCs w:val="18"/>
                <w:color w:val="auto"/>
              </w:rPr>
              <w:t>–%</w:t>
            </w:r>
          </w:p>
        </w:tc>
      </w:tr>
      <w:tr>
        <w:trPr>
          <w:trHeight w:val="281"/>
        </w:trPr>
        <w:tc>
          <w:tcPr>
            <w:tcW w:w="518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 may not sum due to rounding.</w:t>
            </w:r>
          </w:p>
        </w:tc>
        <w:tc>
          <w:tcPr>
            <w:tcW w:w="4640" w:type="dxa"/>
            <w:vAlign w:val="bottom"/>
          </w:tcPr>
          <w:p>
            <w:pPr>
              <w:spacing w:after="0"/>
              <w:rPr>
                <w:sz w:val="24"/>
                <w:szCs w:val="24"/>
                <w:color w:val="auto"/>
              </w:rPr>
            </w:pPr>
          </w:p>
        </w:tc>
      </w:tr>
    </w:tbl>
    <w:p>
      <w:pPr>
        <w:spacing w:after="0" w:line="124" w:lineRule="exact"/>
        <w:rPr>
          <w:sz w:val="20"/>
          <w:szCs w:val="20"/>
          <w:color w:val="auto"/>
        </w:rPr>
      </w:pPr>
    </w:p>
    <w:p>
      <w:pPr>
        <w:sectPr>
          <w:pgSz w:w="11900" w:h="16838" w:orient="portrait"/>
          <w:cols w:equalWidth="0" w:num="1">
            <w:col w:w="11420"/>
          </w:cols>
          <w:pgMar w:left="240" w:top="125" w:right="239" w:bottom="1440" w:gutter="0" w:footer="0" w:header="0"/>
        </w:sectPr>
      </w:pPr>
    </w:p>
    <w:p>
      <w:pPr>
        <w:ind w:left="112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third quarter of 2018, net sales were comparable with the prior year on an organic basis as a decline in the demand for products serving the China automotive market was largely offset by mid-single digit growth for the rest of the industrial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third quarter of 2018 compared to the same period last year primarily due to lower transaction and transition costs related to prior year acquisitions, as well as lower employee-related costs, which more than offset growth-related investments and the net impact of pricing and raw material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ANALYSIS OF RESULTS OF OPERATIONS FOR THE NINE MONTHS YEAR-TO-DATE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340" w:type="dxa"/>
            <w:vAlign w:val="bottom"/>
            <w:gridSpan w:val="3"/>
          </w:tcPr>
          <w:p>
            <w:pPr>
              <w:spacing w:after="0"/>
              <w:rPr>
                <w:sz w:val="20"/>
                <w:szCs w:val="20"/>
                <w:color w:val="auto"/>
              </w:rPr>
            </w:pPr>
            <w:r>
              <w:rPr>
                <w:rFonts w:ascii="Arial" w:cs="Arial" w:eastAsia="Arial" w:hAnsi="Arial"/>
                <w:sz w:val="18"/>
                <w:szCs w:val="18"/>
                <w:b w:val="1"/>
                <w:bCs w:val="1"/>
                <w:color w:val="auto"/>
              </w:rPr>
              <w:t>Income Before Taxes</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40" w:type="dxa"/>
            <w:vAlign w:val="bottom"/>
            <w:gridSpan w:val="3"/>
          </w:tcPr>
          <w:p>
            <w:pPr>
              <w:spacing w:after="0"/>
              <w:rPr>
                <w:sz w:val="20"/>
                <w:szCs w:val="20"/>
                <w:color w:val="auto"/>
              </w:rPr>
            </w:pPr>
            <w:r>
              <w:rPr>
                <w:rFonts w:ascii="Arial" w:cs="Arial" w:eastAsia="Arial" w:hAnsi="Arial"/>
                <w:sz w:val="14"/>
                <w:szCs w:val="14"/>
                <w:color w:val="auto"/>
              </w:rPr>
              <w:t>(In millions, except percentages)</w:t>
            </w:r>
          </w:p>
        </w:tc>
        <w:tc>
          <w:tcPr>
            <w:tcW w:w="22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September 29, 2018</w:t>
            </w:r>
          </w:p>
        </w:tc>
        <w:tc>
          <w:tcPr>
            <w:tcW w:w="18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5,390.3</w:t>
            </w:r>
          </w:p>
        </w:tc>
        <w:tc>
          <w:tcPr>
            <w:tcW w:w="8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Cost of products sold</w:t>
            </w: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3,946.3</w:t>
            </w: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1,444.0</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Marketing, general and administrative expense</w:t>
            </w:r>
          </w:p>
        </w:tc>
        <w:tc>
          <w:tcPr>
            <w:tcW w:w="8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853.0</w:t>
            </w:r>
          </w:p>
        </w:tc>
        <w:tc>
          <w:tcPr>
            <w:tcW w:w="8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66.9</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42.2</w:t>
            </w:r>
          </w:p>
        </w:tc>
        <w:tc>
          <w:tcPr>
            <w:tcW w:w="8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8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14.9</w:t>
            </w:r>
          </w:p>
        </w:tc>
        <w:tc>
          <w:tcPr>
            <w:tcW w:w="8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taxes</w:t>
            </w: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467.0</w:t>
            </w: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Gross profit margin</w:t>
            </w:r>
          </w:p>
        </w:tc>
        <w:tc>
          <w:tcPr>
            <w:tcW w:w="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26.8%</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margin for the first nine months of 2018 decreased compared to the same period last year reflecting the net impact of pricing and raw material costs, excluding the effects of foreign currency, and the impact of acquisitions and other growth investments.</w:t>
      </w:r>
    </w:p>
    <w:p>
      <w:pPr>
        <w:sectPr>
          <w:pgSz w:w="11900" w:h="16838" w:orient="portrait"/>
          <w:cols w:equalWidth="0" w:num="1">
            <w:col w:w="11420"/>
          </w:cols>
          <w:pgMar w:left="240" w:top="125"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Marketing, general and administrative expense increased in the first nine months of 2018 compared to acquisitions and other growth investments and the impact of foreign currency translation, partially offset savings from restructuring, net of transition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hanging="3"/>
        <w:spacing w:after="0" w:line="308" w:lineRule="auto"/>
        <w:rPr>
          <w:sz w:val="20"/>
          <w:szCs w:val="20"/>
          <w:color w:val="auto"/>
        </w:rPr>
      </w:pPr>
      <w:r>
        <w:rPr>
          <w:rFonts w:ascii="Arial" w:cs="Arial" w:eastAsia="Arial" w:hAnsi="Arial"/>
          <w:sz w:val="17"/>
          <w:szCs w:val="17"/>
          <w:color w:val="auto"/>
        </w:rPr>
        <w:t>the same period last year reflecting the impact of by benefits from productivity initiatives, including</w:t>
      </w:r>
    </w:p>
    <w:p>
      <w:pPr>
        <w:spacing w:after="0" w:line="769" w:lineRule="exact"/>
        <w:rPr>
          <w:sz w:val="20"/>
          <w:szCs w:val="20"/>
          <w:color w:val="auto"/>
        </w:rPr>
      </w:pPr>
    </w:p>
    <w:p>
      <w:pPr>
        <w:sectPr>
          <w:pgSz w:w="11900" w:h="16838" w:orient="portrait"/>
          <w:cols w:equalWidth="0" w:num="2">
            <w:col w:w="7680" w:space="40"/>
            <w:col w:w="3700"/>
          </w:cols>
          <w:pgMar w:left="240" w:top="125"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860" w:type="dxa"/>
            <w:vAlign w:val="bottom"/>
            <w:tcBorders>
              <w:bottom w:val="single" w:sz="8" w:color="auto"/>
            </w:tcBorders>
          </w:tcPr>
          <w:p>
            <w:pPr>
              <w:spacing w:after="0"/>
              <w:rPr>
                <w:sz w:val="20"/>
                <w:szCs w:val="20"/>
                <w:color w:val="auto"/>
              </w:rPr>
            </w:pPr>
          </w:p>
        </w:tc>
      </w:tr>
      <w:tr>
        <w:trPr>
          <w:trHeight w:val="210"/>
        </w:trPr>
        <w:tc>
          <w:tcPr>
            <w:tcW w:w="7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September 29, 2018</w:t>
            </w:r>
          </w:p>
        </w:tc>
        <w:tc>
          <w:tcPr>
            <w:tcW w:w="1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 2017</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Restructuring charges:</w:t>
            </w: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 net of reversals</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56.0</w:t>
            </w:r>
          </w:p>
        </w:tc>
        <w:tc>
          <w:tcPr>
            <w:tcW w:w="10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86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9.7</w:t>
            </w:r>
          </w:p>
        </w:tc>
        <w:tc>
          <w:tcPr>
            <w:tcW w:w="10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Argentine peso remeasurement transition loss</w:t>
            </w:r>
          </w:p>
        </w:tc>
        <w:tc>
          <w:tcPr>
            <w:tcW w:w="86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0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restructuring-related charge</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Net gain on sale of assets</w:t>
            </w:r>
          </w:p>
        </w:tc>
        <w:tc>
          <w:tcPr>
            <w:tcW w:w="86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8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17"/>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66.9</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7, “Cost Reduction Actions,” to the unaudited Condensed Consolidated Financial Statements for more information associated with restructuring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Interest expense decreased in the first nine months of 2018 compared to the same period last year reflecting our repayment of senior notes in October 2017, which was financed by commercial paper borrowings at a lower interest rate. Refer to Note 4, “Debt,” to the unaudited Condensed Consolidated Financial Statements for more information.</w:t>
      </w:r>
    </w:p>
    <w:p>
      <w:pPr>
        <w:sectPr>
          <w:pgSz w:w="11900" w:h="16838" w:orient="portrait"/>
          <w:cols w:equalWidth="0" w:num="1">
            <w:col w:w="11420"/>
          </w:cols>
          <w:pgMar w:left="240" w:top="125" w:right="239" w:bottom="1440" w:gutter="0" w:footer="0" w:header="0"/>
          <w:type w:val="continuous"/>
        </w:sectPr>
      </w:pPr>
    </w:p>
    <w:p>
      <w:pPr>
        <w:spacing w:after="0" w:line="19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Expense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2018, we adopted an accounting guidance update that requires employers with defined benefit plans to present the components of net periodic benefit cost other than service cost outside of operating income. Refer to Note 1, “General,” to the unaudited Condensed Consolidated Financial Statements for more information. Other non-operating expense increased in the first nine months of 2018 compared to the same period last year due to settlement losses associated with two U.S. nonqualified benefit plans, partially offset by a higher expected return on plan assets in certain of our international defined benefit pension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gridSpan w:val="2"/>
          </w:tcPr>
          <w:p>
            <w:pPr>
              <w:spacing w:after="0"/>
              <w:rPr>
                <w:sz w:val="20"/>
                <w:szCs w:val="20"/>
                <w:color w:val="auto"/>
              </w:rPr>
            </w:pPr>
            <w:r>
              <w:rPr>
                <w:rFonts w:ascii="Arial" w:cs="Arial" w:eastAsia="Arial" w:hAnsi="Arial"/>
                <w:sz w:val="14"/>
                <w:szCs w:val="14"/>
                <w:color w:val="auto"/>
              </w:rPr>
              <w:t>(In millions, except per share amounts and percentages)</w:t>
            </w:r>
          </w:p>
        </w:tc>
        <w:tc>
          <w:tcPr>
            <w:tcW w:w="23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29, 2018</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9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467.0</w:t>
            </w:r>
          </w:p>
        </w:tc>
        <w:tc>
          <w:tcPr>
            <w:tcW w:w="9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94.9</w:t>
            </w:r>
          </w:p>
        </w:tc>
        <w:tc>
          <w:tcPr>
            <w:tcW w:w="9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method investment net losses</w:t>
            </w:r>
          </w:p>
        </w:tc>
        <w:tc>
          <w:tcPr>
            <w:tcW w:w="9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370.3</w:t>
            </w: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4.22</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9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4.16</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20.3%</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nine months ended September 29, 2018 compared to the same period last year reflected a decrease in the U.S. federal statutory tax rate from 35% to 21%, offset by net tax charges related to certain U.S. international tax provisions, the loss of domestic manufacturing deductions, and limitations on the deductibility of our executive compensation, all as a result of the TCJA.</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for the nine months ended September 29, 2018 included net discrete tax benefits of $37.3 million reflecting return to provision adjustments recognized in the third quarter primarily related to an incremental $31 million tax benefit from our U.S. pension plan contributions and an $8.6 million tax benefit from recognition of a net foreign currency loss, both of which were deducted at a tax rate higher than 21%, concurrent with the completion of our 2017 U.S. federal income tax return.. The $31 million tax benefit related to the ADPP termination approved by our Board in July 2018, as well as lump-sum payments associated with two U.S. nonqualified benefit plans. Refer to Note 5, “Pension and Other Postretirement Benefits,” to the unaudited Condensed Consolidated Financial Statements for more information. The $8.6 million tax benefit was related to our election of a mark-to-market method of accounting on our 2017 U.S. federal income tax return to realize certain fair value adjustments.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nine months ended September 29, 2018 also included net tax charges related to: (i) the effects of certain U.S. international tax provisions imposed by TCJA, such as Global Intangible Low-taxed Income (“GILTI”), Base Erosion Antiabuse Tax (“BEAT”), and Foreign Derived Intangible Income (“FDII”); (ii) tax charges for foreign withholding taxes on our current year earnings; and (iii) discrete items primarily from excess tax benefits associated with stock-based payments and changes in our uncertain tax positions.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for the nine months ended September 30, 2017 included net tax benefits related to releases of valuation allowance on certain U.S. state deferred tax assets and changes in our uncertain tax positions.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BY REPORTABLE SEGMENT FOR THE NINE MONTHS YEAR-TO-DATE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income refers to income before taxes, interest and other non-operating expenses.</w:t>
            </w:r>
          </w:p>
        </w:tc>
        <w:tc>
          <w:tcPr>
            <w:tcW w:w="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Label and Graphic Materials</w:t>
            </w: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Nine Months Ended</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29, 2018</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3,729.3</w:t>
            </w: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(59.6)</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3,669.7</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418.1</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23"/>
                <w:szCs w:val="23"/>
                <w:color w:val="auto"/>
                <w:w w:val="96"/>
                <w:vertAlign w:val="superscript"/>
              </w:rPr>
              <w:t>(1)</w:t>
            </w:r>
            <w:r>
              <w:rPr>
                <w:rFonts w:ascii="Arial" w:cs="Arial" w:eastAsia="Arial" w:hAnsi="Arial"/>
                <w:sz w:val="18"/>
                <w:szCs w:val="18"/>
                <w:color w:val="auto"/>
                <w:w w:val="96"/>
              </w:rPr>
              <w:t>Included charges associated with restructuring in both years, Argentine peso remeasurement</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20"/>
              <w:spacing w:after="0"/>
              <w:rPr>
                <w:sz w:val="20"/>
                <w:szCs w:val="20"/>
                <w:color w:val="auto"/>
              </w:rPr>
            </w:pPr>
            <w:r>
              <w:rPr>
                <w:rFonts w:ascii="Arial" w:cs="Arial" w:eastAsia="Arial" w:hAnsi="Arial"/>
                <w:sz w:val="18"/>
                <w:szCs w:val="18"/>
                <w:color w:val="auto"/>
              </w:rPr>
              <w:t>transition loss, other restructuring-related charge and loss on sale of assets in 2018, and</w:t>
            </w: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transaction costs in 2017.</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59.9</w:t>
            </w: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18"/>
        </w:trPr>
        <w:tc>
          <w:tcPr>
            <w:tcW w:w="740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Nine Months Ended</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September 29, 2018</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54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5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first nine months of 2018, net sales increased on an organic basis primarily due to higher volume. Net sales increased on an organic basis at mid-single digit rates in emerging markets and North America. Sales increased on an organic basis at a low- to mid-single digit rate in Western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decreased in the first nine months of 2018 compared to the same period last year primarily reflecting higher restructuring charges, higher employee-related costs, and the net impact of pricing and raw material costs, excluding the effects of foreign currency, partially offset by the combined effect of volume and mix, as well as a net benefit from changes in foreign currency.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Retail Branding and Information Solutions</w:t>
            </w:r>
          </w:p>
        </w:tc>
        <w:tc>
          <w:tcPr>
            <w:tcW w:w="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Nine Months Ended</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29, 2018</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1,204.0</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(2.9)</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1,201.1</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122.4</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23"/>
                <w:szCs w:val="23"/>
                <w:color w:val="auto"/>
                <w:w w:val="93"/>
                <w:vertAlign w:val="superscript"/>
              </w:rPr>
              <w:t>(1)</w:t>
            </w:r>
            <w:r>
              <w:rPr>
                <w:rFonts w:ascii="Arial" w:cs="Arial" w:eastAsia="Arial" w:hAnsi="Arial"/>
                <w:sz w:val="18"/>
                <w:szCs w:val="18"/>
                <w:color w:val="auto"/>
                <w:w w:val="93"/>
              </w:rPr>
              <w:t>Included charges associated with restructuring in both years, net gain on sales of assets in 2018,</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and transaction costs related to sale of product line in 2017.</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9.1</w:t>
            </w: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18"/>
        </w:trPr>
        <w:tc>
          <w:tcPr>
            <w:tcW w:w="740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Nine Months Ended</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September 29, 2018</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54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5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the first nine months of 2018, net sales increased on an organic basis driven by strength in both radio-frequency identification solutions and the base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Operating income increased in the first nine months of 2018 compared to the same period last year reflecting higher volume, productivity initiatives, including savings from restructuring actions, net of transition costs, and lower amortization of other intangibles resulting from business acquisitions, partially offset by higher employee-related costs and growth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Industrial and Healthcare Materials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September 29, 2018</w:t>
            </w:r>
          </w:p>
        </w:tc>
        <w:tc>
          <w:tcPr>
            <w:tcW w:w="1780" w:type="dxa"/>
            <w:vAlign w:val="bottom"/>
            <w:gridSpan w:val="2"/>
          </w:tcPr>
          <w:p>
            <w:pPr>
              <w:ind w:left="280"/>
              <w:spacing w:after="0"/>
              <w:rPr>
                <w:sz w:val="20"/>
                <w:szCs w:val="20"/>
                <w:color w:val="auto"/>
              </w:rPr>
            </w:pPr>
            <w:r>
              <w:rPr>
                <w:rFonts w:ascii="Arial" w:cs="Arial" w:eastAsia="Arial" w:hAnsi="Arial"/>
                <w:sz w:val="18"/>
                <w:szCs w:val="18"/>
                <w:b w:val="1"/>
                <w:bCs w:val="1"/>
                <w:color w:val="auto"/>
                <w:w w:val="88"/>
              </w:rPr>
              <w:t>September 30,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8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526.3</w:t>
            </w:r>
          </w:p>
        </w:tc>
        <w:tc>
          <w:tcPr>
            <w:tcW w:w="9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(6.8)</w:t>
            </w:r>
          </w:p>
        </w:tc>
        <w:tc>
          <w:tcPr>
            <w:tcW w:w="9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519.5</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44.9</w:t>
            </w:r>
          </w:p>
        </w:tc>
        <w:tc>
          <w:tcPr>
            <w:tcW w:w="9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380" w:type="dxa"/>
            <w:vAlign w:val="bottom"/>
            <w:tcBorders>
              <w:bottom w:val="single" w:sz="8" w:color="auto"/>
            </w:tcBorders>
          </w:tcPr>
          <w:p>
            <w:pPr>
              <w:spacing w:after="0" w:line="216" w:lineRule="exact"/>
              <w:rPr>
                <w:sz w:val="20"/>
                <w:szCs w:val="20"/>
                <w:color w:val="auto"/>
              </w:rPr>
            </w:pPr>
            <w:r>
              <w:rPr>
                <w:rFonts w:ascii="Arial" w:cs="Arial" w:eastAsia="Arial" w:hAnsi="Arial"/>
                <w:sz w:val="23"/>
                <w:szCs w:val="23"/>
                <w:color w:val="auto"/>
                <w:w w:val="99"/>
                <w:vertAlign w:val="superscript"/>
              </w:rPr>
              <w:t>(1)</w:t>
            </w:r>
            <w:r>
              <w:rPr>
                <w:rFonts w:ascii="Arial" w:cs="Arial" w:eastAsia="Arial" w:hAnsi="Arial"/>
                <w:sz w:val="18"/>
                <w:szCs w:val="18"/>
                <w:color w:val="auto"/>
                <w:w w:val="99"/>
              </w:rPr>
              <w:t>Included charges associated with restructuring in both years and transaction costs in 2017.</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the reported sales change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4660" w:type="dxa"/>
            <w:vAlign w:val="bottom"/>
          </w:tcPr>
          <w:p>
            <w:pPr>
              <w:jc w:val="right"/>
              <w:ind w:right="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29, 2018</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4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10"/>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4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5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Acquisitions</w:t>
            </w:r>
          </w:p>
        </w:tc>
        <w:tc>
          <w:tcPr>
            <w:tcW w:w="4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17"/>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4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2018, net sales increased on an organic basis primarily due to higher volume in industrial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Operating income increased in the first nine months of 2018 compared to the same period last year driven by organic growth and the net impact of acquisitions, partially offset by growth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CONDITION</w:t>
            </w:r>
          </w:p>
        </w:tc>
        <w:tc>
          <w:tcPr>
            <w:tcW w:w="5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5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Nine Months Ended</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September 29, 2018</w:t>
            </w:r>
          </w:p>
        </w:tc>
        <w:tc>
          <w:tcPr>
            <w:tcW w:w="1780" w:type="dxa"/>
            <w:vAlign w:val="bottom"/>
            <w:gridSpan w:val="2"/>
          </w:tcPr>
          <w:p>
            <w:pPr>
              <w:ind w:left="280"/>
              <w:spacing w:after="0"/>
              <w:rPr>
                <w:sz w:val="20"/>
                <w:szCs w:val="20"/>
                <w:color w:val="auto"/>
              </w:rPr>
            </w:pPr>
            <w:r>
              <w:rPr>
                <w:rFonts w:ascii="Arial" w:cs="Arial" w:eastAsia="Arial" w:hAnsi="Arial"/>
                <w:sz w:val="18"/>
                <w:szCs w:val="18"/>
                <w:b w:val="1"/>
                <w:bCs w:val="1"/>
                <w:color w:val="auto"/>
                <w:w w:val="88"/>
              </w:rPr>
              <w:t>September 30, 2017</w:t>
            </w:r>
          </w:p>
        </w:tc>
        <w:tc>
          <w:tcPr>
            <w:tcW w:w="140" w:type="dxa"/>
            <w:vAlign w:val="bottom"/>
            <w:gridSpan w:val="2"/>
          </w:tcPr>
          <w:p>
            <w:pPr>
              <w:spacing w:after="0"/>
              <w:rPr>
                <w:sz w:val="18"/>
                <w:szCs w:val="18"/>
                <w:color w:val="auto"/>
              </w:rPr>
            </w:pPr>
          </w:p>
        </w:tc>
      </w:tr>
      <w:tr>
        <w:trPr>
          <w:trHeight w:val="210"/>
        </w:trPr>
        <w:tc>
          <w:tcPr>
            <w:tcW w:w="7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370.3</w:t>
            </w:r>
          </w:p>
        </w:tc>
        <w:tc>
          <w:tcPr>
            <w:tcW w:w="9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w:t>
            </w:r>
          </w:p>
        </w:tc>
        <w:tc>
          <w:tcPr>
            <w:tcW w:w="40" w:type="dxa"/>
            <w:vAlign w:val="bottom"/>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136.0</w:t>
            </w:r>
          </w:p>
        </w:tc>
        <w:tc>
          <w:tcPr>
            <w:tcW w:w="9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4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 and sales returns</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34.3</w:t>
            </w:r>
          </w:p>
        </w:tc>
        <w:tc>
          <w:tcPr>
            <w:tcW w:w="9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Net losses from impairments, sale of assets and investment settlements</w:t>
            </w:r>
          </w:p>
        </w:tc>
        <w:tc>
          <w:tcPr>
            <w:tcW w:w="8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9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24.8</w:t>
            </w:r>
          </w:p>
        </w:tc>
        <w:tc>
          <w:tcPr>
            <w:tcW w:w="9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Loss from settlement of pension obligations</w:t>
            </w:r>
          </w:p>
        </w:tc>
        <w:tc>
          <w:tcPr>
            <w:tcW w:w="8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9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w:t>
            </w:r>
          </w:p>
        </w:tc>
        <w:tc>
          <w:tcPr>
            <w:tcW w:w="9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Other non-cash expense and loss</w:t>
            </w:r>
          </w:p>
        </w:tc>
        <w:tc>
          <w:tcPr>
            <w:tcW w:w="8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41.5</w:t>
            </w:r>
          </w:p>
        </w:tc>
        <w:tc>
          <w:tcPr>
            <w:tcW w:w="9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r>
      <w:tr>
        <w:trPr>
          <w:trHeight w:val="216"/>
        </w:trPr>
        <w:tc>
          <w:tcPr>
            <w:tcW w:w="7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8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(424.7)</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w:t>
            </w:r>
          </w:p>
        </w:tc>
        <w:tc>
          <w:tcPr>
            <w:tcW w:w="40" w:type="dxa"/>
            <w:vAlign w:val="bottom"/>
          </w:tcPr>
          <w:p>
            <w:pPr>
              <w:spacing w:after="0"/>
              <w:rPr>
                <w:sz w:val="18"/>
                <w:szCs w:val="18"/>
                <w:color w:val="auto"/>
              </w:rPr>
            </w:pPr>
          </w:p>
        </w:tc>
      </w:tr>
      <w:tr>
        <w:trPr>
          <w:trHeight w:val="217"/>
        </w:trPr>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187.7</w:t>
            </w: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389.9</w:t>
            </w:r>
          </w:p>
        </w:tc>
        <w:tc>
          <w:tcPr>
            <w:tcW w:w="40" w:type="dxa"/>
            <w:vAlign w:val="bottom"/>
          </w:tcPr>
          <w:p>
            <w:pPr>
              <w:spacing w:after="0"/>
              <w:rPr>
                <w:sz w:val="18"/>
                <w:szCs w:val="18"/>
                <w:color w:val="auto"/>
              </w:rPr>
            </w:pPr>
          </w:p>
        </w:tc>
      </w:tr>
      <w:tr>
        <w:trPr>
          <w:trHeight w:val="432"/>
        </w:trPr>
        <w:tc>
          <w:tcPr>
            <w:tcW w:w="2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r>
      <w:tr>
        <w:trPr>
          <w:trHeight w:val="132"/>
        </w:trPr>
        <w:tc>
          <w:tcPr>
            <w:tcW w:w="214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nine months of 2018, cash flow from operating activities decreased compared to the same period last year primarily due to our $200 million contribution to the ADPP associated with its termination, higher income tax payments, net of refunds, and higher incentive compensation payments, partially offset by higher net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7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Nine Months Ended</w:t>
            </w:r>
          </w:p>
        </w:tc>
        <w:tc>
          <w:tcPr>
            <w:tcW w:w="940" w:type="dxa"/>
            <w:vAlign w:val="bottom"/>
            <w:tcBorders>
              <w:bottom w:val="single" w:sz="8" w:color="auto"/>
            </w:tcBorders>
          </w:tcPr>
          <w:p>
            <w:pPr>
              <w:spacing w:after="0"/>
              <w:rPr>
                <w:sz w:val="24"/>
                <w:szCs w:val="24"/>
                <w:color w:val="auto"/>
              </w:rPr>
            </w:pPr>
          </w:p>
        </w:tc>
      </w:tr>
      <w:tr>
        <w:trPr>
          <w:trHeight w:val="210"/>
        </w:trPr>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September 29, 2018</w:t>
            </w:r>
          </w:p>
        </w:tc>
        <w:tc>
          <w:tcPr>
            <w:tcW w:w="18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93"/>
              </w:rPr>
              <w:t>September 30, 2017</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(132.7)</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8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(21.5)</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9.4</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Sales (purchases) of investments and proceeds from insurance, net</w:t>
            </w:r>
          </w:p>
        </w:tc>
        <w:tc>
          <w:tcPr>
            <w:tcW w:w="8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17.6</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for acquisitions, net of cash acquired, and investments in businesses</w:t>
            </w:r>
          </w:p>
        </w:tc>
        <w:tc>
          <w:tcPr>
            <w:tcW w:w="8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17"/>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(127.4)</w:t>
            </w: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Property, Plant and Equipment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nine months of 2018, we invested in equipment to support growth in Asia, North America, and Europe and to improve manufacturing productivity. During the first nine months of 2017, we invested in equipment to support growth in Asia, Europe, and North America and to improve manufacturing productivity.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Software and Other Deferred Charges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nine months of 2018, we invested in information technology primarily associated with enterprise resource planning system implementations in North America and Asia. During the first nine months of 2017, we invested in information technology primarily associated with enterprise resource planning system implementations in North America, Asia, and Europe.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from Sales of Property, Plant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nine months of 2018, we received $9.4 million from sales of property, plant and equipment, the majority of which was related to the sale of two properties in Europe.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for Acquisitions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nine months of 2017, the aggregate payments for acquisitions, net of cash acquired, was approximately $310 million, which we funded through cash and existing credit facilities.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7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Nine Months Ended</w:t>
            </w:r>
          </w:p>
        </w:tc>
        <w:tc>
          <w:tcPr>
            <w:tcW w:w="940" w:type="dxa"/>
            <w:vAlign w:val="bottom"/>
            <w:tcBorders>
              <w:bottom w:val="single" w:sz="8" w:color="auto"/>
            </w:tcBorders>
          </w:tcPr>
          <w:p>
            <w:pPr>
              <w:spacing w:after="0"/>
              <w:rPr>
                <w:sz w:val="24"/>
                <w:szCs w:val="24"/>
                <w:color w:val="auto"/>
              </w:rPr>
            </w:pPr>
          </w:p>
        </w:tc>
      </w:tr>
      <w:tr>
        <w:trPr>
          <w:trHeight w:val="210"/>
        </w:trPr>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September 29, 2018</w:t>
            </w:r>
          </w:p>
        </w:tc>
        <w:tc>
          <w:tcPr>
            <w:tcW w:w="18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93"/>
              </w:rPr>
              <w:t>September 30, 2017</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301.4</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Additional long-term borrowings</w:t>
            </w:r>
          </w:p>
        </w:tc>
        <w:tc>
          <w:tcPr>
            <w:tcW w:w="8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526.6</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 and capital leases</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Dividends paid</w:t>
            </w:r>
          </w:p>
        </w:tc>
        <w:tc>
          <w:tcPr>
            <w:tcW w:w="8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(130.6)</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repurchases</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(175.1)</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Proceeds from exercises of stock options, net</w:t>
            </w:r>
          </w:p>
        </w:tc>
        <w:tc>
          <w:tcPr>
            <w:tcW w:w="8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Tax withholding for stock-based compensation</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(32.9)</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of contingent consideration</w:t>
            </w: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w:t>
            </w: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(57.9)</w:t>
            </w:r>
          </w:p>
        </w:tc>
        <w:tc>
          <w:tcPr>
            <w:tcW w:w="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and Repayment of Debt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Given the seasonality of our cash flow from operating activities, during the first nine months of 2018 and 2017, our commercial paper borrowings were used to fund share repurchase activity, dividend payments, and capital expenditures, and for other general corporate purposes. In connection with its termination, U.S. commercial paper borrowings were also used to fund our $200 million contribution to the ADPP in August 2018.</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$526.6 million (€495.5 million), a portion of which was used to repay commercial paper borrowings that we used to finance a portion of our acquisition of the European business of Mactac. During the third quarter of 2017, we used the remainder for general corporate purposes, including other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“Debt” to the unaudited Condensed Consolidated Financial Statements for more information.</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paid dividends of $1.49 per share in the first nine months of 2018 compared to $1.31 per share in the same period last year. In April 2018, we increased our quarterly dividend to $.52 per share, representing an increase of approximately 16% from our previous dividend rate of $.45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first nine months of 2018, we repurchased approximately 1.6 million shares of our common stock at an aggregate cost of $175.1 million. During the first nine months of 2017, we repurchased approximately 1.3 million shares of our common stock at an aggregate cost of $104.8 million.</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2017, our Board authorized the repurchase of additional shares of our common stock with a fair market value of up to $650 million, exclusive of any fees, commissions or other expenses related to such purchases, in addition to the amount outstanding under our previous Board authorization. Board authorizations remain in effect until shares in the amount authorized thereunder have been repurchased. As of September 29, 2018, shares of our common stock in the aggregate amount of $450.2 million remained authorized for repurchase under the April 2017 Board authorization.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Contingent Consideration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first nine months of 2018, we paid $17.3 million of contingent consideration related to the achievement of certain performance targets for acquisitions completed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nine months ended September 29, 2018, goodwill decreased by approximately $32 million to $953 million due to purchase price adjustments related to the acquisition of Yongle Tape Ltd. completed in June 2017 and the impact of foreign currency translation.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nine months ended September 29, 2018, other intangibles resulting from business acquisitions, net, decreased by approximately $18 million to $149 million, which primarily reflected current year amortization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“Goodwill,” to the unaudited Condensed Consolidated Financial Statements for more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nine months ended September 29, 2018, other assets decreased by approximately $14 million to $439 million, which primarily reflected a decrease in tax-related deferred charges as the result of our adoption of the accounting guidance update related to intra-entity transfer of assets other than inventory described in Note 1, “General,” of the unaudited Condensed Consolidated Financial Statements and a decrease in the cash surrender value of our corporate-owned life insurance policies, partially offset by an increase in non-current income taxes and purchases of software and other deferred charges, net of amortization.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nine months ended September 29, 2018, long-term retirement benefits and other liabilities decreased by approximately $276 million to $354 million, primarily reflecting our pension plan contribution and a reclassification of the remaining obligations to other current liabilities as a result of the termination of the ADPP, a reduction in contingent consideration liabilities, and contributions to our international pension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 Accounts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29, 2018, the balance of our shareholders’ equity was $1.05 billion. Refer to Note 11, “Supplemental Equity and Comprehensive Income Information,” to the unaudited Condensed Consolidated Financial Statements for more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Impact of Foreign Currency Translation</w:t>
            </w:r>
          </w:p>
        </w:tc>
        <w:tc>
          <w:tcPr>
            <w:tcW w:w="40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6420" w:type="dxa"/>
            <w:vAlign w:val="bottom"/>
          </w:tcPr>
          <w:p>
            <w:pPr>
              <w:spacing w:after="0"/>
              <w:rPr>
                <w:sz w:val="24"/>
                <w:szCs w:val="24"/>
                <w:color w:val="auto"/>
              </w:rPr>
            </w:pPr>
          </w:p>
        </w:tc>
        <w:tc>
          <w:tcPr>
            <w:tcW w:w="5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September 29, 2018</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sales</w:t>
            </w:r>
          </w:p>
        </w:tc>
        <w:tc>
          <w:tcPr>
            <w:tcW w:w="40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r>
      <w:tr>
        <w:trPr>
          <w:trHeight w:val="223"/>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net income</w:t>
            </w:r>
          </w:p>
        </w:tc>
        <w:tc>
          <w:tcPr>
            <w:tcW w:w="4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International operations generated approximately 77% of our net sales during the nine months ended September 29, 2018. Our results are subject to changes in political and economic conditions in the regions in which we operate and the impact of fluctuations in foreign currency exchange and interest rates.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favorable impact of foreign currency translation on net sales in the first nine months of 2018 compared to the same period last year was primarily related to euro-denominated sales and sales in China.</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2018, we began accounting for our operations in Argentina as highly inflationary, as the country’s three-year cumulative inflation rate exceeded 100%. As a result, the functional currency of our Argentine subsidiary became the U.S. dollar. A $3.4 million remeasurement transition loss on our Argentine-peso-denominated monetary assets and liabilities was recognized in earnings in other (income) expense, net.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 We also utilize certain foreign-currency-denominated debt to mitigate foreign currency translation exposure from our net investment in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utilize the financial ratios discussed below to assess our financial condition and 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Operational Working Capital Ratios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Working capital (current assets minus current liabilities), as a percentage of annualized net sales, decreased to 0% in the first nine months of 2018 from 4% in the first nine months of 2017 primarily as a result of increases in short-term borrowings and current portion of long-term debt and capital leases and other current liabilities, as well as an increase in annualized net sales, partially offset by an increase in operational working capital.</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Operational working capital, as a percentage of annualized net sales, is reconciled with working capital below. Our objective is to minimize our investment in operational working capital, as a percentage of annualized net sales, to maximize cash flow and return on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9"/>
              </w:rPr>
              <w:t>Nine Months Ended</w:t>
            </w:r>
          </w:p>
        </w:tc>
        <w:tc>
          <w:tcPr>
            <w:tcW w:w="880" w:type="dxa"/>
            <w:vAlign w:val="bottom"/>
            <w:tcBorders>
              <w:bottom w:val="single" w:sz="8" w:color="auto"/>
            </w:tcBorders>
          </w:tcPr>
          <w:p>
            <w:pPr>
              <w:spacing w:after="0"/>
              <w:rPr>
                <w:sz w:val="20"/>
                <w:szCs w:val="20"/>
                <w:color w:val="auto"/>
              </w:rPr>
            </w:pPr>
          </w:p>
        </w:tc>
      </w:tr>
      <w:tr>
        <w:trPr>
          <w:trHeight w:val="191"/>
        </w:trPr>
        <w:tc>
          <w:tcPr>
            <w:tcW w:w="7960" w:type="dxa"/>
            <w:vAlign w:val="bottom"/>
          </w:tcPr>
          <w:p>
            <w:pPr>
              <w:spacing w:after="0"/>
              <w:rPr>
                <w:sz w:val="16"/>
                <w:szCs w:val="16"/>
                <w:color w:val="auto"/>
              </w:rPr>
            </w:pPr>
          </w:p>
        </w:tc>
        <w:tc>
          <w:tcPr>
            <w:tcW w:w="2000" w:type="dxa"/>
            <w:vAlign w:val="bottom"/>
            <w:gridSpan w:val="2"/>
          </w:tcPr>
          <w:p>
            <w:pPr>
              <w:ind w:left="540"/>
              <w:spacing w:after="0" w:line="191" w:lineRule="exact"/>
              <w:rPr>
                <w:sz w:val="20"/>
                <w:szCs w:val="20"/>
                <w:color w:val="auto"/>
              </w:rPr>
            </w:pPr>
            <w:r>
              <w:rPr>
                <w:rFonts w:ascii="Arial" w:cs="Arial" w:eastAsia="Arial" w:hAnsi="Arial"/>
                <w:sz w:val="18"/>
                <w:szCs w:val="18"/>
                <w:b w:val="1"/>
                <w:bCs w:val="1"/>
                <w:color w:val="auto"/>
              </w:rPr>
              <w:t>September 29,</w:t>
            </w:r>
          </w:p>
        </w:tc>
        <w:tc>
          <w:tcPr>
            <w:tcW w:w="146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September 30,</w:t>
            </w:r>
          </w:p>
        </w:tc>
      </w:tr>
      <w:tr>
        <w:trPr>
          <w:trHeight w:val="234"/>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Working capital</w:t>
            </w:r>
          </w:p>
        </w:tc>
        <w:tc>
          <w:tcPr>
            <w:tcW w:w="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260.0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Reconciling items:</w:t>
            </w: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(217.6)</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74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(219.4)</w:t>
            </w:r>
          </w:p>
        </w:tc>
        <w:tc>
          <w:tcPr>
            <w:tcW w:w="5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(239.4)</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74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571.7</w:t>
            </w:r>
          </w:p>
        </w:tc>
        <w:tc>
          <w:tcPr>
            <w:tcW w:w="5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383.0</w:t>
            </w:r>
          </w:p>
        </w:tc>
      </w:tr>
      <w:tr>
        <w:trPr>
          <w:trHeight w:val="216"/>
        </w:trPr>
        <w:tc>
          <w:tcPr>
            <w:tcW w:w="7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Accrued payroll and employee benefits and other current liabilities</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738.5</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691.1</w:t>
            </w:r>
          </w:p>
        </w:tc>
      </w:tr>
      <w:tr>
        <w:trPr>
          <w:trHeight w:val="210"/>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Operational working capital</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870.2</w:t>
            </w: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855.6</w:t>
            </w:r>
          </w:p>
        </w:tc>
      </w:tr>
      <w:tr>
        <w:trPr>
          <w:trHeight w:val="210"/>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Annualized net sales (year-to-date sales, divided by three and multiplied by four)</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7,187.1</w:t>
            </w:r>
          </w:p>
        </w:tc>
        <w:tc>
          <w:tcPr>
            <w:tcW w:w="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6,504.7</w:t>
            </w:r>
          </w:p>
        </w:tc>
      </w:tr>
      <w:tr>
        <w:trPr>
          <w:trHeight w:val="217"/>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as a percentage of annualized net sales: (A) ÷ (C)</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Operational working capital, as a percentage of annualized net sales: (B) ÷ (C)</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Ratio</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average number of days sales outstanding was 63 days in the first nine months of 2018 compared to 64 days in the first nine months of 2017, calculated using the three-quarter average trade accounts receivable balance divided by the average daily sales for the first nine months. The decrease in the average number of days outstanding from prior year primarily reflected the impact of foreign currency translation and the timing of collections.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Ratio</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Average inventory turnover was 7.8 in both the first nine months of 2018 and 2017, calculated using the annualized cost of sales (year-to-date cost of sales, divided by three and multiplied by four) divided by the three-quarter average inventory 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payable outstanding was 73 days in the first nine months of 2018 compared to 72 days in the first nine months of 2017, calculated using the three-quarter average accounts payable balance divided by the average daily cost of products sold for the first nine months. The increase in the average number of days payable outstanding from the prior year primarily reflected the timing of vendor payments, partially offset by the impact of acquisitions completed in 2017 and foreign currency translation.</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resources include cash flows from operations, cash and cash equivalents and debt financing. At September 29, 2018, we had cash and cash equivalents of $217.6 million held in accounts at third-party financial institutions.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balances are held in numerous locations throughout the world. At September 29, 2018, the majority of our cash and cash equivalents was held by our foreign subsidiaries.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U.S. cash requirements, we have several cost-effective liquidity options available. These options include borrowing funds at reasonable rates, including borrowings from foreign subsidiaries, and repatriating foreign earnings and profits. However, if we were to repatriate incremental foreign earnings and profits, we may be subject to withholding taxes imposed by foreign tax authorities and additional U.S. taxes due to the impact of foreign currency movements related to these earnings and profits.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2017, we amended and restated our revolving credit facility (the “Revolver”), increasing the amount available from certain domestic and foreign banks from $700 million to $800 million. The amendment also extended the Revolver’s maturity date to November 8, 2022. The maturity date may be extended for additional one-year periods under certain circumstances. The commitments under the Revolver may be increased by up to $300 million, subject to lender approval and customary requirements. The Revolver is used as a back-up facility for our commercial paper program and can be used for other corporate purposes. The Revolver contains financial covenants requiring that we maintain specified ratios of total debt and interest expense in relation to certain measures of income. As of September 29, 2018 and December 30, 2017, we were in compliance with our financial covenants.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March 2017, we issued €500 million of senior notes, due March 2025. The senior notes bear an interest rate of 1.25% per year, payable annually in arrears.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“Debt,” to the unaudited Condensed Consolidated Financial Statements for more information.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financial market risk resulting from changes in interest and foreign currency rates, and to possible liquidity and credit risks of our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from Debt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 of our total debt increased by approximately $285 million in the first nine months of 2018 to $1.87 billion, primarily reflecting a net increase in commercial paper borrowings to support operational needs and to fund our $200 million contribution to the ADPP.</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could impact our ability to access the commercial paper markets. If our access to commercial paper markets were to become limited, we expect that the Revolver and our other credit facilities would be available to meet our short-term funding requirements.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Contractual Obligations, and Other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Note 13, “Commitments and Contingencies,” to the unaudited Condensed Consolidated Financial Statements. Except as indicated therein, we have no material off-balance sheet arrangements as described in Item 303 (a)(4)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“General,” and Note 16,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information provided in Part II, Item 7A of our Annual Report on Form 10-K for the fiscal year ended December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periodically assess our internal control environment. We are in the process of investing in information technology to upgrade the systems in our Retail Branding and Information Solutions and Label and Graphic Materials reportable segments. Processes affected by these implementations include, among other things, order management, pricing, shipping, purchasing, general accounting and planning. Where appropriate, we are reviewing related internal controls and making changes. Other than these implementations, there have been no changes in our internal control over financial reporting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Refer to “Legal Proceedings” in Note 13, “Commitments and Contingencies,” to the unaudited Condensed Consolidated Financial Statements in Part 1,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to the risk factors included in Part I, Item 1A, of our Annual Report on Form 10-K for the fiscal year ended December 30, 2017 that have not been disclosed in our periodic filings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Repurchases of Equity Securities by Issuer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Repurchases by us or our “affiliated purchasers” (as defined in Rule 10b-18(a)(3) of the Exchange Act) of registered equity securities in the three fiscal months of the third quarter of 2018 are listed in the table below. Repurchased shares may be reissued under our long-term incentive plan or used for other corporate purposes.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20" w:type="dxa"/>
            <w:vAlign w:val="bottom"/>
          </w:tcPr>
          <w:p>
            <w:pPr>
              <w:jc w:val="right"/>
              <w:ind w:right="215"/>
              <w:spacing w:after="0"/>
              <w:rPr>
                <w:sz w:val="20"/>
                <w:szCs w:val="20"/>
                <w:color w:val="auto"/>
              </w:rPr>
            </w:pPr>
            <w:r>
              <w:rPr>
                <w:rFonts w:ascii="Arial" w:cs="Arial" w:eastAsia="Arial" w:hAnsi="Arial"/>
                <w:sz w:val="18"/>
                <w:szCs w:val="18"/>
                <w:b w:val="1"/>
                <w:bCs w:val="1"/>
                <w:color w:val="auto"/>
              </w:rPr>
              <w:t>Total number of shares</w:t>
            </w:r>
          </w:p>
        </w:tc>
        <w:tc>
          <w:tcPr>
            <w:tcW w:w="2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344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number</w:t>
            </w:r>
          </w:p>
        </w:tc>
        <w:tc>
          <w:tcPr>
            <w:tcW w:w="3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2320" w:type="dxa"/>
            <w:vAlign w:val="bottom"/>
          </w:tcPr>
          <w:p>
            <w:pPr>
              <w:jc w:val="right"/>
              <w:ind w:right="215"/>
              <w:spacing w:after="0"/>
              <w:rPr>
                <w:sz w:val="20"/>
                <w:szCs w:val="20"/>
                <w:color w:val="auto"/>
              </w:rPr>
            </w:pPr>
            <w:r>
              <w:rPr>
                <w:rFonts w:ascii="Arial" w:cs="Arial" w:eastAsia="Arial" w:hAnsi="Arial"/>
                <w:sz w:val="18"/>
                <w:szCs w:val="18"/>
                <w:b w:val="1"/>
                <w:bCs w:val="1"/>
                <w:color w:val="auto"/>
              </w:rPr>
              <w:t>purchased as part of</w:t>
            </w:r>
          </w:p>
        </w:tc>
        <w:tc>
          <w:tcPr>
            <w:tcW w:w="2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value of shares that may</w:t>
            </w:r>
          </w:p>
        </w:tc>
      </w:tr>
      <w:tr>
        <w:trPr>
          <w:trHeight w:val="216"/>
        </w:trPr>
        <w:tc>
          <w:tcPr>
            <w:tcW w:w="344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Arial" w:cs="Arial" w:eastAsia="Arial" w:hAnsi="Arial"/>
                <w:sz w:val="18"/>
                <w:szCs w:val="18"/>
                <w:b w:val="1"/>
                <w:bCs w:val="1"/>
                <w:color w:val="auto"/>
              </w:rPr>
              <w:t>of shares</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price paid</w:t>
            </w:r>
          </w:p>
        </w:tc>
        <w:tc>
          <w:tcPr>
            <w:tcW w:w="2320" w:type="dxa"/>
            <w:vAlign w:val="bottom"/>
          </w:tcPr>
          <w:p>
            <w:pPr>
              <w:jc w:val="right"/>
              <w:ind w:right="215"/>
              <w:spacing w:after="0"/>
              <w:rPr>
                <w:sz w:val="20"/>
                <w:szCs w:val="20"/>
                <w:color w:val="auto"/>
              </w:rPr>
            </w:pPr>
            <w:r>
              <w:rPr>
                <w:rFonts w:ascii="Arial" w:cs="Arial" w:eastAsia="Arial" w:hAnsi="Arial"/>
                <w:sz w:val="18"/>
                <w:szCs w:val="18"/>
                <w:b w:val="1"/>
                <w:bCs w:val="1"/>
                <w:color w:val="auto"/>
              </w:rPr>
              <w:t>publicly announced</w:t>
            </w:r>
          </w:p>
        </w:tc>
        <w:tc>
          <w:tcPr>
            <w:tcW w:w="2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yet be purchased under</w:t>
            </w:r>
          </w:p>
        </w:tc>
      </w:tr>
      <w:tr>
        <w:trPr>
          <w:trHeight w:val="234"/>
        </w:trPr>
        <w:tc>
          <w:tcPr>
            <w:tcW w:w="34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3"/>
                <w:szCs w:val="23"/>
                <w:color w:val="auto"/>
                <w:vertAlign w:val="superscript"/>
              </w:rPr>
              <w:t>(1)</w:t>
            </w:r>
          </w:p>
        </w:tc>
        <w:tc>
          <w:tcPr>
            <w:tcW w:w="1940" w:type="dxa"/>
            <w:vAlign w:val="bottom"/>
            <w:tcBorders>
              <w:bottom w:val="single" w:sz="8" w:color="auto"/>
            </w:tcBorders>
          </w:tcPr>
          <w:p>
            <w:pPr>
              <w:jc w:val="right"/>
              <w:ind w:right="210"/>
              <w:spacing w:after="0" w:line="234"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8"/>
              </w:rPr>
              <w:t>per share</w:t>
            </w:r>
          </w:p>
        </w:tc>
        <w:tc>
          <w:tcPr>
            <w:tcW w:w="2320" w:type="dxa"/>
            <w:vAlign w:val="bottom"/>
            <w:tcBorders>
              <w:bottom w:val="single" w:sz="8" w:color="auto"/>
            </w:tcBorders>
          </w:tcPr>
          <w:p>
            <w:pPr>
              <w:jc w:val="right"/>
              <w:ind w:right="215"/>
              <w:spacing w:after="0" w:line="235" w:lineRule="exact"/>
              <w:rPr>
                <w:sz w:val="20"/>
                <w:szCs w:val="20"/>
                <w:color w:val="auto"/>
              </w:rPr>
            </w:pPr>
            <w:r>
              <w:rPr>
                <w:rFonts w:ascii="Arial" w:cs="Arial" w:eastAsia="Arial" w:hAnsi="Arial"/>
                <w:sz w:val="27"/>
                <w:szCs w:val="27"/>
                <w:b w:val="1"/>
                <w:bCs w:val="1"/>
                <w:color w:val="auto"/>
                <w:vertAlign w:val="subscript"/>
              </w:rPr>
              <w:t>plans</w:t>
            </w:r>
            <w:r>
              <w:rPr>
                <w:rFonts w:ascii="Arial" w:cs="Arial" w:eastAsia="Arial" w:hAnsi="Arial"/>
                <w:sz w:val="10"/>
                <w:szCs w:val="10"/>
                <w:color w:val="auto"/>
              </w:rPr>
              <w:t>(2)(3)</w:t>
            </w:r>
          </w:p>
        </w:tc>
        <w:tc>
          <w:tcPr>
            <w:tcW w:w="10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line="234" w:lineRule="exact"/>
              <w:rPr>
                <w:sz w:val="20"/>
                <w:szCs w:val="20"/>
                <w:color w:val="auto"/>
              </w:rPr>
            </w:pPr>
            <w:r>
              <w:rPr>
                <w:rFonts w:ascii="Arial" w:cs="Arial" w:eastAsia="Arial" w:hAnsi="Arial"/>
                <w:sz w:val="18"/>
                <w:szCs w:val="18"/>
                <w:b w:val="1"/>
                <w:bCs w:val="1"/>
                <w:color w:val="auto"/>
              </w:rPr>
              <w:t>the plans</w:t>
            </w:r>
            <w:r>
              <w:rPr>
                <w:rFonts w:ascii="Arial" w:cs="Arial" w:eastAsia="Arial" w:hAnsi="Arial"/>
                <w:sz w:val="23"/>
                <w:szCs w:val="23"/>
                <w:color w:val="auto"/>
                <w:vertAlign w:val="superscript"/>
              </w:rPr>
              <w:t>(4)</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July 1, 2018 – July 28, 2018</w:t>
            </w: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226.5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103.03</w:t>
            </w:r>
          </w:p>
        </w:tc>
        <w:tc>
          <w:tcPr>
            <w:tcW w:w="23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226.5</w:t>
            </w:r>
          </w:p>
        </w:tc>
        <w:tc>
          <w:tcPr>
            <w:tcW w:w="1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July 29, 2018 – August 25, 2018</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179.3</w:t>
            </w:r>
          </w:p>
        </w:tc>
        <w:tc>
          <w:tcPr>
            <w:tcW w:w="3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110.16</w:t>
            </w:r>
          </w:p>
        </w:tc>
        <w:tc>
          <w:tcPr>
            <w:tcW w:w="2320" w:type="dxa"/>
            <w:vAlign w:val="bottom"/>
          </w:tcPr>
          <w:p>
            <w:pPr>
              <w:jc w:val="right"/>
              <w:ind w:right="215"/>
              <w:spacing w:after="0"/>
              <w:rPr>
                <w:sz w:val="20"/>
                <w:szCs w:val="20"/>
                <w:color w:val="auto"/>
              </w:rPr>
            </w:pPr>
            <w:r>
              <w:rPr>
                <w:rFonts w:ascii="Arial" w:cs="Arial" w:eastAsia="Arial" w:hAnsi="Arial"/>
                <w:sz w:val="18"/>
                <w:szCs w:val="18"/>
                <w:color w:val="auto"/>
              </w:rPr>
              <w:t>179.3</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26, 2018 – September 29, 2018</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270.5</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107.51</w:t>
            </w:r>
          </w:p>
        </w:tc>
        <w:tc>
          <w:tcPr>
            <w:tcW w:w="23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270.5</w:t>
            </w:r>
          </w:p>
        </w:tc>
        <w:tc>
          <w:tcPr>
            <w:tcW w:w="10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676.3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106.71</w:t>
            </w:r>
          </w:p>
        </w:tc>
        <w:tc>
          <w:tcPr>
            <w:tcW w:w="2320" w:type="dxa"/>
            <w:vAlign w:val="bottom"/>
          </w:tcPr>
          <w:p>
            <w:pPr>
              <w:jc w:val="right"/>
              <w:ind w:right="215"/>
              <w:spacing w:after="0"/>
              <w:rPr>
                <w:sz w:val="20"/>
                <w:szCs w:val="20"/>
                <w:color w:val="auto"/>
              </w:rPr>
            </w:pPr>
            <w:r>
              <w:rPr>
                <w:rFonts w:ascii="Arial" w:cs="Arial" w:eastAsia="Arial" w:hAnsi="Arial"/>
                <w:sz w:val="18"/>
                <w:szCs w:val="18"/>
                <w:color w:val="auto"/>
              </w:rPr>
              <w:t>676.3</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450.2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periods shown are our fiscal periods during the thirteen-week quarter ended September 29, 2018.</w:t>
      </w:r>
    </w:p>
    <w:p>
      <w:pPr>
        <w:spacing w:after="0" w:line="201"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Shares in thousands.</w:t>
      </w:r>
    </w:p>
    <w:p>
      <w:pPr>
        <w:spacing w:after="0" w:line="1" w:lineRule="exact"/>
        <w:rPr>
          <w:sz w:val="20"/>
          <w:szCs w:val="20"/>
          <w:color w:val="auto"/>
        </w:rPr>
      </w:pPr>
    </w:p>
    <w:p>
      <w:pPr>
        <w:jc w:val="both"/>
        <w:ind w:left="180" w:hanging="161"/>
        <w:spacing w:after="0" w:line="237"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In April 2017, our Board authorized the repurchase of additional shares of our common stock with a fair market value of up to $650 million, exclusive of any fees, commissions or other expenses related to such purchases. The Board authorization will remain in effect until shares in the amount authorized thereunder have been repurchased.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Dollars in millions.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w w:val="97"/>
              </w:rPr>
              <w:t>Avery Dennison Corporation</w:t>
            </w: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92"/>
        </w:trPr>
        <w:tc>
          <w:tcPr>
            <w:tcW w:w="200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2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Executive Officer pursuant to Section 302 of the Sarbanes-Oxley Act of 2002</w:t>
              </w:r>
            </w:hyperlink>
          </w:p>
        </w:tc>
        <w:tc>
          <w:tcPr>
            <w:tcW w:w="2260" w:type="dxa"/>
            <w:vAlign w:val="bottom"/>
          </w:tcPr>
          <w:p>
            <w:pPr>
              <w:spacing w:after="0"/>
              <w:rPr>
                <w:sz w:val="24"/>
                <w:szCs w:val="24"/>
                <w:color w:val="auto"/>
              </w:rPr>
            </w:pPr>
          </w:p>
        </w:tc>
      </w:tr>
      <w:tr>
        <w:trPr>
          <w:trHeight w:val="196"/>
        </w:trPr>
        <w:tc>
          <w:tcPr>
            <w:tcW w:w="2000" w:type="dxa"/>
            <w:vAlign w:val="bottom"/>
            <w:gridSpan w:val="2"/>
          </w:tcPr>
          <w:p>
            <w:pPr>
              <w:spacing w:after="0" w:line="196" w:lineRule="exact"/>
              <w:rPr>
                <w:sz w:val="20"/>
                <w:szCs w:val="20"/>
                <w:color w:val="auto"/>
              </w:rPr>
            </w:pPr>
            <w:r>
              <w:rPr>
                <w:rFonts w:ascii="Arial" w:cs="Arial" w:eastAsia="Arial" w:hAnsi="Arial"/>
                <w:sz w:val="18"/>
                <w:szCs w:val="18"/>
                <w:color w:val="auto"/>
              </w:rPr>
              <w:t>Exhibit 31.2*</w:t>
            </w:r>
          </w:p>
        </w:tc>
        <w:tc>
          <w:tcPr>
            <w:tcW w:w="71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of Chief Financial Officer pursuant to Section 302 of the Sarbanes-Oxley Act of 2002</w:t>
              </w:r>
            </w:hyperlink>
          </w:p>
        </w:tc>
        <w:tc>
          <w:tcPr>
            <w:tcW w:w="2300" w:type="dxa"/>
            <w:vAlign w:val="bottom"/>
            <w:gridSpan w:val="2"/>
          </w:tcPr>
          <w:p>
            <w:pPr>
              <w:spacing w:after="0"/>
              <w:rPr>
                <w:sz w:val="17"/>
                <w:szCs w:val="17"/>
                <w:color w:val="auto"/>
              </w:rPr>
            </w:pPr>
          </w:p>
        </w:tc>
      </w:tr>
      <w:tr>
        <w:trPr>
          <w:trHeight w:val="196"/>
        </w:trPr>
        <w:tc>
          <w:tcPr>
            <w:tcW w:w="2000" w:type="dxa"/>
            <w:vAlign w:val="bottom"/>
            <w:gridSpan w:val="2"/>
          </w:tcPr>
          <w:p>
            <w:pPr>
              <w:spacing w:after="0" w:line="196" w:lineRule="exact"/>
              <w:rPr>
                <w:sz w:val="20"/>
                <w:szCs w:val="20"/>
                <w:color w:val="auto"/>
              </w:rPr>
            </w:pPr>
            <w:r>
              <w:rPr>
                <w:rFonts w:ascii="Arial" w:cs="Arial" w:eastAsia="Arial" w:hAnsi="Arial"/>
                <w:sz w:val="18"/>
                <w:szCs w:val="18"/>
                <w:color w:val="auto"/>
              </w:rPr>
              <w:t>Exhibit 32.1**</w:t>
            </w:r>
          </w:p>
        </w:tc>
        <w:tc>
          <w:tcPr>
            <w:tcW w:w="72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Chief Executive Officer pursuant to Section 906 of the Sarbanes-Oxley Act of 2002</w:t>
              </w:r>
            </w:hyperlink>
          </w:p>
        </w:tc>
        <w:tc>
          <w:tcPr>
            <w:tcW w:w="2260" w:type="dxa"/>
            <w:vAlign w:val="bottom"/>
          </w:tcPr>
          <w:p>
            <w:pPr>
              <w:spacing w:after="0"/>
              <w:rPr>
                <w:sz w:val="17"/>
                <w:szCs w:val="17"/>
                <w:color w:val="auto"/>
              </w:rPr>
            </w:pPr>
          </w:p>
        </w:tc>
      </w:tr>
      <w:tr>
        <w:trPr>
          <w:trHeight w:val="196"/>
        </w:trPr>
        <w:tc>
          <w:tcPr>
            <w:tcW w:w="2000" w:type="dxa"/>
            <w:vAlign w:val="bottom"/>
            <w:gridSpan w:val="2"/>
          </w:tcPr>
          <w:p>
            <w:pPr>
              <w:spacing w:after="0" w:line="196" w:lineRule="exact"/>
              <w:rPr>
                <w:sz w:val="20"/>
                <w:szCs w:val="20"/>
                <w:color w:val="auto"/>
              </w:rPr>
            </w:pPr>
            <w:r>
              <w:rPr>
                <w:rFonts w:ascii="Arial" w:cs="Arial" w:eastAsia="Arial" w:hAnsi="Arial"/>
                <w:sz w:val="18"/>
                <w:szCs w:val="18"/>
                <w:color w:val="auto"/>
              </w:rPr>
              <w:t>Exhibit 32.2**</w:t>
            </w:r>
          </w:p>
        </w:tc>
        <w:tc>
          <w:tcPr>
            <w:tcW w:w="9460" w:type="dxa"/>
            <w:vAlign w:val="bottom"/>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Certification of Chief Financial Officer pursuant to Section 906 of the Sarbanes-Oxley Act of 2002</w:t>
              </w:r>
            </w:hyperlink>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7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320" w:type="dxa"/>
            <w:vAlign w:val="bottom"/>
            <w:gridSpan w:val="3"/>
          </w:tcPr>
          <w:p>
            <w:pPr>
              <w:spacing w:after="0"/>
              <w:rPr>
                <w:sz w:val="19"/>
                <w:szCs w:val="19"/>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Schema Document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Calculation Linkbase Document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Label Linkbase Document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Presentation Linkbase Document</w:t>
            </w: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9460" w:type="dxa"/>
            <w:vAlign w:val="bottom"/>
            <w:gridSpan w:val="4"/>
          </w:tcPr>
          <w:p>
            <w:pPr>
              <w:spacing w:after="0"/>
              <w:rPr>
                <w:sz w:val="20"/>
                <w:szCs w:val="20"/>
                <w:color w:val="auto"/>
              </w:rPr>
            </w:pPr>
            <w:r>
              <w:rPr>
                <w:rFonts w:ascii="Arial" w:cs="Arial" w:eastAsia="Arial" w:hAnsi="Arial"/>
                <w:sz w:val="18"/>
                <w:szCs w:val="18"/>
                <w:color w:val="auto"/>
              </w:rPr>
              <w:t>XBRL Extension Definition Linkbase Document</w:t>
            </w:r>
          </w:p>
        </w:tc>
      </w:tr>
      <w:tr>
        <w:trPr>
          <w:trHeight w:val="418"/>
        </w:trPr>
        <w:tc>
          <w:tcPr>
            <w:tcW w:w="20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 Furnished herewith.</w:t>
            </w:r>
          </w:p>
        </w:tc>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60" w:type="dxa"/>
            <w:vAlign w:val="bottom"/>
            <w:gridSpan w:val="4"/>
          </w:tcPr>
          <w:p>
            <w:pPr>
              <w:jc w:val="right"/>
              <w:spacing w:after="0"/>
              <w:rPr>
                <w:sz w:val="20"/>
                <w:szCs w:val="20"/>
                <w:color w:val="auto"/>
              </w:rPr>
            </w:pPr>
            <w:r>
              <w:rPr>
                <w:rFonts w:ascii="Arial" w:cs="Arial" w:eastAsia="Arial" w:hAnsi="Arial"/>
                <w:sz w:val="18"/>
                <w:szCs w:val="18"/>
                <w:color w:val="auto"/>
              </w:rPr>
              <w:t>39</w:t>
            </w:r>
          </w:p>
        </w:tc>
      </w:tr>
      <w:tr>
        <w:trPr>
          <w:trHeight w:val="132"/>
        </w:trPr>
        <w:tc>
          <w:tcPr>
            <w:tcW w:w="1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AVERY DENNISON CORPORATION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Gregory S. Lovins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Lori J. Bondar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Vice President, Controller, and Chief Accounting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October 30, 2018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Mitchell R. Butier, certify that:</w:t>
      </w:r>
    </w:p>
    <w:p>
      <w:pPr>
        <w:spacing w:after="0" w:line="22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hanging="252"/>
        <w:spacing w:after="0" w:line="342" w:lineRule="auto"/>
        <w:tabs>
          <w:tab w:leader="none" w:pos="42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4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4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0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49"/>
        <w:spacing w:after="0" w:line="277" w:lineRule="auto"/>
        <w:tabs>
          <w:tab w:leader="none" w:pos="518"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6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8" w:lineRule="auto"/>
        <w:tabs>
          <w:tab w:leader="none" w:pos="35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49"/>
        <w:spacing w:after="0" w:line="277" w:lineRule="auto"/>
        <w:tabs>
          <w:tab w:leader="none" w:pos="49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80"/>
        <w:spacing w:after="0"/>
        <w:tabs>
          <w:tab w:leader="none" w:pos="616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Lovins, certify that:</w:t>
      </w:r>
    </w:p>
    <w:p>
      <w:pPr>
        <w:spacing w:after="0" w:line="22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hanging="252"/>
        <w:spacing w:after="0" w:line="342" w:lineRule="auto"/>
        <w:tabs>
          <w:tab w:leader="none" w:pos="4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4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49"/>
        <w:spacing w:after="0" w:line="277" w:lineRule="auto"/>
        <w:tabs>
          <w:tab w:leader="none" w:pos="5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6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8" w:lineRule="auto"/>
        <w:tabs>
          <w:tab w:leader="none" w:pos="3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49"/>
        <w:spacing w:after="0" w:line="277" w:lineRule="auto"/>
        <w:tabs>
          <w:tab w:leader="none" w:pos="4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5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80"/>
        <w:spacing w:after="0"/>
        <w:tabs>
          <w:tab w:leader="none" w:pos="6160" w:val="left"/>
        </w:tabs>
        <w:rPr>
          <w:sz w:val="20"/>
          <w:szCs w:val="20"/>
          <w:color w:val="auto"/>
        </w:rPr>
      </w:pPr>
      <w:r>
        <w:rPr>
          <w:rFonts w:ascii="Arial" w:cs="Arial" w:eastAsia="Arial" w:hAnsi="Arial"/>
          <w:sz w:val="18"/>
          <w:szCs w:val="18"/>
          <w:color w:val="auto"/>
        </w:rPr>
        <w:t>/s/</w:t>
        <w:tab/>
        <w:t>Gregory S. Lovins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6" w:lineRule="exact"/>
        <w:rPr>
          <w:sz w:val="20"/>
          <w:szCs w:val="20"/>
          <w:color w:val="auto"/>
        </w:rPr>
      </w:pPr>
    </w:p>
    <w:p>
      <w:pPr>
        <w:ind w:left="1060" w:hanging="485"/>
        <w:spacing w:after="0" w:line="268" w:lineRule="auto"/>
        <w:tabs>
          <w:tab w:leader="none" w:pos="11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29, 2018 (the “Report”) fully complies with the requirements of Section 13(a) or Section 15(d), as applicable, of the Securities Exchange Act of 1934, as amended; and</w:t>
      </w:r>
    </w:p>
    <w:p>
      <w:pPr>
        <w:spacing w:after="0" w:line="185" w:lineRule="exact"/>
        <w:rPr>
          <w:rFonts w:ascii="Arial" w:cs="Arial" w:eastAsia="Arial" w:hAnsi="Arial"/>
          <w:sz w:val="18"/>
          <w:szCs w:val="18"/>
          <w:color w:val="auto"/>
        </w:rPr>
      </w:pPr>
    </w:p>
    <w:p>
      <w:pPr>
        <w:ind w:left="1020" w:hanging="445"/>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2018</w:t>
      </w:r>
    </w:p>
    <w:p>
      <w:pPr>
        <w:spacing w:after="0" w:line="225" w:lineRule="exact"/>
        <w:rPr>
          <w:sz w:val="20"/>
          <w:szCs w:val="20"/>
          <w:color w:val="auto"/>
        </w:rPr>
      </w:pPr>
    </w:p>
    <w:p>
      <w:pPr>
        <w:ind w:left="5780"/>
        <w:spacing w:after="0"/>
        <w:tabs>
          <w:tab w:leader="none" w:pos="614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1060" w:hanging="485"/>
        <w:spacing w:after="0" w:line="308" w:lineRule="auto"/>
        <w:tabs>
          <w:tab w:leader="none" w:pos="12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September 29, 2018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1060" w:hanging="485"/>
        <w:spacing w:after="0" w:line="277" w:lineRule="auto"/>
        <w:tabs>
          <w:tab w:leader="none" w:pos="1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2018</w:t>
      </w:r>
    </w:p>
    <w:p>
      <w:pPr>
        <w:spacing w:after="0" w:line="225" w:lineRule="exact"/>
        <w:rPr>
          <w:sz w:val="20"/>
          <w:szCs w:val="20"/>
          <w:color w:val="auto"/>
        </w:rPr>
      </w:pPr>
    </w:p>
    <w:p>
      <w:pPr>
        <w:ind w:left="5780"/>
        <w:spacing w:after="0"/>
        <w:tabs>
          <w:tab w:leader="none" w:pos="6140" w:val="left"/>
        </w:tabs>
        <w:rPr>
          <w:sz w:val="20"/>
          <w:szCs w:val="20"/>
          <w:color w:val="auto"/>
        </w:rPr>
      </w:pPr>
      <w:r>
        <w:rPr>
          <w:rFonts w:ascii="Arial" w:cs="Arial" w:eastAsia="Arial" w:hAnsi="Arial"/>
          <w:sz w:val="18"/>
          <w:szCs w:val="18"/>
          <w:color w:val="auto"/>
        </w:rPr>
        <w:t>/s/</w:t>
        <w:tab/>
        <w:t>Gregory S. Lovins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2019-12-28T19:01:07Z</dcterms:created>
  <dcterms:modified xsi:type="dcterms:W3CDTF">2019-12-28T19:01:07Z</dcterms:modified>
</cp:coreProperties>
</file>