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85"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64"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1"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1" w:after="283"/>
        <w:jc w:val="left"/>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SD</w:t>
      </w:r>
    </w:p>
    <w:p>
      <w:pPr>
        <w:pStyle w:val="TextBody"/>
        <w:bidi w:val="0"/>
        <w:spacing w:lineRule="auto" w:line="240" w:before="222" w:after="283"/>
        <w:jc w:val="center"/>
        <w:rPr>
          <w:rFonts w:ascii="Times New Roman;serif" w:hAnsi="Times New Roman;serif"/>
          <w:b/>
          <w:color w:val="000000"/>
          <w:sz w:val="24"/>
        </w:rPr>
      </w:pPr>
      <w:r>
        <w:rPr>
          <w:rFonts w:ascii="Times New Roman;serif" w:hAnsi="Times New Roman;serif"/>
          <w:b/>
          <w:color w:val="000000"/>
          <w:sz w:val="24"/>
        </w:rPr>
        <w:t>Specialized Disclosure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3" w:before="198" w:after="283"/>
        <w:jc w:val="center"/>
        <w:rPr>
          <w:rFonts w:ascii="Times New Roman;serif" w:hAnsi="Times New Roman;serif"/>
          <w:b/>
          <w:color w:val="000000"/>
          <w:sz w:val="36"/>
        </w:rPr>
      </w:pPr>
      <w:r>
        <w:rPr>
          <w:rFonts w:ascii="Times New Roman;serif" w:hAnsi="Times New Roman;serif"/>
          <w:b/>
          <w:color w:val="000000"/>
          <w:sz w:val="36"/>
        </w:rPr>
        <w:t>AVERY DENNISON CORPORATION</w:t>
      </w:r>
    </w:p>
    <w:p>
      <w:pPr>
        <w:pStyle w:val="TextBody"/>
        <w:bidi w:val="0"/>
        <w:spacing w:lineRule="auto" w:line="271"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 w:after="1"/>
        <w:jc w:val="left"/>
        <w:rPr/>
      </w:pPr>
      <w:r>
        <w:rPr/>
      </w:r>
    </w:p>
    <w:tbl>
      <w:tblPr>
        <w:tblW w:w="10154" w:type="dxa"/>
        <w:jc w:val="left"/>
        <w:tblInd w:w="0" w:type="dxa"/>
        <w:tblLayout w:type="fixed"/>
        <w:tblCellMar>
          <w:top w:w="28" w:type="dxa"/>
          <w:left w:w="28" w:type="dxa"/>
          <w:bottom w:w="28" w:type="dxa"/>
          <w:right w:w="28" w:type="dxa"/>
        </w:tblCellMar>
      </w:tblPr>
      <w:tblGrid>
        <w:gridCol w:w="1795"/>
        <w:gridCol w:w="1577"/>
        <w:gridCol w:w="1593"/>
        <w:gridCol w:w="762"/>
        <w:gridCol w:w="762"/>
        <w:gridCol w:w="770"/>
        <w:gridCol w:w="845"/>
        <w:gridCol w:w="845"/>
        <w:gridCol w:w="1205"/>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35"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35" w:before="0" w:after="0"/>
              <w:jc w:val="center"/>
              <w:rPr>
                <w:rFonts w:ascii="Times New Roman;serif" w:hAnsi="Times New Roman;serif"/>
                <w:b/>
                <w:color w:val="000000"/>
                <w:sz w:val="20"/>
              </w:rPr>
            </w:pPr>
            <w:r>
              <w:rPr>
                <w:rFonts w:ascii="Times New Roman;serif" w:hAnsi="Times New Roman;serif"/>
                <w:b/>
                <w:color w:val="000000"/>
                <w:sz w:val="20"/>
              </w:rPr>
              <w:t>1-7685</w:t>
            </w:r>
          </w:p>
        </w:tc>
        <w:tc>
          <w:tcPr>
            <w:tcW w:w="2895" w:type="dxa"/>
            <w:gridSpan w:val="3"/>
            <w:tcBorders/>
            <w:tcMar>
              <w:top w:w="0" w:type="dxa"/>
              <w:left w:w="0" w:type="dxa"/>
              <w:bottom w:w="0" w:type="dxa"/>
              <w:right w:w="0" w:type="dxa"/>
            </w:tcMar>
            <w:vAlign w:val="center"/>
          </w:tcPr>
          <w:p>
            <w:pPr>
              <w:pStyle w:val="TableContents"/>
              <w:bidi w:val="0"/>
              <w:spacing w:lineRule="auto" w:line="235" w:before="0" w:after="0"/>
              <w:jc w:val="center"/>
              <w:rPr>
                <w:rFonts w:ascii="Times New Roman;serif" w:hAnsi="Times New Roman;serif"/>
                <w:b/>
                <w:color w:val="000000"/>
                <w:sz w:val="20"/>
              </w:rPr>
            </w:pPr>
            <w:r>
              <w:rPr>
                <w:rFonts w:ascii="Times New Roman;serif" w:hAnsi="Times New Roman;serif"/>
                <w:b/>
                <w:color w:val="000000"/>
                <w:sz w:val="20"/>
              </w:rPr>
              <w:t>95-1492269</w:t>
            </w:r>
          </w:p>
        </w:tc>
      </w:tr>
      <w:tr>
        <w:trPr/>
        <w:tc>
          <w:tcPr>
            <w:tcW w:w="4965" w:type="dxa"/>
            <w:gridSpan w:val="3"/>
            <w:tcBorders/>
            <w:tcMar>
              <w:top w:w="0" w:type="dxa"/>
              <w:left w:w="0" w:type="dxa"/>
              <w:bottom w:w="0" w:type="dxa"/>
              <w:right w:w="0" w:type="dxa"/>
            </w:tcMar>
            <w:vAlign w:val="center"/>
          </w:tcPr>
          <w:p>
            <w:pPr>
              <w:pStyle w:val="TableContents"/>
              <w:bidi w:val="0"/>
              <w:spacing w:lineRule="auto" w:line="237"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37"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37"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37" w:before="0" w:after="283"/>
              <w:jc w:val="center"/>
              <w:rPr>
                <w:rFonts w:ascii="Times New Roman;serif" w:hAnsi="Times New Roman;serif"/>
                <w:b/>
                <w:color w:val="000000"/>
                <w:sz w:val="20"/>
              </w:rPr>
            </w:pPr>
            <w:r>
              <w:rPr>
                <w:rFonts w:ascii="Times New Roman;serif" w:hAnsi="Times New Roman;serif"/>
                <w:b/>
                <w:color w:val="000000"/>
                <w:sz w:val="20"/>
              </w:rPr>
              <w:t>8080 Norton Parkway, Mentor, Ohio</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37" w:before="0" w:after="0"/>
              <w:jc w:val="center"/>
              <w:rPr>
                <w:rFonts w:ascii="Times New Roman;serif" w:hAnsi="Times New Roman;serif"/>
                <w:b/>
                <w:color w:val="000000"/>
                <w:sz w:val="20"/>
              </w:rPr>
            </w:pPr>
            <w:r>
              <w:rPr>
                <w:rFonts w:ascii="Times New Roman;serif" w:hAnsi="Times New Roman;serif"/>
                <w:b/>
                <w:color w:val="000000"/>
                <w:sz w:val="20"/>
              </w:rPr>
              <w:t>44060</w:t>
            </w:r>
          </w:p>
        </w:tc>
      </w:tr>
      <w:tr>
        <w:trPr/>
        <w:tc>
          <w:tcPr>
            <w:tcW w:w="4965" w:type="dxa"/>
            <w:gridSpan w:val="3"/>
            <w:tcBorders/>
            <w:tcMar>
              <w:top w:w="0" w:type="dxa"/>
              <w:left w:w="0" w:type="dxa"/>
              <w:bottom w:w="0" w:type="dxa"/>
              <w:right w:w="0" w:type="dxa"/>
            </w:tcMar>
            <w:vAlign w:val="center"/>
          </w:tcPr>
          <w:p>
            <w:pPr>
              <w:pStyle w:val="TableContents"/>
              <w:bidi w:val="0"/>
              <w:spacing w:lineRule="auto" w:line="237"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37"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10" w:after="283"/>
        <w:jc w:val="left"/>
        <w:rPr/>
      </w:pPr>
      <w:r>
        <w:rPr/>
      </w:r>
    </w:p>
    <w:p>
      <w:pPr>
        <w:pStyle w:val="TextBody"/>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Vikas Arora, (440) 534-6000</w:t>
      </w:r>
    </w:p>
    <w:p>
      <w:pPr>
        <w:pStyle w:val="TextBody"/>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(Name and telephone number, including area code, of the person to contact in connection with this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 w:after="283"/>
        <w:jc w:val="left"/>
        <w:rPr/>
      </w:pPr>
      <w:r>
        <w:rPr/>
      </w:r>
    </w:p>
    <w:p>
      <w:pPr>
        <w:pStyle w:val="TextBody"/>
        <w:bidi w:val="0"/>
        <w:spacing w:lineRule="auto" w:line="273" w:before="1"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to indicate the rule pursuant to which this form is being filed, and provide the period to which the information in this form applies:</w:t>
      </w:r>
    </w:p>
    <w:p>
      <w:pPr>
        <w:pStyle w:val="TextBody"/>
        <w:bidi w:val="0"/>
        <w:spacing w:before="1" w:after="283"/>
        <w:jc w:val="left"/>
        <w:rPr/>
      </w:pPr>
      <w:r>
        <w:rPr/>
      </w:r>
    </w:p>
    <w:p>
      <w:pPr>
        <w:pStyle w:val="TextBody"/>
        <w:bidi w:val="0"/>
        <w:spacing w:lineRule="auto" w:line="240" w:before="0" w:after="0"/>
        <w:jc w:val="center"/>
        <w:rPr/>
      </w:pPr>
      <w:r>
        <w:rPr>
          <w:color w:val="333333"/>
          <w:shd w:fill="FFFFFF" w:val="clear"/>
        </w:rPr>
        <w:t>☒</w:t>
      </w:r>
      <w:r>
        <w:rPr>
          <w:color w:val="000000"/>
        </w:rPr>
        <w:t xml:space="preserve"> </w:t>
      </w:r>
      <w:r>
        <w:rPr>
          <w:rFonts w:ascii="Times New Roman;serif" w:hAnsi="Times New Roman;serif"/>
          <w:b w:val="false"/>
          <w:color w:val="000000"/>
          <w:sz w:val="20"/>
        </w:rPr>
        <w:t>Rule 13p-1 under the Securities Exchange Act (17 CFR 240.13p-1) for the reporting period from January 1 to December 31, 2025.</w:t>
      </w:r>
    </w:p>
    <w:p>
      <w:pPr>
        <w:pStyle w:val="TextBody"/>
        <w:bidi w:val="0"/>
        <w:spacing w:before="0" w:after="0"/>
        <w:jc w:val="center"/>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Section 1 — Conflict Minerals Disclosure</w:t>
      </w:r>
    </w:p>
    <w:p>
      <w:pPr>
        <w:pStyle w:val="TextBody"/>
        <w:bidi w:val="0"/>
        <w:spacing w:before="10" w:after="283"/>
        <w:jc w:val="left"/>
        <w:rPr/>
      </w:pPr>
      <w:r>
        <w:rPr/>
      </w:r>
    </w:p>
    <w:p>
      <w:pPr>
        <w:pStyle w:val="TextBody"/>
        <w:bidi w:val="0"/>
        <w:spacing w:lineRule="auto" w:line="240" w:before="1" w:after="283"/>
        <w:jc w:val="left"/>
        <w:rPr>
          <w:rFonts w:ascii="Times New Roman;serif" w:hAnsi="Times New Roman;serif"/>
          <w:b/>
          <w:color w:val="000000"/>
          <w:sz w:val="20"/>
        </w:rPr>
      </w:pPr>
      <w:r>
        <w:rPr>
          <w:rFonts w:ascii="Times New Roman;serif" w:hAnsi="Times New Roman;serif"/>
          <w:b/>
          <w:color w:val="000000"/>
          <w:sz w:val="20"/>
        </w:rPr>
        <w:t>Item 1.01 Conflict Minerals Disclosure and Report</w:t>
      </w:r>
    </w:p>
    <w:p>
      <w:pPr>
        <w:pStyle w:val="TextBody"/>
        <w:bidi w:val="0"/>
        <w:spacing w:before="8" w:after="283"/>
        <w:jc w:val="left"/>
        <w:rPr/>
      </w:pPr>
      <w:r>
        <w:rPr/>
      </w:r>
    </w:p>
    <w:p>
      <w:pPr>
        <w:pStyle w:val="TextBody"/>
        <w:bidi w:val="0"/>
        <w:spacing w:lineRule="auto" w:line="266"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Avery Dennison Corporation (the “Company”) is filing this Specialized Disclosure Report (Form SD), including the Conflict Minerals Report attached as Exhibit 1.01 hereto, for the calendar year ended December 31, 2025 to comply with Rule 13p-1 of the Securities Exchange Act of 1934, as amended. Both reports have been posted and are publicly available on the Company’s website at esg.averydennison.com/reports. Information on the Company’s website is not and should not be considered part of, nor is it incorporated by reference into, this Form SD.</w:t>
      </w:r>
    </w:p>
    <w:p>
      <w:pPr>
        <w:pStyle w:val="TextBody"/>
        <w:bidi w:val="0"/>
        <w:spacing w:before="2" w:after="283"/>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1.02 Exhibit</w:t>
      </w:r>
    </w:p>
    <w:p>
      <w:pPr>
        <w:pStyle w:val="TextBody"/>
        <w:bidi w:val="0"/>
        <w:spacing w:before="5" w:after="283"/>
        <w:jc w:val="left"/>
        <w:rPr/>
      </w:pPr>
      <w:r>
        <w:rPr/>
      </w:r>
    </w:p>
    <w:p>
      <w:pPr>
        <w:pStyle w:val="TextBody"/>
        <w:bidi w:val="0"/>
        <w:spacing w:lineRule="auto" w:line="273" w:before="1"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Conflict Minerals Report for calendar year 2025 is filed as Exhibit 1.01 of this report and is incorporated herein by reference.</w:t>
      </w:r>
    </w:p>
    <w:p>
      <w:pPr>
        <w:pStyle w:val="TextBody"/>
        <w:bidi w:val="0"/>
        <w:spacing w:before="9" w:after="283"/>
        <w:jc w:val="left"/>
        <w:rPr/>
      </w:pPr>
      <w:r>
        <w:rPr/>
      </w:r>
    </w:p>
    <w:p>
      <w:pPr>
        <w:pStyle w:val="TextBody"/>
        <w:bidi w:val="0"/>
        <w:spacing w:lineRule="auto" w:line="240" w:before="1" w:after="283"/>
        <w:jc w:val="left"/>
        <w:rPr>
          <w:rFonts w:ascii="Times New Roman;serif" w:hAnsi="Times New Roman;serif"/>
          <w:b/>
          <w:color w:val="000000"/>
          <w:sz w:val="20"/>
        </w:rPr>
      </w:pPr>
      <w:r>
        <w:rPr>
          <w:rFonts w:ascii="Times New Roman;serif" w:hAnsi="Times New Roman;serif"/>
          <w:b/>
          <w:color w:val="000000"/>
          <w:sz w:val="20"/>
        </w:rPr>
        <w:t>Section 2 — Exhibits</w:t>
      </w:r>
    </w:p>
    <w:p>
      <w:pPr>
        <w:pStyle w:val="TextBody"/>
        <w:bidi w:val="0"/>
        <w:spacing w:before="92" w:after="283"/>
        <w:jc w:val="center"/>
        <w:rPr/>
      </w:pPr>
      <w:r>
        <w:rPr/>
      </w:r>
    </w:p>
    <w:tbl>
      <w:tblPr>
        <w:tblW w:w="10061" w:type="dxa"/>
        <w:jc w:val="center"/>
        <w:tblInd w:w="0" w:type="dxa"/>
        <w:tblLayout w:type="fixed"/>
        <w:tblCellMar>
          <w:top w:w="28" w:type="dxa"/>
          <w:left w:w="28" w:type="dxa"/>
          <w:bottom w:w="28" w:type="dxa"/>
          <w:right w:w="28" w:type="dxa"/>
        </w:tblCellMar>
      </w:tblPr>
      <w:tblGrid>
        <w:gridCol w:w="363"/>
        <w:gridCol w:w="320"/>
        <w:gridCol w:w="321"/>
        <w:gridCol w:w="109"/>
        <w:gridCol w:w="109"/>
        <w:gridCol w:w="109"/>
        <w:gridCol w:w="2547"/>
        <w:gridCol w:w="2547"/>
        <w:gridCol w:w="363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36"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2025.htm">
              <w:r>
                <w:rPr>
                  <w:rStyle w:val="InternetLink"/>
                  <w:rFonts w:ascii="Times New Roman;serif" w:hAnsi="Times New Roman;serif"/>
                  <w:b w:val="false"/>
                  <w:color w:val="0000FF"/>
                  <w:sz w:val="20"/>
                  <w:u w:val="single"/>
                </w:rPr>
                <w:t>Conflict Minerals Report of Avery Dennison Corporation, as required by Items 1.01 and 1.02 of this Form.</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40" w:before="77"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3" w:after="283"/>
        <w:jc w:val="left"/>
        <w:rPr/>
      </w:pPr>
      <w:r>
        <w:rPr/>
      </w:r>
    </w:p>
    <w:p>
      <w:pPr>
        <w:pStyle w:val="TextBody"/>
        <w:bidi w:val="0"/>
        <w:spacing w:lineRule="auto" w:line="273" w:before="0" w:after="0"/>
        <w:ind w:left="0" w:right="0" w:firstLine="606"/>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duly authorized undersigned.</w:t>
      </w:r>
    </w:p>
    <w:p>
      <w:pPr>
        <w:pStyle w:val="TextBody"/>
        <w:bidi w:val="0"/>
        <w:spacing w:before="0" w:after="0"/>
        <w:jc w:val="left"/>
        <w:rPr/>
      </w:pPr>
      <w:r>
        <w:rPr/>
      </w:r>
    </w:p>
    <w:tbl>
      <w:tblPr>
        <w:tblW w:w="6537" w:type="dxa"/>
        <w:jc w:val="left"/>
        <w:tblInd w:w="0" w:type="dxa"/>
        <w:tblLayout w:type="fixed"/>
        <w:tblCellMar>
          <w:top w:w="28" w:type="dxa"/>
          <w:left w:w="28" w:type="dxa"/>
          <w:bottom w:w="28" w:type="dxa"/>
          <w:right w:w="28" w:type="dxa"/>
        </w:tblCellMar>
      </w:tblPr>
      <w:tblGrid>
        <w:gridCol w:w="629"/>
        <w:gridCol w:w="554"/>
        <w:gridCol w:w="557"/>
        <w:gridCol w:w="209"/>
        <w:gridCol w:w="209"/>
        <w:gridCol w:w="213"/>
        <w:gridCol w:w="109"/>
        <w:gridCol w:w="109"/>
        <w:gridCol w:w="109"/>
        <w:gridCol w:w="1123"/>
        <w:gridCol w:w="1123"/>
        <w:gridCol w:w="159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12529"/>
                <w:sz w:val="20"/>
              </w:rPr>
            </w:pPr>
            <w:r>
              <w:rPr>
                <w:rFonts w:ascii="Times New Roman;serif" w:hAnsi="Times New Roman;serif"/>
                <w:b/>
                <w:color w:val="212529"/>
                <w:sz w:val="20"/>
              </w:rPr>
              <w:t>AVERY DENNISON CORPORATION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Date: May 29, 2026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/s/ Ignacio J. Walker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12529"/>
                <w:sz w:val="20"/>
              </w:rPr>
            </w:pPr>
            <w:r>
              <w:rPr>
                <w:rFonts w:ascii="Times New Roman;serif" w:hAnsi="Times New Roman;serif"/>
                <w:b w:val="false"/>
                <w:color w:val="212529"/>
                <w:sz w:val="20"/>
              </w:rPr>
              <w:t>Ignacio J. Walker</w:t>
            </w:r>
          </w:p>
          <w:p>
            <w:pPr>
              <w:pStyle w:val="TableContents"/>
              <w:bidi w:val="0"/>
              <w:spacing w:lineRule="auto" w:line="240" w:before="0" w:after="20"/>
              <w:jc w:val="left"/>
              <w:rPr>
                <w:rFonts w:ascii="Times New Roman;serif" w:hAnsi="Times New Roman;serif"/>
                <w:b w:val="false"/>
                <w:color w:val="212529"/>
                <w:sz w:val="20"/>
              </w:rPr>
            </w:pPr>
            <w:r>
              <w:rPr>
                <w:rFonts w:ascii="Times New Roman;serif" w:hAnsi="Times New Roman;serif"/>
                <w:b w:val="false"/>
                <w:color w:val="212529"/>
                <w:sz w:val="20"/>
              </w:rPr>
              <w:t>Senior Vice President and Chief Legal Officer</w:t>
            </w:r>
          </w:p>
        </w:tc>
      </w:tr>
    </w:tbl>
    <w:p>
      <w:pPr>
        <w:pStyle w:val="TextBody"/>
        <w:bidi w:val="0"/>
        <w:spacing w:before="10" w:after="283"/>
        <w:jc w:val="left"/>
        <w:rPr/>
      </w:pPr>
      <w:r>
        <w:rPr/>
      </w:r>
    </w:p>
    <w:p>
      <w:pPr>
        <w:pStyle w:val="TextBody"/>
        <w:bidi w:val="0"/>
        <w:spacing w:before="92" w:after="283"/>
        <w:jc w:val="left"/>
        <w:rPr/>
      </w:pPr>
      <w:r>
        <w:rPr/>
      </w:r>
    </w:p>
    <w:p>
      <w:pPr>
        <w:pStyle w:val="TextBody"/>
        <w:bidi w:val="0"/>
        <w:spacing w:before="7"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73" w:after="283"/>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9" w:after="283"/>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Conflict Minerals Report of Avery Dennison Corporation</w:t>
      </w:r>
    </w:p>
    <w:p>
      <w:pPr>
        <w:pStyle w:val="TextBody"/>
        <w:bidi w:val="0"/>
        <w:spacing w:before="1" w:after="283"/>
        <w:jc w:val="left"/>
        <w:rPr/>
      </w:pPr>
      <w:r>
        <w:rPr/>
      </w:r>
    </w:p>
    <w:p>
      <w:pPr>
        <w:pStyle w:val="TextBody"/>
        <w:bidi w:val="0"/>
        <w:spacing w:lineRule="auto" w:line="240" w:before="92"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5" w:after="283"/>
        <w:jc w:val="left"/>
        <w:rPr/>
      </w:pPr>
      <w:r>
        <w:rPr/>
      </w:r>
    </w:p>
    <w:p>
      <w:pPr>
        <w:pStyle w:val="TextBody"/>
        <w:bidi w:val="0"/>
        <w:spacing w:lineRule="auto" w:line="288" w:before="0" w:after="0"/>
        <w:ind w:left="0" w:right="0" w:firstLine="605"/>
        <w:jc w:val="both"/>
        <w:rPr>
          <w:rFonts w:ascii="Times New Roman;serif" w:hAnsi="Times New Roman;serif"/>
          <w:b w:val="false"/>
          <w:color w:val="000000"/>
          <w:sz w:val="20"/>
        </w:rPr>
      </w:pPr>
      <w:r>
        <w:rPr>
          <w:rFonts w:ascii="Times New Roman;serif" w:hAnsi="Times New Roman;serif"/>
          <w:b w:val="false"/>
          <w:color w:val="000000"/>
          <w:sz w:val="20"/>
        </w:rPr>
        <w:t>This Conflict Minerals Report of Avery Dennison Corporation (the “Company,” “we,” or “us”) for calendar year 2025 was prepared in accordance with Section 1502 of the Dodd-Frank Wall Street Reform and Consumer Protection Act (“Section 1502”) and Rule 13p-1 under the Securities Exchange Act of 1934, as amended (“Rule 13p-1”), which require that public companies perform certain procedures and disclose certain information about their use and the origin of “conflict minerals” deemed necessary to the functionality or production of a product they manufacture or contract to be manufactured and which were in their supply chain after January 31, 2013 (referred to in this report as “necessary conflict minerals”). Conflict minerals are defined as columbite- tantalite, cassiterite, gold, wolframite, or their derivatives, which include tantalum, tin and tungsten (collectively referred to as “3TGs”).</w:t>
      </w:r>
    </w:p>
    <w:p>
      <w:pPr>
        <w:pStyle w:val="TextBody"/>
        <w:bidi w:val="0"/>
        <w:spacing w:before="8" w:after="283"/>
        <w:jc w:val="both"/>
        <w:rPr/>
      </w:pPr>
      <w:r>
        <w:rPr/>
      </w:r>
    </w:p>
    <w:p>
      <w:pPr>
        <w:pStyle w:val="TextBody"/>
        <w:bidi w:val="0"/>
        <w:spacing w:lineRule="auto" w:line="288" w:before="0" w:after="0"/>
        <w:ind w:left="0" w:right="0" w:firstLine="605"/>
        <w:jc w:val="both"/>
        <w:rPr/>
      </w:pPr>
      <w:r>
        <w:rPr>
          <w:rFonts w:ascii="Times New Roman;serif" w:hAnsi="Times New Roman;serif"/>
          <w:b w:val="false"/>
          <w:color w:val="000000"/>
          <w:sz w:val="20"/>
        </w:rPr>
        <w:t>We are a global leader in materials science and digital identification solutions. We are Making Possible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products and solutions that help advance the industries we serve, providing branding and information solutions that optimize labor and supply chain efficiency; reduce waste and mitigate loss; advance sustainability, circularity and transparency; and better connect brands and consumers. We design and develop labeling and functional materials, radio-frequency identification inlays and tags, software applications that connect the physical and digital, and offerings that enhance branded packaging and carry or display information that improves the customer experience. We serve an array of industries worldwide, including home and personal care, apparel, general retail, e-commerce, logistics, food and grocery, pharmaceuticals and automotive.</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3" w:after="283"/>
        <w:jc w:val="both"/>
        <w:rPr/>
      </w:pPr>
      <w:r>
        <w:rPr/>
      </w:r>
    </w:p>
    <w:p>
      <w:pPr>
        <w:pStyle w:val="TextBody"/>
        <w:bidi w:val="0"/>
        <w:spacing w:lineRule="auto" w:line="288" w:before="0" w:after="0"/>
        <w:ind w:left="0" w:right="0" w:firstLine="606"/>
        <w:jc w:val="both"/>
        <w:rPr>
          <w:rFonts w:ascii="Times New Roman;serif" w:hAnsi="Times New Roman;serif"/>
          <w:b w:val="false"/>
          <w:color w:val="000000"/>
          <w:sz w:val="20"/>
        </w:rPr>
      </w:pPr>
      <w:r>
        <w:rPr>
          <w:rFonts w:ascii="Times New Roman;serif" w:hAnsi="Times New Roman;serif"/>
          <w:b w:val="false"/>
          <w:color w:val="000000"/>
          <w:sz w:val="20"/>
        </w:rPr>
        <w:t>This Conflict Minerals Report contains “forward-looking statements” within the meaning of the Private Securities Litigation Reform Act of 1995. These statements, which are not statements of historical fact, contain estimates, assumptions, and/or expectations regarding future events, which may or may not occur. These forward-looking statements are subject to certain risks and uncertainties, which could cause actual events to differ materially from the expectations expressed or implied by such forward-looking statements. These forward-looking statements are made only as of the date of the accompanying Specialized Disclosure Report (Form SD) and we assume no duty to update them to reflect new, changed or unanticipated events or circumstances, other than as may be required by law.</w:t>
      </w:r>
    </w:p>
    <w:p>
      <w:pPr>
        <w:pStyle w:val="TextBody"/>
        <w:bidi w:val="0"/>
        <w:spacing w:before="9" w:after="283"/>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Assessment and Reasonable Country of Origin Inquiry</w:t>
      </w:r>
    </w:p>
    <w:p>
      <w:pPr>
        <w:pStyle w:val="TextBody"/>
        <w:bidi w:val="0"/>
        <w:spacing w:before="2" w:after="283"/>
        <w:jc w:val="both"/>
        <w:rPr/>
      </w:pPr>
      <w:r>
        <w:rPr/>
      </w:r>
    </w:p>
    <w:p>
      <w:pPr>
        <w:pStyle w:val="TextBody"/>
        <w:bidi w:val="0"/>
        <w:spacing w:lineRule="auto" w:line="288" w:before="1" w:after="283"/>
        <w:ind w:left="0" w:right="0" w:firstLine="606"/>
        <w:jc w:val="both"/>
        <w:rPr>
          <w:rFonts w:ascii="Times New Roman;serif" w:hAnsi="Times New Roman;serif"/>
          <w:b w:val="false"/>
          <w:color w:val="000000"/>
          <w:sz w:val="20"/>
        </w:rPr>
      </w:pPr>
      <w:r>
        <w:rPr>
          <w:rFonts w:ascii="Times New Roman;serif" w:hAnsi="Times New Roman;serif"/>
          <w:b w:val="false"/>
          <w:color w:val="000000"/>
          <w:sz w:val="20"/>
        </w:rPr>
        <w:t>As a result of our assessment and in consultation with our external advisors, we have concluded in good faith that, during 2025, conflict minerals were necessary to the functionality or production of a substantial minority of products we manufacture or contract to manufacture, the components for which we source from a global supply base.</w:t>
      </w:r>
    </w:p>
    <w:p>
      <w:pPr>
        <w:pStyle w:val="TextBody"/>
        <w:bidi w:val="0"/>
        <w:spacing w:before="1" w:after="283"/>
        <w:jc w:val="both"/>
        <w:rPr/>
      </w:pPr>
      <w:r>
        <w:rPr/>
      </w:r>
    </w:p>
    <w:p>
      <w:pPr>
        <w:pStyle w:val="TextBody"/>
        <w:bidi w:val="0"/>
        <w:spacing w:lineRule="auto" w:line="288" w:before="0" w:after="0"/>
        <w:ind w:left="0" w:right="0" w:firstLine="606"/>
        <w:jc w:val="both"/>
        <w:rPr>
          <w:rFonts w:ascii="Times New Roman;serif" w:hAnsi="Times New Roman;serif"/>
          <w:b w:val="false"/>
          <w:color w:val="000000"/>
          <w:sz w:val="20"/>
        </w:rPr>
      </w:pPr>
      <w:r>
        <w:rPr>
          <w:rFonts w:ascii="Times New Roman;serif" w:hAnsi="Times New Roman;serif"/>
          <w:b w:val="false"/>
          <w:color w:val="000000"/>
          <w:sz w:val="20"/>
        </w:rPr>
        <w:t>In accordance with Section 1502 and Rule 13p-1, we performed a “reasonable country of origin inquiry” (RCOI) on necessary conflict minerals to determine whether they were sourced from the Democratic Republic of Congo or adjoining countries (the “Covered Countries”) or come from recycled or scrap sources. We engaged Resources Global Professionals, an independent global professional services firm, to provide us advice and assistance with strategy development, due diligence methodology and reporting.</w:t>
      </w:r>
    </w:p>
    <w:p>
      <w:pPr>
        <w:pStyle w:val="TextBody"/>
        <w:bidi w:val="0"/>
        <w:spacing w:before="9" w:after="283"/>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Due Diligence and Next Steps</w:t>
      </w:r>
    </w:p>
    <w:p>
      <w:pPr>
        <w:pStyle w:val="TextBody"/>
        <w:bidi w:val="0"/>
        <w:spacing w:before="0" w:after="0"/>
        <w:jc w:val="both"/>
        <w:rPr/>
      </w:pPr>
      <w:r>
        <w:rPr/>
      </w:r>
    </w:p>
    <w:p>
      <w:pPr>
        <w:pStyle w:val="TextBody"/>
        <w:bidi w:val="0"/>
        <w:spacing w:lineRule="auto" w:line="288" w:before="0" w:after="0"/>
        <w:ind w:left="0" w:right="0" w:firstLine="606"/>
        <w:jc w:val="both"/>
        <w:rPr>
          <w:rFonts w:ascii="Times New Roman;serif" w:hAnsi="Times New Roman;serif"/>
          <w:b w:val="false"/>
          <w:color w:val="000000"/>
          <w:sz w:val="20"/>
        </w:rPr>
      </w:pPr>
      <w:r>
        <w:rPr>
          <w:rFonts w:ascii="Times New Roman;serif" w:hAnsi="Times New Roman;serif"/>
          <w:b w:val="false"/>
          <w:color w:val="000000"/>
          <w:sz w:val="20"/>
        </w:rPr>
        <w:t>In accordance with Rule 13p-1, for the 2025 reporting year, we performed due diligence procedures from February 13, 2026 through April 16, 2026 to determine the source and chain of custody of necessary conflict minerals in our products. We designed our due diligence procedures to conform in all material respects with the OECD Due Diligence Guidance for Responsible Supply Chains of Minerals from Conflict-Affected and High-Risk Areas Third Edition (OECD 2016) (the “OECD Guidance”) and related supplements thereto. This process included surveying all direct material suppliers believed to have provided components containing conflict minerals.</w:t>
      </w:r>
    </w:p>
    <w:p>
      <w:pPr>
        <w:pStyle w:val="TextBody"/>
        <w:bidi w:val="0"/>
        <w:spacing w:before="5" w:after="283"/>
        <w:jc w:val="both"/>
        <w:rPr/>
      </w:pPr>
      <w:r>
        <w:rPr/>
      </w:r>
    </w:p>
    <w:p>
      <w:pPr>
        <w:pStyle w:val="TextBody"/>
        <w:bidi w:val="0"/>
        <w:spacing w:lineRule="auto" w:line="288" w:before="0" w:after="0"/>
        <w:ind w:left="0" w:right="0" w:firstLine="606"/>
        <w:jc w:val="both"/>
        <w:rPr>
          <w:rFonts w:ascii="Times New Roman;serif" w:hAnsi="Times New Roman;serif"/>
          <w:b w:val="false"/>
          <w:color w:val="000000"/>
          <w:sz w:val="20"/>
        </w:rPr>
      </w:pPr>
      <w:r>
        <w:rPr>
          <w:rFonts w:ascii="Times New Roman;serif" w:hAnsi="Times New Roman;serif"/>
          <w:b w:val="false"/>
          <w:color w:val="000000"/>
          <w:sz w:val="20"/>
        </w:rPr>
        <w:t>We occupy a downstream position in the supply chain and followed the principles outlined in the OECD Guidance for companies with no direct relationships to smelters or refiners. Our due diligence activities — and, where applicable, next steps to mitigate conflict minerals risk and improve our due diligence procedures — consistent with the OECD Guidance are described below.</w:t>
      </w:r>
    </w:p>
    <w:p>
      <w:pPr>
        <w:pStyle w:val="TextBody"/>
        <w:bidi w:val="0"/>
        <w:spacing w:before="6" w:after="283"/>
        <w:jc w:val="both"/>
        <w:rPr/>
      </w:pPr>
      <w:r>
        <w:rPr/>
      </w:r>
    </w:p>
    <w:p>
      <w:pPr>
        <w:pStyle w:val="TextBody"/>
        <w:bidi w:val="0"/>
        <w:spacing w:lineRule="auto" w:line="240" w:before="1" w:after="283"/>
        <w:jc w:val="both"/>
        <w:rPr>
          <w:rFonts w:ascii="Times New Roman;serif" w:hAnsi="Times New Roman;serif"/>
          <w:b w:val="false"/>
          <w:i/>
          <w:color w:val="000000"/>
          <w:sz w:val="20"/>
        </w:rPr>
      </w:pPr>
      <w:r>
        <w:rPr>
          <w:rFonts w:ascii="Times New Roman;serif" w:hAnsi="Times New Roman;serif"/>
          <w:b w:val="false"/>
          <w:i/>
          <w:color w:val="000000"/>
          <w:sz w:val="20"/>
        </w:rPr>
        <w:t>Step 1: Establish strong company management systems</w:t>
      </w:r>
    </w:p>
    <w:p>
      <w:pPr>
        <w:pStyle w:val="TextBody"/>
        <w:bidi w:val="0"/>
        <w:spacing w:before="0" w:after="0"/>
        <w:jc w:val="both"/>
        <w:rPr/>
      </w:pPr>
      <w:r>
        <w:rPr/>
      </w:r>
    </w:p>
    <w:p>
      <w:pPr>
        <w:pStyle w:val="TextBody"/>
        <w:bidi w:val="0"/>
        <w:spacing w:lineRule="auto" w:line="288" w:before="1" w:after="283"/>
        <w:ind w:left="0" w:right="0" w:hanging="503"/>
        <w:jc w:val="both"/>
        <w:rPr/>
      </w:pPr>
      <w:r>
        <w:rPr>
          <w:color w:val="000000"/>
        </w:rPr>
        <w:t>•</w:t>
      </w:r>
      <w:r>
        <w:rPr>
          <w:rFonts w:ascii="Times New Roman;serif" w:hAnsi="Times New Roman;serif"/>
          <w:b w:val="false"/>
          <w:color w:val="000000"/>
          <w:sz w:val="20"/>
        </w:rPr>
        <w:t>We maintain a policy publicly available on our website at esg.averydennison.com/reports that reflects our goal to refrain from purchasing components containing conflict minerals from the Covered Countries, unless those materials are certified by an independent third party to originate from conflict-free/conformant sources.</w:t>
      </w:r>
    </w:p>
    <w:p>
      <w:pPr>
        <w:pStyle w:val="TextBody"/>
        <w:bidi w:val="0"/>
        <w:spacing w:before="9"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ind w:left="0" w:right="0" w:hanging="601"/>
        <w:jc w:val="both"/>
        <w:rPr/>
      </w:pPr>
      <w:r>
        <w:rPr>
          <w:color w:val="000000"/>
        </w:rPr>
        <w:t>•</w:t>
      </w:r>
      <w:r>
        <w:rPr>
          <w:rFonts w:ascii="Times New Roman;serif" w:hAnsi="Times New Roman;serif"/>
          <w:b w:val="false"/>
          <w:color w:val="000000"/>
          <w:sz w:val="20"/>
        </w:rPr>
        <w:t>Our governance model to oversee the implementation and ongoing management of our conflict minerals compliance program includes a steering committee performing oversight and ensuring regulatory compliance and a core team responsible for product assessment and the RCOI process. The steering committee engages with senior leadership from our business units and corporate functions to develop, document and maintain a governance structure that enables sustainable compliance and satisfies regulatory requirements.</w:t>
      </w:r>
    </w:p>
    <w:p>
      <w:pPr>
        <w:pStyle w:val="TextBody"/>
        <w:bidi w:val="0"/>
        <w:spacing w:before="0" w:after="0"/>
        <w:jc w:val="both"/>
        <w:rPr/>
      </w:pPr>
      <w:r>
        <w:rPr/>
      </w:r>
    </w:p>
    <w:p>
      <w:pPr>
        <w:pStyle w:val="TextBody"/>
        <w:bidi w:val="0"/>
        <w:spacing w:lineRule="auto" w:line="288" w:before="0" w:after="0"/>
        <w:ind w:left="0" w:right="0" w:hanging="601"/>
        <w:jc w:val="both"/>
        <w:rPr/>
      </w:pPr>
      <w:r>
        <w:rPr>
          <w:color w:val="000000"/>
        </w:rPr>
        <w:t>•</w:t>
      </w:r>
      <w:r>
        <w:rPr>
          <w:rFonts w:ascii="Times New Roman;serif" w:hAnsi="Times New Roman;serif"/>
          <w:b w:val="false"/>
          <w:color w:val="000000"/>
          <w:sz w:val="20"/>
        </w:rPr>
        <w:t>We maintain processes to evaluate parts and suppliers in the supply chain for potential conflict minerals risk. Our global supplier standards and restricted substances lists are updated regularly to ensure that suppliers provide information on their use and sourcing of conflict minerals. We periodically engage with industry associations to help enhance transparency and traceability in the supply chains in which we operate. We use standardized documentation to capture key program decisions, processes and procedures and we maintain conflict minerals records for ten years under our document retention policy.</w:t>
      </w:r>
    </w:p>
    <w:p>
      <w:pPr>
        <w:pStyle w:val="TextBody"/>
        <w:bidi w:val="0"/>
        <w:spacing w:before="7" w:after="283"/>
        <w:jc w:val="both"/>
        <w:rPr/>
      </w:pPr>
      <w:r>
        <w:rPr/>
      </w:r>
    </w:p>
    <w:p>
      <w:pPr>
        <w:pStyle w:val="TextBody"/>
        <w:bidi w:val="0"/>
        <w:spacing w:lineRule="auto" w:line="288" w:before="0" w:after="0"/>
        <w:ind w:left="0" w:right="0" w:hanging="601"/>
        <w:jc w:val="both"/>
        <w:rPr/>
      </w:pPr>
      <w:r>
        <w:rPr>
          <w:color w:val="000000"/>
        </w:rPr>
        <w:t>•</w:t>
      </w:r>
      <w:r>
        <w:rPr>
          <w:rFonts w:ascii="Times New Roman;serif" w:hAnsi="Times New Roman;serif"/>
          <w:b w:val="false"/>
          <w:color w:val="000000"/>
          <w:sz w:val="20"/>
        </w:rPr>
        <w:t>We have advised suppliers of our conflict minerals policy, have updated our supplier requirements to expressly incorporate the policy, and provided at-risk suppliers with additional information to facilitate their understanding and ensure our compliance with Section 1502 and Rule 13p-1.</w:t>
      </w:r>
    </w:p>
    <w:p>
      <w:pPr>
        <w:pStyle w:val="TextBody"/>
        <w:bidi w:val="0"/>
        <w:spacing w:before="0" w:after="0"/>
        <w:ind w:left="0" w:right="0" w:hanging="241"/>
        <w:jc w:val="both"/>
        <w:rPr/>
      </w:pPr>
      <w:r>
        <w:rPr/>
      </w:r>
    </w:p>
    <w:p>
      <w:pPr>
        <w:pStyle w:val="TextBody"/>
        <w:bidi w:val="0"/>
        <w:spacing w:lineRule="auto" w:line="288" w:before="0" w:after="0"/>
        <w:ind w:left="0" w:right="0" w:hanging="601"/>
        <w:jc w:val="both"/>
        <w:rPr/>
      </w:pPr>
      <w:r>
        <w:rPr>
          <w:color w:val="000000"/>
        </w:rPr>
        <w:t>•</w:t>
      </w:r>
      <w:r>
        <w:rPr>
          <w:rFonts w:ascii="Times New Roman;serif" w:hAnsi="Times New Roman;serif"/>
          <w:b w:val="false"/>
          <w:color w:val="000000"/>
          <w:sz w:val="20"/>
        </w:rPr>
        <w:t xml:space="preserve">Our Business Conduct GuideLine (the “GuideLine”) is a whistleblower hotline available at all hours for employees or third parties to report potential violations of our Code of Conduct or applicable laws, anonymously if they so choose. The GuideLine may be reached by visiting www.averydennison.com/guidelinereport. The GuideLine is operated by an independent third party and accepts reports in any language to accommodate the needs of our global workforce and customer/supplier base. Parties may use this hotline to provide information or voice their concerns regarding our sourcing and use of conflict minerals. Reports are investigated under the direction of our Chief Compliance Officer, in consultation with our law department and senior management and with Board of Directors oversight primarily by the Governance Committee and, for certain accounting- and finance-related matters, also by the Audit Committee. We prohibit retaliation for good-faith reporting. </w:t>
      </w:r>
    </w:p>
    <w:p>
      <w:pPr>
        <w:pStyle w:val="TextBody"/>
        <w:bidi w:val="0"/>
        <w:spacing w:before="5" w:after="283"/>
        <w:jc w:val="both"/>
        <w:rPr/>
      </w:pPr>
      <w:r>
        <w:rPr/>
      </w:r>
    </w:p>
    <w:p>
      <w:pPr>
        <w:pStyle w:val="TextBody"/>
        <w:bidi w:val="0"/>
        <w:spacing w:lineRule="auto" w:line="240" w:before="77" w:after="283"/>
        <w:jc w:val="both"/>
        <w:rPr>
          <w:rFonts w:ascii="Times New Roman;serif" w:hAnsi="Times New Roman;serif"/>
          <w:b w:val="false"/>
          <w:i/>
          <w:color w:val="000000"/>
          <w:sz w:val="20"/>
        </w:rPr>
      </w:pPr>
      <w:r>
        <w:rPr>
          <w:rFonts w:ascii="Times New Roman;serif" w:hAnsi="Times New Roman;serif"/>
          <w:b w:val="false"/>
          <w:i/>
          <w:color w:val="000000"/>
          <w:sz w:val="20"/>
        </w:rPr>
        <w:t>Step 2: Identify and assess risks in the supply chain</w:t>
      </w:r>
    </w:p>
    <w:p>
      <w:pPr>
        <w:pStyle w:val="TextBody"/>
        <w:bidi w:val="0"/>
        <w:spacing w:before="10" w:after="283"/>
        <w:jc w:val="both"/>
        <w:rPr/>
      </w:pPr>
      <w:r>
        <w:rPr/>
      </w:r>
    </w:p>
    <w:p>
      <w:pPr>
        <w:pStyle w:val="TextBody"/>
        <w:bidi w:val="0"/>
        <w:spacing w:lineRule="auto" w:line="288" w:before="0" w:after="0"/>
        <w:ind w:left="0" w:right="0" w:hanging="611"/>
        <w:jc w:val="both"/>
        <w:rPr/>
      </w:pPr>
      <w:r>
        <w:rPr>
          <w:color w:val="000000"/>
        </w:rPr>
        <w:t>•</w:t>
      </w:r>
      <w:r>
        <w:rPr>
          <w:rFonts w:ascii="Times New Roman;serif" w:hAnsi="Times New Roman;serif"/>
          <w:b w:val="false"/>
          <w:color w:val="000000"/>
          <w:sz w:val="20"/>
        </w:rPr>
        <w:t>We analyzed components of products for necessary conflict minerals and assessed the risks that they contain conflict minerals from the Covered Countries.</w:t>
      </w:r>
    </w:p>
    <w:p>
      <w:pPr>
        <w:pStyle w:val="TextBody"/>
        <w:bidi w:val="0"/>
        <w:spacing w:before="2" w:after="283"/>
        <w:jc w:val="both"/>
        <w:rPr/>
      </w:pPr>
      <w:r>
        <w:rPr/>
      </w:r>
    </w:p>
    <w:p>
      <w:pPr>
        <w:pStyle w:val="TextBody"/>
        <w:bidi w:val="0"/>
        <w:spacing w:lineRule="auto" w:line="288" w:before="1" w:after="283"/>
        <w:ind w:left="0" w:right="0" w:hanging="611"/>
        <w:jc w:val="both"/>
        <w:rPr/>
      </w:pPr>
      <w:r>
        <w:rPr>
          <w:color w:val="000000"/>
        </w:rPr>
        <w:t>•</w:t>
      </w:r>
      <w:r>
        <w:rPr>
          <w:rFonts w:ascii="Times New Roman;serif" w:hAnsi="Times New Roman;serif"/>
          <w:b w:val="false"/>
          <w:color w:val="000000"/>
          <w:sz w:val="20"/>
        </w:rPr>
        <w:t>We required identified suppliers to complete a survey based on the Responsible Minerals Initiative (“RMI”) Conflict Minerals Reporting Template, version 6.5.</w:t>
      </w:r>
    </w:p>
    <w:p>
      <w:pPr>
        <w:pStyle w:val="TextBody"/>
        <w:bidi w:val="0"/>
        <w:spacing w:before="2" w:after="283"/>
        <w:jc w:val="both"/>
        <w:rPr/>
      </w:pPr>
      <w:r>
        <w:rPr/>
      </w:r>
    </w:p>
    <w:p>
      <w:pPr>
        <w:pStyle w:val="TextBody"/>
        <w:bidi w:val="0"/>
        <w:spacing w:lineRule="auto" w:line="288" w:before="0" w:after="0"/>
        <w:ind w:left="0" w:right="0" w:hanging="611"/>
        <w:jc w:val="both"/>
        <w:rPr/>
      </w:pPr>
      <w:r>
        <w:rPr>
          <w:color w:val="000000"/>
        </w:rPr>
        <w:t>•</w:t>
      </w:r>
      <w:r>
        <w:rPr>
          <w:rFonts w:ascii="Times New Roman;serif" w:hAnsi="Times New Roman;serif"/>
          <w:b w:val="false"/>
          <w:color w:val="000000"/>
          <w:sz w:val="20"/>
        </w:rPr>
        <w:t>We reviewed the responses received and followed up with suppliers that did not return a completed survey. We reviewed survey responses and validated them for completeness and sufficiency. Based on this review, each survey was assigned a conflict minerals status of Out of Scope, Undeterminable, Conformant, or Non-Conformant. Specific supplier corrective actions depend on factors such as supplier size, risk level and supplier capabilities.</w:t>
      </w:r>
    </w:p>
    <w:p>
      <w:pPr>
        <w:pStyle w:val="TextBody"/>
        <w:bidi w:val="0"/>
        <w:spacing w:before="8" w:after="283"/>
        <w:jc w:val="both"/>
        <w:rPr/>
      </w:pPr>
      <w:r>
        <w:rPr/>
      </w:r>
    </w:p>
    <w:p>
      <w:pPr>
        <w:pStyle w:val="TextBody"/>
        <w:bidi w:val="0"/>
        <w:spacing w:lineRule="auto" w:line="288" w:before="1" w:after="283"/>
        <w:ind w:left="0" w:right="0" w:hanging="611"/>
        <w:jc w:val="both"/>
        <w:rPr/>
      </w:pPr>
      <w:r>
        <w:rPr>
          <w:color w:val="000000"/>
        </w:rPr>
        <w:t>•</w:t>
      </w:r>
      <w:r>
        <w:rPr>
          <w:rFonts w:ascii="Times New Roman;serif" w:hAnsi="Times New Roman;serif"/>
          <w:b w:val="false"/>
          <w:color w:val="000000"/>
          <w:sz w:val="20"/>
        </w:rPr>
        <w:t>Our core conflict minerals team reviewed aggregate supplier survey responses and key reporting metrics.</w:t>
      </w:r>
    </w:p>
    <w:p>
      <w:pPr>
        <w:pStyle w:val="TextBody"/>
        <w:bidi w:val="0"/>
        <w:spacing w:before="1" w:after="283"/>
        <w:jc w:val="both"/>
        <w:rPr/>
      </w:pPr>
      <w:r>
        <w:rPr/>
      </w:r>
    </w:p>
    <w:p>
      <w:pPr>
        <w:pStyle w:val="TextBody"/>
        <w:bidi w:val="0"/>
        <w:spacing w:lineRule="auto" w:line="288" w:before="0" w:after="0"/>
        <w:ind w:left="0" w:right="0" w:hanging="611"/>
        <w:jc w:val="both"/>
        <w:rPr/>
      </w:pPr>
      <w:r>
        <w:rPr>
          <w:color w:val="000000"/>
        </w:rPr>
        <w:t>•</w:t>
      </w:r>
      <w:r>
        <w:rPr>
          <w:rFonts w:ascii="Times New Roman;serif" w:hAnsi="Times New Roman;serif"/>
          <w:b w:val="false"/>
          <w:color w:val="000000"/>
          <w:sz w:val="20"/>
        </w:rPr>
        <w:t>We conducted a review of summary smelter information received to determine if the smelter has been certified as RMI Conformant, indicating the highest degree of certified compliance with RMI protocols and global sourcing standards, or presents a “red flag” as defined by the OECD Guidance. To make the determination of each smelter’s verification status, we relied upon information provided by RMI. RMI conducts a Responsible Minerals Assurance Process through which it certifies smelters and refiners worldwide after confirming specific information, including country of origin, for conflict minerals that the smelter/refiner may purchase for its operations. RMI makes available to the public the list of smelters/refiners that it has certified as Conformant.</w:t>
      </w:r>
    </w:p>
    <w:p>
      <w:pPr>
        <w:pStyle w:val="TextBody"/>
        <w:bidi w:val="0"/>
        <w:spacing w:before="11" w:after="283"/>
        <w:jc w:val="both"/>
        <w:rPr/>
      </w:pPr>
      <w:r>
        <w:rPr/>
      </w:r>
    </w:p>
    <w:p>
      <w:pPr>
        <w:pStyle w:val="TextBody"/>
        <w:bidi w:val="0"/>
        <w:spacing w:lineRule="auto" w:line="288" w:before="92" w:after="283"/>
        <w:jc w:val="both"/>
        <w:rPr>
          <w:rFonts w:ascii="Times New Roman;serif" w:hAnsi="Times New Roman;serif"/>
          <w:b w:val="false"/>
          <w:i/>
          <w:color w:val="000000"/>
          <w:sz w:val="20"/>
        </w:rPr>
      </w:pPr>
      <w:r>
        <w:rPr>
          <w:rFonts w:ascii="Times New Roman;serif" w:hAnsi="Times New Roman;serif"/>
          <w:b w:val="false"/>
          <w:i/>
          <w:color w:val="000000"/>
          <w:sz w:val="20"/>
        </w:rPr>
        <w:t>Step 3: Design and implement a strategy to respond to identified risks</w:t>
      </w:r>
    </w:p>
    <w:p>
      <w:pPr>
        <w:pStyle w:val="TextBody"/>
        <w:bidi w:val="0"/>
        <w:spacing w:before="8" w:after="283"/>
        <w:jc w:val="both"/>
        <w:rPr/>
      </w:pPr>
      <w:r>
        <w:rPr/>
      </w:r>
    </w:p>
    <w:p>
      <w:pPr>
        <w:pStyle w:val="TextBody"/>
        <w:bidi w:val="0"/>
        <w:spacing w:lineRule="auto" w:line="288" w:before="0" w:after="0"/>
        <w:ind w:left="0" w:right="0" w:hanging="611"/>
        <w:jc w:val="both"/>
        <w:rPr/>
      </w:pPr>
      <w:r>
        <w:rPr>
          <w:color w:val="000000"/>
        </w:rPr>
        <w:t>•</w:t>
      </w:r>
      <w:r>
        <w:rPr>
          <w:rFonts w:ascii="Times New Roman;serif" w:hAnsi="Times New Roman;serif"/>
          <w:b w:val="false"/>
          <w:color w:val="000000"/>
          <w:sz w:val="20"/>
        </w:rPr>
        <w:t>We annually conduct a gap analysis after completing our due diligence procedures and we review identified risks and gaps — as well as recommended action plans to mitigate risks and close gaps — with the steering committee.</w:t>
      </w:r>
    </w:p>
    <w:p>
      <w:pPr>
        <w:pStyle w:val="TextBody"/>
        <w:bidi w:val="0"/>
        <w:spacing w:before="2" w:after="283"/>
        <w:ind w:left="0" w:right="0" w:hanging="6"/>
        <w:jc w:val="both"/>
        <w:rPr/>
      </w:pPr>
      <w:r>
        <w:rPr/>
      </w:r>
    </w:p>
    <w:p>
      <w:pPr>
        <w:pStyle w:val="TextBody"/>
        <w:bidi w:val="0"/>
        <w:spacing w:lineRule="auto" w:line="288"/>
        <w:ind w:left="0" w:right="0" w:hanging="611"/>
        <w:jc w:val="both"/>
        <w:rPr/>
      </w:pPr>
      <w:r>
        <w:rPr>
          <w:color w:val="000000"/>
        </w:rPr>
        <w:t>•</w:t>
      </w:r>
      <w:r>
        <w:rPr>
          <w:rFonts w:ascii="Times New Roman;serif" w:hAnsi="Times New Roman;serif"/>
          <w:b w:val="false"/>
          <w:color w:val="000000"/>
          <w:sz w:val="20"/>
        </w:rPr>
        <w:t xml:space="preserve">Management is responsible for managing the day-to-day risks confronting our businesses, and our Board of Directors oversees enterprise risk management (“ERM”). In performing its oversight role, our Board ensures that the ERM processes designed and implemented by management are functioning effectively and promoting risk-adjusted decision-making.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teams leading our businesses have incorporated ERM into their strategic development and execution, assessing the risks impacting their businesses and implementing and adjusting mitigating actions on an ongoing basis. In addition, we have robust processes that support a strong internal control environment and promote the early identification and ongoing mitigation of risks. In this context, we routinely refine our risk mitigation strategy with the goal of systematically reducing the extent of exposure to significant identified risks and minimizing the likelihood of their occurrence. We continue to refine our risk management plan for risks associated with conflict minerals as part of our ERM processes.</w:t>
      </w:r>
    </w:p>
    <w:p>
      <w:pPr>
        <w:pStyle w:val="TextBody"/>
        <w:bidi w:val="0"/>
        <w:spacing w:before="6" w:after="283"/>
        <w:jc w:val="both"/>
        <w:rPr/>
      </w:pPr>
      <w:r>
        <w:rPr/>
      </w:r>
    </w:p>
    <w:p>
      <w:pPr>
        <w:pStyle w:val="TextBody"/>
        <w:bidi w:val="0"/>
        <w:spacing w:lineRule="auto" w:line="288" w:before="0" w:after="0"/>
        <w:ind w:left="0" w:right="0" w:hanging="611"/>
        <w:jc w:val="both"/>
        <w:rPr/>
      </w:pPr>
      <w:r>
        <w:rPr>
          <w:color w:val="000000"/>
        </w:rPr>
        <w:t>•</w:t>
      </w:r>
      <w:r>
        <w:rPr>
          <w:rFonts w:ascii="Times New Roman;serif" w:hAnsi="Times New Roman;serif"/>
          <w:b w:val="false"/>
          <w:color w:val="000000"/>
          <w:sz w:val="20"/>
        </w:rPr>
        <w:t>We continue to implement our conflict minerals risk management plan through our due diligence procedures and obtain additional information regarding our conflict minerals risk exposure.</w:t>
      </w:r>
    </w:p>
    <w:p>
      <w:pPr>
        <w:pStyle w:val="TextBody"/>
        <w:bidi w:val="0"/>
        <w:spacing w:before="11" w:after="283"/>
        <w:jc w:val="both"/>
        <w:rPr/>
      </w:pPr>
      <w:r>
        <w:rPr/>
      </w:r>
    </w:p>
    <w:p>
      <w:pPr>
        <w:pStyle w:val="TextBody"/>
        <w:bidi w:val="0"/>
        <w:spacing w:lineRule="auto" w:line="288" w:before="0" w:after="0"/>
        <w:ind w:left="0" w:right="0" w:hanging="611"/>
        <w:jc w:val="both"/>
        <w:rPr/>
      </w:pPr>
      <w:r>
        <w:rPr>
          <w:color w:val="000000"/>
        </w:rPr>
        <w:t>•</w:t>
      </w:r>
      <w:r>
        <w:rPr>
          <w:rFonts w:ascii="Times New Roman;serif" w:hAnsi="Times New Roman;serif"/>
          <w:b w:val="false"/>
          <w:color w:val="000000"/>
          <w:sz w:val="20"/>
        </w:rPr>
        <w:t>Additional fact finding, risk assessments and changes in circumstances are assessed during our annual review of our conflict minerals compliance program.</w:t>
      </w:r>
    </w:p>
    <w:p>
      <w:pPr>
        <w:pStyle w:val="TextBody"/>
        <w:bidi w:val="0"/>
        <w:spacing w:before="4" w:after="283"/>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Step 4: Carry out independent third-party audit of smelter/refiner’s due diligence practices</w:t>
      </w:r>
    </w:p>
    <w:p>
      <w:pPr>
        <w:pStyle w:val="TextBody"/>
        <w:bidi w:val="0"/>
        <w:spacing w:before="1" w:after="283"/>
        <w:jc w:val="both"/>
        <w:rPr/>
      </w:pPr>
      <w:r>
        <w:rPr/>
      </w:r>
    </w:p>
    <w:p>
      <w:pPr>
        <w:pStyle w:val="TextBody"/>
        <w:bidi w:val="0"/>
        <w:spacing w:lineRule="auto" w:line="288" w:before="1" w:after="283"/>
        <w:ind w:left="0" w:right="0" w:hanging="611"/>
        <w:jc w:val="both"/>
        <w:rPr/>
      </w:pPr>
      <w:r>
        <w:rPr>
          <w:color w:val="000000"/>
        </w:rPr>
        <w:t>•</w:t>
      </w:r>
      <w:r>
        <w:rPr>
          <w:rFonts w:ascii="Times New Roman;serif" w:hAnsi="Times New Roman;serif"/>
          <w:b w:val="false"/>
          <w:color w:val="000000"/>
          <w:sz w:val="20"/>
        </w:rPr>
        <w:t>In accordance with the OECD Guidance, we continue to build relationships with industry organizations regarding third party audits of smelter/refiner due diligence practices.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Step 5: Report annually on supply chain due diligence</w:t>
      </w:r>
    </w:p>
    <w:p>
      <w:pPr>
        <w:pStyle w:val="TextBody"/>
        <w:bidi w:val="0"/>
        <w:spacing w:before="2" w:after="283"/>
        <w:jc w:val="both"/>
        <w:rPr/>
      </w:pPr>
      <w:r>
        <w:rPr/>
      </w:r>
    </w:p>
    <w:p>
      <w:pPr>
        <w:pStyle w:val="TextBody"/>
        <w:bidi w:val="0"/>
        <w:spacing w:lineRule="auto" w:line="288" w:before="0" w:after="0"/>
        <w:ind w:left="0" w:right="0" w:hanging="611"/>
        <w:jc w:val="both"/>
        <w:rPr/>
      </w:pPr>
      <w:r>
        <w:rPr>
          <w:color w:val="000000"/>
        </w:rPr>
        <w:t>•</w:t>
      </w:r>
      <w:r>
        <w:rPr>
          <w:rFonts w:ascii="Times New Roman;serif" w:hAnsi="Times New Roman;serif"/>
          <w:b w:val="false"/>
          <w:color w:val="000000"/>
          <w:sz w:val="20"/>
        </w:rPr>
        <w:t>We have implemented a process annually to summarize, review, and approve conflict minerals compliance results, complete the Specialized Disclosure Report (Form SD) and Conflict Minerals Report required by Rule 13p-1, and timely file them with the Securities and Exchange Commission.</w:t>
      </w:r>
    </w:p>
    <w:p>
      <w:pPr>
        <w:pStyle w:val="TextBody"/>
        <w:bidi w:val="0"/>
        <w:spacing w:before="3" w:after="283"/>
        <w:jc w:val="both"/>
        <w:rPr/>
      </w:pPr>
      <w:r>
        <w:rPr/>
      </w:r>
    </w:p>
    <w:p>
      <w:pPr>
        <w:pStyle w:val="TextBody"/>
        <w:bidi w:val="0"/>
        <w:spacing w:lineRule="auto" w:line="288" w:before="92" w:after="283"/>
        <w:jc w:val="both"/>
        <w:rPr>
          <w:rFonts w:ascii="Times New Roman;serif" w:hAnsi="Times New Roman;serif"/>
          <w:b/>
          <w:color w:val="000000"/>
          <w:sz w:val="20"/>
        </w:rPr>
      </w:pPr>
      <w:r>
        <w:rPr>
          <w:rFonts w:ascii="Times New Roman;serif" w:hAnsi="Times New Roman;serif"/>
          <w:b/>
          <w:color w:val="000000"/>
          <w:sz w:val="20"/>
        </w:rPr>
        <w:t>Assessment and RCOI Results for 2025</w:t>
      </w:r>
    </w:p>
    <w:p>
      <w:pPr>
        <w:pStyle w:val="TextBody"/>
        <w:bidi w:val="0"/>
        <w:spacing w:before="1" w:after="283"/>
        <w:jc w:val="both"/>
        <w:rPr/>
      </w:pPr>
      <w:r>
        <w:rPr/>
      </w:r>
    </w:p>
    <w:p>
      <w:pPr>
        <w:pStyle w:val="TextBody"/>
        <w:bidi w:val="0"/>
        <w:spacing w:lineRule="auto" w:line="288" w:before="0" w:after="0"/>
        <w:ind w:left="0" w:right="0" w:firstLine="605"/>
        <w:jc w:val="both"/>
        <w:rPr>
          <w:rFonts w:ascii="Times New Roman;serif" w:hAnsi="Times New Roman;serif"/>
          <w:b w:val="false"/>
          <w:color w:val="000000"/>
          <w:sz w:val="20"/>
        </w:rPr>
      </w:pPr>
      <w:r>
        <w:rPr>
          <w:rFonts w:ascii="Times New Roman;serif" w:hAnsi="Times New Roman;serif"/>
          <w:b w:val="false"/>
          <w:color w:val="000000"/>
          <w:sz w:val="20"/>
        </w:rPr>
        <w:t>Based on the process described above, we had the following results from our assessment and RCOI process for the 2025 calendar year:</w:t>
      </w:r>
    </w:p>
    <w:p>
      <w:pPr>
        <w:pStyle w:val="TextBody"/>
        <w:bidi w:val="0"/>
        <w:spacing w:before="1" w:after="283"/>
        <w:jc w:val="both"/>
        <w:rPr/>
      </w:pPr>
      <w:r>
        <w:rPr/>
      </w:r>
    </w:p>
    <w:p>
      <w:pPr>
        <w:pStyle w:val="TextBody"/>
        <w:bidi w:val="0"/>
        <w:spacing w:lineRule="auto" w:line="288" w:before="0" w:after="0"/>
        <w:ind w:left="0" w:right="0" w:hanging="611"/>
        <w:jc w:val="both"/>
        <w:rPr/>
      </w:pPr>
      <w:r>
        <w:rPr>
          <w:color w:val="000000"/>
        </w:rPr>
        <w:t>•</w:t>
      </w:r>
      <w:r>
        <w:rPr>
          <w:rFonts w:ascii="Times New Roman;serif" w:hAnsi="Times New Roman;serif"/>
          <w:b w:val="false"/>
          <w:color w:val="000000"/>
          <w:sz w:val="20"/>
        </w:rPr>
        <w:t xml:space="preserve">Based on the results of our current assessment, approximately 2,000 components used in our products contain conflict minerals. These components are used in products that represented approximately 8% of our consolidated revenues for fiscal year 2025. </w:t>
      </w:r>
    </w:p>
    <w:p>
      <w:pPr>
        <w:pStyle w:val="TextBody"/>
        <w:bidi w:val="0"/>
        <w:spacing w:before="0" w:after="0"/>
        <w:jc w:val="both"/>
        <w:rPr/>
      </w:pPr>
      <w:r>
        <w:rPr/>
      </w:r>
    </w:p>
    <w:p>
      <w:pPr>
        <w:pStyle w:val="TextBody"/>
        <w:bidi w:val="0"/>
        <w:spacing w:lineRule="auto" w:line="288" w:before="0" w:after="0"/>
        <w:ind w:left="0" w:right="0" w:hanging="611"/>
        <w:jc w:val="both"/>
        <w:rPr/>
      </w:pPr>
      <w:r>
        <w:rPr>
          <w:color w:val="000000"/>
        </w:rPr>
        <w:t>•</w:t>
      </w:r>
      <w:r>
        <w:rPr>
          <w:rFonts w:ascii="Times New Roman;serif" w:hAnsi="Times New Roman;serif"/>
          <w:b w:val="false"/>
          <w:color w:val="000000"/>
          <w:sz w:val="20"/>
        </w:rPr>
        <w:t>Suppliers providing components containing necessary conflict minerals to our impacted business units were included in the RCOI process. Completed responses were received from 81% of the 85 surveyed suppliers.</w:t>
      </w:r>
    </w:p>
    <w:p>
      <w:pPr>
        <w:pStyle w:val="TextBody"/>
        <w:bidi w:val="0"/>
        <w:spacing w:before="3" w:after="283"/>
        <w:jc w:val="both"/>
        <w:rPr/>
      </w:pPr>
      <w:r>
        <w:rPr/>
      </w:r>
    </w:p>
    <w:p>
      <w:pPr>
        <w:pStyle w:val="TextBody"/>
        <w:bidi w:val="0"/>
        <w:spacing w:lineRule="auto" w:line="288" w:before="0" w:after="0"/>
        <w:ind w:left="0" w:right="0" w:hanging="601"/>
        <w:jc w:val="both"/>
        <w:rPr/>
      </w:pPr>
      <w:r>
        <w:rPr>
          <w:color w:val="000000"/>
        </w:rPr>
        <w:t>•</w:t>
      </w:r>
      <w:r>
        <w:rPr>
          <w:rFonts w:ascii="Times New Roman;serif" w:hAnsi="Times New Roman;serif"/>
          <w:b w:val="false"/>
          <w:color w:val="000000"/>
          <w:sz w:val="20"/>
        </w:rPr>
        <w:t>Based on the supplier representations contained in the survey responses received through April 16, 2026, a subset of components provided to us has been determined to contain conflict minerals originating from the Covered Countries. These components primarily originated from smelters/refiners that have been certified by RMI as Conformant. However, suppliers responding to our inquiries indicated that the information provided in their responses was applicable to their customers as a whole, rather than us in particular; as a result, we have been unable to fully determine whether our necessary conflict minerals were specifically sourced from the Covered Countries or came from recycled or scrap sources.</w:t>
      </w:r>
    </w:p>
    <w:p>
      <w:pPr>
        <w:pStyle w:val="TextBody"/>
        <w:bidi w:val="0"/>
        <w:spacing w:before="7" w:after="283"/>
        <w:jc w:val="both"/>
        <w:rPr/>
      </w:pPr>
      <w:r>
        <w:rPr/>
      </w:r>
    </w:p>
    <w:p>
      <w:pPr>
        <w:pStyle w:val="TextBody"/>
        <w:bidi w:val="0"/>
        <w:spacing w:lineRule="auto" w:line="288" w:before="1" w:after="283"/>
        <w:ind w:left="0" w:right="0" w:firstLine="605"/>
        <w:jc w:val="both"/>
        <w:rPr>
          <w:rFonts w:ascii="Times New Roman;serif" w:hAnsi="Times New Roman;serif"/>
          <w:b w:val="false"/>
          <w:color w:val="000000"/>
          <w:sz w:val="20"/>
        </w:rPr>
      </w:pPr>
      <w:r>
        <w:rPr>
          <w:rFonts w:ascii="Times New Roman;serif" w:hAnsi="Times New Roman;serif"/>
          <w:b w:val="false"/>
          <w:color w:val="000000"/>
          <w:sz w:val="20"/>
        </w:rPr>
        <w:t>The due diligence procedures described above, including our RCOI process, resulted in the following assertions for calendar year 2025:</w:t>
      </w:r>
    </w:p>
    <w:p>
      <w:pPr>
        <w:pStyle w:val="TextBody"/>
        <w:bidi w:val="0"/>
        <w:spacing w:before="9" w:after="283"/>
        <w:jc w:val="both"/>
        <w:rPr/>
      </w:pPr>
      <w:r>
        <w:rPr/>
      </w:r>
    </w:p>
    <w:p>
      <w:pPr>
        <w:pStyle w:val="TextBody"/>
        <w:bidi w:val="0"/>
        <w:spacing w:lineRule="auto" w:line="288" w:before="1" w:after="283"/>
        <w:ind w:left="0" w:right="0" w:hanging="611"/>
        <w:jc w:val="both"/>
        <w:rPr/>
      </w:pPr>
      <w:r>
        <w:rPr>
          <w:color w:val="000000"/>
        </w:rPr>
        <w:t>•</w:t>
      </w:r>
      <w:r>
        <w:rPr>
          <w:rFonts w:ascii="Times New Roman;serif" w:hAnsi="Times New Roman;serif"/>
          <w:b w:val="false"/>
          <w:color w:val="000000"/>
          <w:sz w:val="20"/>
        </w:rPr>
        <w:t>We have been unable to fully determine and describe the specific facilities used to process our necessary conflict minerals.</w:t>
      </w:r>
    </w:p>
    <w:p>
      <w:pPr>
        <w:pStyle w:val="TextBody"/>
        <w:bidi w:val="0"/>
        <w:spacing w:before="0" w:after="0"/>
        <w:ind w:left="0" w:right="0" w:hanging="251"/>
        <w:jc w:val="both"/>
        <w:rPr/>
      </w:pPr>
      <w:r>
        <w:rPr/>
      </w:r>
    </w:p>
    <w:p>
      <w:pPr>
        <w:pStyle w:val="TextBody"/>
        <w:bidi w:val="0"/>
        <w:spacing w:lineRule="auto" w:line="288" w:before="0" w:after="0"/>
        <w:ind w:left="0" w:right="0" w:hanging="612"/>
        <w:jc w:val="both"/>
        <w:rPr/>
      </w:pPr>
      <w:r>
        <w:rPr>
          <w:color w:val="000000"/>
        </w:rPr>
        <w:t>•</w:t>
      </w:r>
      <w:r>
        <w:rPr>
          <w:rFonts w:ascii="Times New Roman;serif" w:hAnsi="Times New Roman;serif"/>
          <w:b w:val="false"/>
          <w:color w:val="000000"/>
          <w:sz w:val="20"/>
        </w:rPr>
        <w:t>Consistent with the OECD Guidance for downstream companies such as us, our efforts to determine the mine or location of origin of our necessary conflict minerals encompassed the due diligence procedures described above and have not been conclusive.</w:t>
      </w:r>
    </w:p>
    <w:p>
      <w:pPr>
        <w:pStyle w:val="TextBody"/>
        <w:bidi w:val="0"/>
        <w:spacing w:before="0" w:after="0"/>
        <w:ind w:left="0" w:right="0" w:hanging="252"/>
        <w:jc w:val="both"/>
        <w:rPr/>
      </w:pPr>
      <w:r>
        <w:rPr/>
      </w:r>
    </w:p>
    <w:p>
      <w:pPr>
        <w:pStyle w:val="TextBody"/>
        <w:bidi w:val="0"/>
        <w:spacing w:lineRule="auto" w:line="288"/>
        <w:ind w:left="0" w:right="0" w:hanging="612"/>
        <w:jc w:val="both"/>
        <w:rPr/>
      </w:pPr>
      <w:r>
        <w:rPr>
          <w:color w:val="000000"/>
        </w:rPr>
        <w:t>•</w:t>
      </w:r>
      <w:r>
        <w:rPr>
          <w:rFonts w:ascii="Times New Roman;serif" w:hAnsi="Times New Roman;serif"/>
          <w:b w:val="false"/>
          <w:color w:val="000000"/>
          <w:sz w:val="20"/>
        </w:rPr>
        <w:t xml:space="preserve">Our supplier responses included Conformant, Non-Conformant, Undeterminable and Unknown smelters. The status of the reported smelters was 64% Conformant, 1% Non-Conformant and 35% Undeterminable. To provide transparency into our supply chain and based on the information provided by the responding suppliers for 2025, we believe that the facilities that may have been used to process 3TGs in our products include the smelters and refiners listed in the Appendix attached hereto. Only Conformant, Non-Conformant and Undeterminable smelters have been included in the Appendix. Unknown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facilities, which are those without sufficient information to reconcile their identity on RMI’s publicly-available lists, have not been included.</w:t>
      </w:r>
    </w:p>
    <w:p>
      <w:pPr>
        <w:pStyle w:val="TextBody"/>
        <w:bidi w:val="0"/>
        <w:spacing w:before="0" w:after="0"/>
        <w:ind w:left="0" w:right="0" w:hanging="251"/>
        <w:jc w:val="left"/>
        <w:rPr/>
      </w:pPr>
      <w:r>
        <w:rPr/>
      </w:r>
    </w:p>
    <w:p>
      <w:pPr>
        <w:pStyle w:val="TextBody"/>
        <w:bidi w:val="0"/>
        <w:spacing w:lineRule="auto" w:line="288" w:before="0" w:after="0"/>
        <w:ind w:left="0" w:right="0" w:hanging="611"/>
        <w:jc w:val="both"/>
        <w:rPr/>
      </w:pPr>
      <w:r>
        <w:rPr>
          <w:color w:val="000000"/>
        </w:rPr>
        <w:t>•</w:t>
      </w:r>
      <w:r>
        <w:rPr>
          <w:rFonts w:ascii="Times New Roman;serif" w:hAnsi="Times New Roman;serif"/>
          <w:b w:val="false"/>
          <w:color w:val="000000"/>
          <w:sz w:val="20"/>
        </w:rPr>
        <w:t>Conformant facilities are those that have successfully completed an assessment evaluating their due diligence systems and processes against the applicable RMI standards. Non-Conformant facilities are those that have undergone an assessment, but did not conform to the standards. Undeterminable facilities are those that are able to undergo an assessment but have not yet committed to doing so, as well as those that are in the pre-assessment, assessment or corrective action phase and have not finalized their assessment.</w:t>
      </w:r>
    </w:p>
    <w:p>
      <w:pPr>
        <w:pStyle w:val="TextBody"/>
        <w:bidi w:val="0"/>
        <w:spacing w:before="7"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77" w:after="283"/>
        <w:jc w:val="center"/>
        <w:rPr>
          <w:rFonts w:ascii="Times New Roman;serif" w:hAnsi="Times New Roman;serif"/>
          <w:b/>
          <w:color w:val="000000"/>
          <w:sz w:val="20"/>
          <w:u w:val="single"/>
        </w:rPr>
      </w:pPr>
      <w:r>
        <w:rPr>
          <w:rFonts w:ascii="Times New Roman;serif" w:hAnsi="Times New Roman;serif"/>
          <w:b/>
          <w:color w:val="000000"/>
          <w:sz w:val="20"/>
          <w:u w:val="single"/>
        </w:rPr>
        <w:t>APPENDIX — Conformant, Non-Conformant and Undeterminable Smelters</w:t>
      </w:r>
    </w:p>
    <w:p>
      <w:pPr>
        <w:pStyle w:val="TextBody"/>
        <w:bidi w:val="0"/>
        <w:spacing w:before="2" w:after="283"/>
        <w:jc w:val="left"/>
        <w:rPr/>
      </w:pPr>
      <w:r>
        <w:rPr/>
      </w:r>
    </w:p>
    <w:tbl>
      <w:tblPr>
        <w:tblW w:w="10205" w:type="dxa"/>
        <w:jc w:val="left"/>
        <w:tblInd w:w="0" w:type="dxa"/>
        <w:tblLayout w:type="fixed"/>
        <w:tblCellMar>
          <w:top w:w="28" w:type="dxa"/>
          <w:left w:w="28" w:type="dxa"/>
          <w:bottom w:w="28" w:type="dxa"/>
          <w:right w:w="28" w:type="dxa"/>
        </w:tblCellMar>
      </w:tblPr>
      <w:tblGrid>
        <w:gridCol w:w="325"/>
        <w:gridCol w:w="285"/>
        <w:gridCol w:w="291"/>
        <w:gridCol w:w="354"/>
        <w:gridCol w:w="354"/>
        <w:gridCol w:w="358"/>
        <w:gridCol w:w="1519"/>
        <w:gridCol w:w="1462"/>
        <w:gridCol w:w="1464"/>
        <w:gridCol w:w="787"/>
        <w:gridCol w:w="735"/>
        <w:gridCol w:w="737"/>
        <w:gridCol w:w="445"/>
        <w:gridCol w:w="445"/>
        <w:gridCol w:w="644"/>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Metal</w:t>
            </w:r>
          </w:p>
        </w:tc>
        <w:tc>
          <w:tcPr>
            <w:tcW w:w="1066" w:type="dxa"/>
            <w:gridSpan w:val="3"/>
            <w:tcBorders>
              <w:top w:val="single" w:sz="4" w:space="0" w:color="000000"/>
              <w:left w:val="single" w:sz="4"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Smelter ID</w:t>
            </w:r>
          </w:p>
        </w:tc>
        <w:tc>
          <w:tcPr>
            <w:tcW w:w="4445" w:type="dxa"/>
            <w:gridSpan w:val="3"/>
            <w:tcBorders>
              <w:top w:val="single" w:sz="4" w:space="0" w:color="000000"/>
              <w:left w:val="single" w:sz="4"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Reference List</w:t>
            </w:r>
          </w:p>
        </w:tc>
        <w:tc>
          <w:tcPr>
            <w:tcW w:w="2259" w:type="dxa"/>
            <w:gridSpan w:val="3"/>
            <w:tcBorders>
              <w:top w:val="single" w:sz="4" w:space="0" w:color="000000"/>
              <w:left w:val="single" w:sz="4"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Location</w:t>
            </w:r>
          </w:p>
        </w:tc>
        <w:tc>
          <w:tcPr>
            <w:tcW w:w="1534" w:type="dxa"/>
            <w:gridSpan w:val="3"/>
            <w:tcBorders>
              <w:top w:val="single" w:sz="4" w:space="0" w:color="000000"/>
              <w:left w:val="single" w:sz="4" w:space="0" w:color="000000"/>
              <w:bottom w:val="single" w:sz="8"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RMI Status</w:t>
            </w:r>
          </w:p>
        </w:tc>
      </w:tr>
      <w:tr>
        <w:trPr/>
        <w:tc>
          <w:tcPr>
            <w:tcW w:w="901"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CID000004</w:t>
            </w:r>
          </w:p>
        </w:tc>
        <w:tc>
          <w:tcPr>
            <w:tcW w:w="4445"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A.L.M.T. Corp.</w:t>
            </w:r>
          </w:p>
        </w:tc>
        <w:tc>
          <w:tcPr>
            <w:tcW w:w="2259"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534" w:type="dxa"/>
            <w:gridSpan w:val="3"/>
            <w:tcBorders>
              <w:top w:val="single" w:sz="8"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CID000015</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Chemical Company</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CID000019</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Aida Chemical Industries Co., Ltd.</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CID000035</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Agosi AG</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CID000041</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Almalyk Mining and Metallurgical Complex</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Uzbekistan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CID000058</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AngloGold Ashanti Corrego do Sitio Mineracao</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CID000077</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Argor-Heraeus S.A.</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CID000082</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ASAHI METALFINE, Inc.</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CID000090</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Asaka Riken Co., Ltd.</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CID000103</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Atasay Kuyumculuk Sanayi Ve Ticaret A.S.</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Türkiye </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CID000105</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Kennametal Huntsville</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CID000113</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Aurubis AG</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CID000128</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Bangko Sentral ng Pilipinas (Central Bank of the Philippines)</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CID000157</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Boliden Ronnskar</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CID000176</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 Hafner GmbH + Co. KG</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CID000180</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Caridad</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CID000185</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CCR Refinery - Glencore Canada Corporation</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CID000189</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Cendres + Metaux S.A.</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CID000197</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Yunnan Copper Industry Co., Ltd.</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CID000211</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Changsha South Tantalum Niobium Co., Ltd.</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CID000218</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Guangdong Xianglu Tungsten Co., Ltd.</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CID000228</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Chenzhou Yun Xiang mining limited liability company</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CID000233</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Chimet S.p.A.</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CID000244</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Jiangxi Ketai Advanced Material Co., Ltd.</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CID000258</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Chongyi Zhangyuan Tungsten Co., Ltd.</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CID000264</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Chugai Mining</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CID000281</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CNMC (Guangxi) PGMA Co., Ltd.</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CID000291</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Guangdong Rising Rare Metals-EO Materials Ltd.</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CID000292</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Alpha Assembly Solutions Inc</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CID000295</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Cooperativa Metalurgica de Rondônia Ltda.</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CID000306</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CV Gita Pesona</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CID000307</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Justindo</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CID000308</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CV Makmur Jaya</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CID000309</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Aries Kencana Sejahtera</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CID000313</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Premium Tin Indonesia</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CID000315</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CV United Smelting</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CID000343</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Daye Non-Ferrous Metals Mining Ltd.</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CID000359</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DSC (Do Sung Corporation)</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CID000362</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DODUCO Contacts and Refining GmbH</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CID000377</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Dongguan Best Alloys Co., Ltd.</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CID000401</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Dowa</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CID000402</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Dowa</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CID000425</w:t>
            </w:r>
          </w:p>
        </w:tc>
        <w:tc>
          <w:tcPr>
            <w:tcW w:w="4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Eco-System Recycling Co., Ltd. East Plant</w:t>
            </w:r>
          </w:p>
        </w:tc>
        <w:tc>
          <w:tcPr>
            <w:tcW w:w="2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CID000438</w:t>
            </w:r>
          </w:p>
        </w:tc>
        <w:tc>
          <w:tcPr>
            <w:tcW w:w="44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 Vinto</w:t>
            </w:r>
          </w:p>
        </w:tc>
        <w:tc>
          <w:tcPr>
            <w:tcW w:w="22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Plurinational State of Bolivia</w:t>
            </w:r>
          </w:p>
        </w:tc>
        <w:tc>
          <w:tcPr>
            <w:tcW w:w="153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
        <w:gridCol w:w="286"/>
        <w:gridCol w:w="289"/>
        <w:gridCol w:w="354"/>
        <w:gridCol w:w="354"/>
        <w:gridCol w:w="358"/>
        <w:gridCol w:w="1641"/>
        <w:gridCol w:w="1607"/>
        <w:gridCol w:w="1583"/>
        <w:gridCol w:w="667"/>
        <w:gridCol w:w="639"/>
        <w:gridCol w:w="642"/>
        <w:gridCol w:w="424"/>
        <w:gridCol w:w="424"/>
        <w:gridCol w:w="611"/>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Metal</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Smelter ID</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Reference List</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Location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RMI Status</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CID000448</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Estanho de Rondnia S.A.</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CID000460</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F&amp;X Electro-Materials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CID000466</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Feinhutte Halsbrucke GmbH</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CID000468</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Fenix Metals</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CID000493</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JSC Novosibirsk Refinery</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CID000522</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Refinery of Seemine Gold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CID000538</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Gejiu Non-Ferrous Metal Processing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CID000555</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Gejiu Zili Mining And Metallurgy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CID000568</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Tungsten &amp; Powders LLC</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CID000572</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 Bell Group</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CID000616</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XIMEI RESOURCES (GUANGDONG) LIMITED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CID000671</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Hangzhou Fuchunjiang Smelting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CID000689</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 Metal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CID000694</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Heimerle + Meule GmbH</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CID000707</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Heraeus Metals Hong Kong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CID000711</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Heraeus Germany GmbH Co. KG</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CID000760</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Huichang Jinshunda Tin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CID000766</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Hunan Chenzhou Mining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CID000767</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Hunan Chenzhou Mining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CID000769</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Hunan Jintai New Material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CID000773</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Hunan Guiyang yinxing Nonferrous Smelting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CID000778</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HwaSeong CJ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CID000801</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Inner Mongolia Qiankun Gold and Silver Refinery Share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CID000807</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Ishifuku Metal Industry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CID000814</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Istanbul Gold Refinery</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Türkiye</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CID000823</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 Mint</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CID000825</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 New Metals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CID000855</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Jiangxi Copper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CID000914</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JiuJiang JinXin Nonferrous Metals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CID000917</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Jiujiang Tanbre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CID000920</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Asahi Refining USA Inc.</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CID000924</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Asahi Refining Canada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CID000927</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JSC Ekaterinburg Non-Ferrous Metal Processing Plant</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CID000929</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JSC Uralelectromed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CID000937</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JX Nippon Mining &amp; Metals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CID000942</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Gejiu Kai Meng Industry and Trade LLC</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CID000956</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Kazakhmys Smelting LLC</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Kazakhstan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CID000957</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Kazzinc</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Kazakhstan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CID000966</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Kennametal Fallon</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CID000969</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Kennecott Utah Copper LLC</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CID000981</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Kojima Chemicals Co., Ltd.</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CID001029</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Kyrgyzaltyn JSC</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Kyrgyzstan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CID001032</w:t>
            </w:r>
          </w:p>
        </w:tc>
        <w:tc>
          <w:tcPr>
            <w:tcW w:w="4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L'azurde Company For Jewelry</w:t>
            </w:r>
          </w:p>
        </w:tc>
        <w:tc>
          <w:tcPr>
            <w:tcW w:w="194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Saudi Arabia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CID001056</w:t>
            </w:r>
          </w:p>
        </w:tc>
        <w:tc>
          <w:tcPr>
            <w:tcW w:w="48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Lingbao Gold Co., Ltd.</w:t>
            </w:r>
          </w:p>
        </w:tc>
        <w:tc>
          <w:tcPr>
            <w:tcW w:w="194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
        <w:gridCol w:w="286"/>
        <w:gridCol w:w="289"/>
        <w:gridCol w:w="354"/>
        <w:gridCol w:w="354"/>
        <w:gridCol w:w="358"/>
        <w:gridCol w:w="1590"/>
        <w:gridCol w:w="1568"/>
        <w:gridCol w:w="1571"/>
        <w:gridCol w:w="690"/>
        <w:gridCol w:w="678"/>
        <w:gridCol w:w="681"/>
        <w:gridCol w:w="425"/>
        <w:gridCol w:w="425"/>
        <w:gridCol w:w="610"/>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Metal</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Smelter ID</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Reference List</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Location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RMI Status</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CID001058</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Lingbao Jinyuan Tonghui Refinery Co.,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CID001063</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Linwu Xianggui Ore Smelting Co.,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CID001070</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 Tin Group Co.,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CID001076</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 Brasil</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CID001078</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LS MnM Inc.</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CID001093</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Luoyang Zijin Yinhui Gold Refinery Co.,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CID001105</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 Smelting Corporation</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CID001113</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Materion</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CID001119</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Matsuda Sangyo Co.,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CID001142</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Metallic Resources, Inc.</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CID001143</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Metallo Chimique</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CID001147</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Metalor Technologies (Suzhou)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CID001149</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Metalor Technologies (Hong Kong)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CID001152</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Metalor Technologies (Singapore) Pte.,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CID001153</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Metalor Technologies S.A.</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CID001157</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Metalor USA Refining Corporation</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CID001161</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Metalurgica Met-Mex Penoles S.A. De C.V.</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CID001163</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Metallurgical Products India Pvt.,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CID001173</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Mineracao Taboca S.A.</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CID001175</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Mineracao Taboca S.A.</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CID001182</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Minsur</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Peru</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CID001188</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Mitsubishi Materials Corporation</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CID001191</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Ikuno Tin Smelter</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CID001192</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Mitsui Mining and Smelting Co.,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CID001193</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Mitsui Mining and Smelting Co.,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CID001200</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NPM Silmet AS</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Estonia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CID001204</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Moscow Special Alloys Processing Plant</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CID001220</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Nadir Metal Rafineri San. Ve Tic. A.S.</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Türkiye</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CID001231</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Jiangxi New Nanshan Technology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CID001236</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Navoi Mining and Metallurgical Combinat</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Uzbekistan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CID001259</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Nihon Material Co.,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CID001277</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Ningxia Orient Tantalum Industry Co.,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CID001305</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Novosibirsk Tin Combine</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CID001314</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 Manufacturing (Thailand) Co.,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CID001325</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Ohura Precious Metal Industry Co.,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CID001326</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OJSC "The Gulidov Krasnoyarsk Non-Ferrous Metals Plant"</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CID001337</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OMSA</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Bolivia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CID001352</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MKS PAMP SA</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CID001362</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Penglai Penggang Gold Industry Co., Ltd.</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CID001386</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Prioksky Plant of Non-Ferrous Metals</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CID001393</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Alam Lestari Kencana</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CID001397</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Aneka Tambang (Persero) Tbk</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CID001399</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Artha Cipta Langgeng</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CID001402</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Babel Inti Perkasa</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CID001406</w:t>
            </w:r>
          </w:p>
        </w:tc>
        <w:tc>
          <w:tcPr>
            <w:tcW w:w="47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Babel Surya Alam Lestari</w:t>
            </w:r>
          </w:p>
        </w:tc>
        <w:tc>
          <w:tcPr>
            <w:tcW w:w="20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CID001409</w:t>
            </w:r>
          </w:p>
        </w:tc>
        <w:tc>
          <w:tcPr>
            <w:tcW w:w="47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Bangka Kudai Tin</w:t>
            </w:r>
          </w:p>
        </w:tc>
        <w:tc>
          <w:tcPr>
            <w:tcW w:w="20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
        <w:gridCol w:w="286"/>
        <w:gridCol w:w="289"/>
        <w:gridCol w:w="354"/>
        <w:gridCol w:w="354"/>
        <w:gridCol w:w="358"/>
        <w:gridCol w:w="1528"/>
        <w:gridCol w:w="1499"/>
        <w:gridCol w:w="1502"/>
        <w:gridCol w:w="734"/>
        <w:gridCol w:w="719"/>
        <w:gridCol w:w="722"/>
        <w:gridCol w:w="445"/>
        <w:gridCol w:w="445"/>
        <w:gridCol w:w="644"/>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Metal</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Smelter ID</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Reference List</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Location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RMI Status</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CID001412</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Bangka Putra Karya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CID001419</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Bangka Tin Industry</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CID001421</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Belitung Industri Sejahtera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CID001424</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BilliTin Makmur Lestari</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CID001428</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Bukit Timah</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CID001434</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DS Jaya Abadi</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CID001438</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Eunindo Usaha Mandiri</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CID001442</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Fang Di MulTindo</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CID001445</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HP Metals Indonesia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CID001448</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Karimun Mining</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CID001449</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KOBA TIN</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CID001453</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Mitra Stania Prima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CID001457</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Panca Mega Persada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CID001458</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Prima Timah Utama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CID001460</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Refined Bangka Tin</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CID001463</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Sariwiguna Binasentosa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CID001466</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Seirama Tin Investment</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CID001468</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Stanindo Inti Perkasa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CID001471</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Sumber Jaya Indah</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CID001477</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Kundur Smelter</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CID001482</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Timah Tbk Mentok</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CID001486</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Smelter not yet identified</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Unknown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CID001490</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Tinindo Inter Nusa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CID001493</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Tommy Utama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CID001498</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PX Precinox S.A.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CID001508</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QuantumClean</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CID001512</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 Refinery (Pty) Ltd.</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CID001522</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Yanling Jincheng Tantalum &amp; Niobium Co., Ltd.</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CID001534</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 Canadian Mint</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CID001539</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Rui Da Hung</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CID001546</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Sabin Metal Corp.</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CID001555</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Samduck Precious Metals</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CID001562</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Samwon Metals Corp.</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CID001585</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SEMPSA Joyeria Plateria S.A.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CID001619</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Shandong Tiancheng Biological Gold Industrial Co., Ltd.</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CID001622</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Shandong Zhaojin Gold &amp; Silver Refinery Co., Ltd.</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CID001736</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Sichuan Tianze Precious Metals Co., Ltd.</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CID001756</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SOE Shyolkovsky Factory of Secondary Precious Metals</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CID001758</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 Metais Ltda.</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CID001761</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Solar Applied Materials Technology Corp.</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CID001769</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Solikamsk Magnesium Works OAO</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CID001798</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Sumitomo Metal Mining Co., Ltd.</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CID001810</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 Dragon Technology Co., Ltd.</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CID001869</w:t>
            </w:r>
          </w:p>
        </w:tc>
        <w:tc>
          <w:tcPr>
            <w:tcW w:w="45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Taki Chemical Co., Ltd.</w:t>
            </w:r>
          </w:p>
        </w:tc>
        <w:tc>
          <w:tcPr>
            <w:tcW w:w="21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CID001875</w:t>
            </w:r>
          </w:p>
        </w:tc>
        <w:tc>
          <w:tcPr>
            <w:tcW w:w="45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Tanaka Kikinzoku Kogyo K.K.</w:t>
            </w:r>
          </w:p>
        </w:tc>
        <w:tc>
          <w:tcPr>
            <w:tcW w:w="21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53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
        <w:gridCol w:w="286"/>
        <w:gridCol w:w="289"/>
        <w:gridCol w:w="354"/>
        <w:gridCol w:w="354"/>
        <w:gridCol w:w="358"/>
        <w:gridCol w:w="1623"/>
        <w:gridCol w:w="1587"/>
        <w:gridCol w:w="1590"/>
        <w:gridCol w:w="675"/>
        <w:gridCol w:w="651"/>
        <w:gridCol w:w="653"/>
        <w:gridCol w:w="424"/>
        <w:gridCol w:w="424"/>
        <w:gridCol w:w="611"/>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Metal</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Smelter ID</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Reference List</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Location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RMI Status</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CID001891</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Telex Metals</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CID001898</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Thaisarco</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CID001908</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Gejiu Yunxin Nonferrous Electrolysis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CID001909</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 Wall Precious Metals Co., Ltd. of CBPM</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CID001916</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 Dong Huangjin</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CID001938</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Tokuriki Honten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CID001947</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Tongling Nonferrous Metals Group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CID001955</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Torecom</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CID001969</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Ulba Metallurgical Plant JSC</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Kazakhstan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CID001980</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Umicore S.A. Business Unit Precious Metals Refining</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CID001993</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Precious Metal Refining, Inc.</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CID002003</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Valcambi S.A.</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CID002015</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VQB Mineral and Trading Group JSC</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CID002030</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Australian Mint (T/a The Perth Mint)</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CID002036</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Solder Metalurgia e Mineracao Ltda.</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CID002044</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Wolfram Bergbau und Hutten AG</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CID002082</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Xiamen Tungsten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CID002100</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Kochi daiicihi Yamaminami plant</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CID002129</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Yokohama Metal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CID002158</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Yunnan Chengfeng Non-ferrous Metals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CID002180</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 Yunnan Tin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CID002224</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Zhongyuan Gold Smelter of Zhongjin Gold Corporation</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CID002243</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 Refinery of Zijin Mining Group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CID002282</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Morris and Watson</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CID002290</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SAFINA A.S.</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CID002313</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Jiangxi Minmetals Gao'an Non-ferrous Metals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CID002314</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Umicore Precious Metals Thailand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CID002315</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Ganzhou Jiangwu Ferrotungsten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CID002316</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Jiangxi Yaosheng Tungsten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CID002317</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Jiangxi Xinsheng Tungsten Industry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CID002318</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Jiangxi Tonggu Non-ferrous Metallurgical &amp; Chemical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CID002319</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Malipo Haiyu Tungsten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CID002320</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Xiamen Tungsten (H.C.)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CID002321</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Jiangxi Gan Bei Tungsten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CID002455</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CV Venus Inti Perkasa</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CID002468</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Magnu's Minerais Metais e Ligas Ltda.</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CID002478</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Tirus Putra Mandiri</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CID002479</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Wahana Perkit Jaya</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CID002492</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Hengyang King Xing Lifeng New Materials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CID002494</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Ganzhou Seadragon W &amp; Mo Co.,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CID002500</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Melt Metais e Ligas S.A.</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CID002502</w:t>
            </w:r>
          </w:p>
        </w:tc>
        <w:tc>
          <w:tcPr>
            <w:tcW w:w="4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Tungsten Products Vietnam Ltd.</w:t>
            </w:r>
          </w:p>
        </w:tc>
        <w:tc>
          <w:tcPr>
            <w:tcW w:w="1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CID002503</w:t>
            </w:r>
          </w:p>
        </w:tc>
        <w:tc>
          <w:tcPr>
            <w:tcW w:w="48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ATD Makmur Mandiri Jaya</w:t>
            </w:r>
          </w:p>
        </w:tc>
        <w:tc>
          <w:tcPr>
            <w:tcW w:w="19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
        <w:gridCol w:w="286"/>
        <w:gridCol w:w="289"/>
        <w:gridCol w:w="354"/>
        <w:gridCol w:w="354"/>
        <w:gridCol w:w="358"/>
        <w:gridCol w:w="1889"/>
        <w:gridCol w:w="1563"/>
        <w:gridCol w:w="1567"/>
        <w:gridCol w:w="645"/>
        <w:gridCol w:w="556"/>
        <w:gridCol w:w="558"/>
        <w:gridCol w:w="424"/>
        <w:gridCol w:w="424"/>
        <w:gridCol w:w="612"/>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Metal</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Smelter ID</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Reference List</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Location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RMI Status</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CID002504</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Block Metals, LLC</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CID002505</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 Metals &amp; Resource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CID002506</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Jiujiang Zhongao Tantalum &amp; Niobium Co.,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CID002508</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XinXing HaoRong Electronic Material Co.,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CID002509</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MMTC-PAMP India Pvt.,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CID002511</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KGHM Polska Miedz S.A.</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CID002512</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Jiangxi Dinghai Tantalum &amp; Niobium Co.,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CID002513</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Hunan Shizhuyuan Nonferrous Metals Co., Ltd. Chenzhou Tungsten Products Branch</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CID002515</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Printers and Refiners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Zimbabwe</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CID002516</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Singway Technology Co.,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CID002517</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 Manufacturing Philippines, Inc.</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CID002525</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Shandong Humon Smelting Co.,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CID002527</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Shenzhen Zhonghenglong Real Industry Co.,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CID002530</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Inti Stania Prima</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CID002539</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KEMET Blue Metals</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CID002541</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H.C. Starck Tungsten GmbH</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CID002542</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H.C. Starck Smelting GmbH &amp; Co. KG</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CID002543</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Masan High-Tech Materials</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CID002544</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H.C. Starck Co.,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CID002545</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TANIOBIS GmbH</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CID002547</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H.C. Starck Hermsdorf GmbH</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CID002548</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H.C. Starck Inc.</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CID002549</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TANIOBIS Japan Co.,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CID002550</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H.C. Starck Smelting GmbH &amp; Co. KG</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CID002551</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Jiangwu H.C. Starck Tungsten Products Co.,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CID002557</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Advanced Metals Boyertown</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CID002558</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Advanced Metals Aizu</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CID002560</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 Etihad Gold Refinery DMCC</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CID002561</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Emirates Gold DMCC</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CID002562</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Precious Metal Refiners</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CID002570</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CV Ayi Jaya</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CID002572</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Electro-Mechanical Facility of the Cao Bang Minerals &amp; Metallurgy Joint Stock Company</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CID002573</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Nghe Tinh Non-Ferrous Metals Joint Stock Company</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CID002580</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T.C.A S.p.A</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CID002582</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REMONDIS PMR B.V.</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CID002584</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Fujairah Gold FZC</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CID002587</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Refining Company</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CID002588</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Shirpur Gold Refinery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CID002589</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Niagara Refining LLC</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CID002592</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CV Dua Sekawan</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CID002593</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CV Tiga Sekawan</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CID002605</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 Zinc Co., Ltd.</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CID002606</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Marsam Metals</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CID002615</w:t>
            </w:r>
          </w:p>
        </w:tc>
        <w:tc>
          <w:tcPr>
            <w:tcW w:w="50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TOO Tau-Ken-Altyn</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Kazakhstan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CID002641</w:t>
            </w:r>
          </w:p>
        </w:tc>
        <w:tc>
          <w:tcPr>
            <w:tcW w:w="50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 Molybdenum Tungsten Co., Ltd.</w:t>
            </w:r>
          </w:p>
        </w:tc>
        <w:tc>
          <w:tcPr>
            <w:tcW w:w="17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5"/>
        <w:gridCol w:w="285"/>
        <w:gridCol w:w="291"/>
        <w:gridCol w:w="354"/>
        <w:gridCol w:w="354"/>
        <w:gridCol w:w="358"/>
        <w:gridCol w:w="1657"/>
        <w:gridCol w:w="1538"/>
        <w:gridCol w:w="1541"/>
        <w:gridCol w:w="670"/>
        <w:gridCol w:w="648"/>
        <w:gridCol w:w="650"/>
        <w:gridCol w:w="445"/>
        <w:gridCol w:w="445"/>
        <w:gridCol w:w="644"/>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Metal</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Smelter ID</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Reference List</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Location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RMI Status</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CID002645</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Ganzhou Haichuang Tungsten Co., Ltd.</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CID002649</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Hydrometallurg, JSC</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CID002660</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Uzbek Refractory and Heat-Resistant Metals</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Uzbekistan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CID002696</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Cipta Persada Mulia</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CID002703</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 Vinh Joint Stock Mineral Processing Company</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CID002706</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Resind Industria e Comercio Ltda.</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CID002707</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Resind Ind e Com Ltda.</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CID002708</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Abington Reldan Metals, LLC</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CID002724</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Unecha Refractory metals plant</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CID002750</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Shenzhen CuiLu Gold Co., Ltd.</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CID002756</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 Ligas</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CID002757</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O.M. Indonesia</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CID002760</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Albino Mountinho Lda.</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Portugal</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CID002761</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SAAMP</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CID002762</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L'Orfebre S.A.</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Andorra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CID002763</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8853 S.p.A.</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CID002765</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Italpreziosi</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CID002773</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Aurubis Beerse</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CID002774</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Aurubis Berango</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CID002776</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Bangka Prima Tin</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CID002778</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WIELAND Edelmetalle GmbH</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CID002779</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Ogussa Osterreichische Gold- und Silber-Scheideanstalt GmbH</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CID002816</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Sukses Inti Makmur</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CID002825</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 Thai Minerals Co., Ltd.</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CID002827</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 Chuangxin Industrial Co., Inc.</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CID002829</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Kijang Jaya Mandiri</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CID002834</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 Nguyen Mining and Metallurgy Co., Ltd.</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CID002835</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Menara Cipta Mulia</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CID002842</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Jiangxi Tuohong New Raw Material</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CID002844</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HuiChang Hill Tin Industry Co., Ltd.</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CID002845</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Moliren Ltd.</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CID002848</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Gejiu Fengming Metallurgy Chemical Plant</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CID002849</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Guanyang Guida Nonferrous Metal Smelting Plant</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CID002850</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 Traders and Refiners</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CID002852</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GGC Gujrat Gold Centre Pvt. Ltd.</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CID002857</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Modeltech Sdn Bhd</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CID002858</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Modeltech Sdn Bhd</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CID002863</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Bangalore Refinery</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CID002865</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Kyshtym Copper-Electrolytic Plant ZAO</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CID002867</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Degussa Sonne / Mond Goldhandel GmbH</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CID002872</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Pease &amp; Curren</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CID002893</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JALAN &amp; Company</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CID002918</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SungEel HiMetal Co., Ltd.</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CID002919</w:t>
            </w:r>
          </w:p>
        </w:tc>
        <w:tc>
          <w:tcPr>
            <w:tcW w:w="4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Planta Recuperadora de Metales SpA</w:t>
            </w:r>
          </w:p>
        </w:tc>
        <w:tc>
          <w:tcPr>
            <w:tcW w:w="19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Chile</w:t>
            </w:r>
          </w:p>
        </w:tc>
        <w:tc>
          <w:tcPr>
            <w:tcW w:w="1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CID002920</w:t>
            </w:r>
          </w:p>
        </w:tc>
        <w:tc>
          <w:tcPr>
            <w:tcW w:w="47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ABC Refinery Pty Ltd.</w:t>
            </w:r>
          </w:p>
        </w:tc>
        <w:tc>
          <w:tcPr>
            <w:tcW w:w="19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53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0"/>
        <w:gridCol w:w="281"/>
        <w:gridCol w:w="285"/>
        <w:gridCol w:w="354"/>
        <w:gridCol w:w="354"/>
        <w:gridCol w:w="358"/>
        <w:gridCol w:w="1749"/>
        <w:gridCol w:w="1613"/>
        <w:gridCol w:w="1617"/>
        <w:gridCol w:w="628"/>
        <w:gridCol w:w="592"/>
        <w:gridCol w:w="594"/>
        <w:gridCol w:w="425"/>
        <w:gridCol w:w="425"/>
        <w:gridCol w:w="610"/>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Metal</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Smelter ID</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Reference List</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Location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RMI Status</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CID002973</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Safimet S.p.A</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CID003116</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Guangdong Hanhe Non-Ferrous Metal Co.,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CID003153</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Research Institute Center for Physical Sciences and Technology</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Lithuania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CID003154</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 Nang Processing Import and Export Joint Stock</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CID003185</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African Gold Refinery</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Uganda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CID003186</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 Coast Refinery</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Ghana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CID003189</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NH Recytech Company</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CID003190</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Chifeng Dajingzi Tin Industry Co.,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CID003205</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Bangka Serumpun</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CID003324</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QG Refining, LLC</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CID003325</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 Technology &amp; Refining</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CID003348</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Dijllah Gold Refinery FZC</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CID003356</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Dongguan CiEXPO Environmental Engineering Co.,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CID003379</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Ma'anshan Weitai Tin Co.,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CID003380</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Masbro Alam Stania</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CID003381</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Rajawali Rimba Perkasa</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CID003382</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CGR Metalloys Pvt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CID003383</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Sovereign Metals</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CID003387</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Luna Smelter,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Rwanda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CID003388</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KGETS Co.,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CID003397</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Yunnan Yunfan Non-ferrous Metals Co.,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CID003401</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Fujian Ganmin RareMetal Co.,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CID003407</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Lianyou Metals Co.,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CID003408</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JSC "Kirovgrad Hard Alloys Plant"</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CID003409</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Precious Minerals and Smelting Limited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CID003410</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Gejiu City Fuxiang Industry and Trade Co.,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CID003416</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NPP Tyazhmetprom LLC</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CID003417</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Hubei Green Tungsten Co.,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CID003424</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Eco-System Recycling Co., Ltd. North Plant</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CID003425</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Eco-System Recycling Co., Ltd. West Plant</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CID003427</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Albasteel Industria e Comercio de Ligas Para Fundicao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CID003449</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Mitra Sukses Globalindo</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CID003461</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Augmont Enterprises Private Limited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CID003463</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Kundan Care Products Ltd.</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CID003468</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Cronimet Brasil Ltda</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CID003486</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CRM Fundicao De Metais E Comercio De Equipamentos Eletronicos Do Brasil Ltda</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CID003487</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Emerald Jewel Industry India Limited (Unit 1)</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CID003488</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Emerald Jewel Industry India Limited (Unit 2)</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CID003489</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Emerald Jewel Industry India Limited (Unit 3)</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CID003490</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Emerald Jewel Industry India Limited (Unit 4)</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CID003497</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 Rasmussen</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Norway</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CID003500</w:t>
            </w:r>
          </w:p>
        </w:tc>
        <w:tc>
          <w:tcPr>
            <w:tcW w:w="49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Alexy Metals</w:t>
            </w:r>
          </w:p>
        </w:tc>
        <w:tc>
          <w:tcPr>
            <w:tcW w:w="1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8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CID003504</w:t>
            </w:r>
          </w:p>
        </w:tc>
        <w:tc>
          <w:tcPr>
            <w:tcW w:w="49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Conecsus LLC</w:t>
            </w:r>
          </w:p>
        </w:tc>
        <w:tc>
          <w:tcPr>
            <w:tcW w:w="18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6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
        <w:gridCol w:w="286"/>
        <w:gridCol w:w="289"/>
        <w:gridCol w:w="354"/>
        <w:gridCol w:w="354"/>
        <w:gridCol w:w="358"/>
        <w:gridCol w:w="1892"/>
        <w:gridCol w:w="1478"/>
        <w:gridCol w:w="1481"/>
        <w:gridCol w:w="700"/>
        <w:gridCol w:w="613"/>
        <w:gridCol w:w="615"/>
        <w:gridCol w:w="424"/>
        <w:gridCol w:w="424"/>
        <w:gridCol w:w="611"/>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Metal</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Smelter ID</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Reference List</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Location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RMI Status</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CID003524</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CRM Synergies</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CID003548</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 Overseas</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CID003557</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Metallix Refining Inc.</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CID003575</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Concentrators SA (Pty) Ltd.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CID003582</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Fabrica Auricchio Industria e Comercio Ltda.</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CID003583</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RFH Yancheng Jinye New Material Technology Co., Ltd.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CID003609</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Fujian Xinlu Tungsten Co., Ltd.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CID003612</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OOO “Technolom” 2</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CID003614</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OOO “Technolom” 1</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CID003615</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WEEEREFINING</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CID003641</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 by Gold Colombia</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Colombia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CID003662</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YUDU ANSHENG TUNGSTEN CO., LTD.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CID003663</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Dongwu Gold Group</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CID003666</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 Precious Metals FZ-LLC</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CID003690</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NOBLE METAL SERVICES</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CID003831</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DS Myanmar</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Myanmar</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CID003868</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Putera Sarana Shakti</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CID003926</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5D Production OU</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Estonia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CID003993</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 Vietnam Joint Stock Company</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CID004010</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Coimpa Industrial LTDA</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CID004034</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 Viet Cromit Joint Stock Company</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CID004054</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PowerX Ltd.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Rwanda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CID004065</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Mining Minerals Resources SARL</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Democratic Republic of the Congo</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CID004397</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Lianyou Resources Co., Ltd.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CID004403</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Takehara PVD Materials Plant / PVD Materials Division of MITSUI MINING &amp; SMELTING CO., LTD.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CID004430</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Shinwon Tungsten (Fujian Shanghang) Co., Ltd.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CID004434</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 Smelting Corporation Berhad (Port Klang)</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CID004435</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SHENZHEN JINJUNWEI RESOURCE COMPREHENSIVE DEVELOPMENT CO., LTD.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CID004438</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 Carreytech Metal Corp.</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CID004491</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TITAN COMPANY LIMITED, JEWELLERY DIVISION</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CID004506</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GG Refinery Ltd.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Tanzania, United Republic of</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CID004604</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Impala Refineries – Base Metals Refinery (BMR)</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CID004610</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Impala Platinum - Rustenburg Smelter</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CID004619</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KENEE MINING VIETNAM COMPANY LIMITED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CID004692</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RIKAYAA GREENTECH PRIVATE LIMITED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CID004697</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Attero Recycling Pvt Ltd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CID004714</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Impala Platinum - Platinum Metals Refinery (PMR)</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CID004724</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Woodcross Smelting Company Limited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Uganda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CID004754</w:t>
            </w:r>
          </w:p>
        </w:tc>
        <w:tc>
          <w:tcPr>
            <w:tcW w:w="4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Advanced Metals Greenbushes Pty Ltd.</w:t>
            </w:r>
          </w:p>
        </w:tc>
        <w:tc>
          <w:tcPr>
            <w:tcW w:w="19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4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CID004755</w:t>
            </w:r>
          </w:p>
        </w:tc>
        <w:tc>
          <w:tcPr>
            <w:tcW w:w="48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Elite Industech Co., Ltd.</w:t>
            </w:r>
          </w:p>
        </w:tc>
        <w:tc>
          <w:tcPr>
            <w:tcW w:w="192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14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5"/>
        <w:gridCol w:w="285"/>
        <w:gridCol w:w="291"/>
        <w:gridCol w:w="354"/>
        <w:gridCol w:w="354"/>
        <w:gridCol w:w="358"/>
        <w:gridCol w:w="1726"/>
        <w:gridCol w:w="1608"/>
        <w:gridCol w:w="1606"/>
        <w:gridCol w:w="650"/>
        <w:gridCol w:w="593"/>
        <w:gridCol w:w="595"/>
        <w:gridCol w:w="425"/>
        <w:gridCol w:w="425"/>
        <w:gridCol w:w="610"/>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Metal</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Smelter ID</w:t>
            </w:r>
          </w:p>
        </w:tc>
        <w:tc>
          <w:tcPr>
            <w:tcW w:w="49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Reference List</w:t>
            </w:r>
          </w:p>
        </w:tc>
        <w:tc>
          <w:tcPr>
            <w:tcW w:w="18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Smelter Location</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RMI Status</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CID004796</w:t>
            </w:r>
          </w:p>
        </w:tc>
        <w:tc>
          <w:tcPr>
            <w:tcW w:w="49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Longnan Chuangyue Environmental Protection Technology Development Co., Ltd</w:t>
            </w:r>
          </w:p>
        </w:tc>
        <w:tc>
          <w:tcPr>
            <w:tcW w:w="18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CID004797</w:t>
            </w:r>
          </w:p>
        </w:tc>
        <w:tc>
          <w:tcPr>
            <w:tcW w:w="49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 Bonway Manufacturing Industrial Corporation</w:t>
            </w:r>
          </w:p>
        </w:tc>
        <w:tc>
          <w:tcPr>
            <w:tcW w:w="18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CID004813</w:t>
            </w:r>
          </w:p>
        </w:tc>
        <w:tc>
          <w:tcPr>
            <w:tcW w:w="49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Jiangxi Suns Nonferrous Materials Co. Ltd.</w:t>
            </w:r>
          </w:p>
        </w:tc>
        <w:tc>
          <w:tcPr>
            <w:tcW w:w="18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CID005006</w:t>
            </w:r>
          </w:p>
        </w:tc>
        <w:tc>
          <w:tcPr>
            <w:tcW w:w="49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Gasabo Gold Refinery Ltd</w:t>
            </w:r>
          </w:p>
        </w:tc>
        <w:tc>
          <w:tcPr>
            <w:tcW w:w="18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Rwanda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CID005012</w:t>
            </w:r>
          </w:p>
        </w:tc>
        <w:tc>
          <w:tcPr>
            <w:tcW w:w="49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Jing Yuan Tungsten Technology Co., Ltd.</w:t>
            </w:r>
          </w:p>
        </w:tc>
        <w:tc>
          <w:tcPr>
            <w:tcW w:w="18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CID005014</w:t>
            </w:r>
          </w:p>
        </w:tc>
        <w:tc>
          <w:tcPr>
            <w:tcW w:w="49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Minera Titán del Perú SRL - Belen Plant</w:t>
            </w:r>
          </w:p>
        </w:tc>
        <w:tc>
          <w:tcPr>
            <w:tcW w:w="18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Peru</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CID005067</w:t>
            </w:r>
          </w:p>
        </w:tc>
        <w:tc>
          <w:tcPr>
            <w:tcW w:w="49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Arsed Indonesia</w:t>
            </w:r>
          </w:p>
        </w:tc>
        <w:tc>
          <w:tcPr>
            <w:tcW w:w="18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Conformant</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CID005068</w:t>
            </w:r>
          </w:p>
        </w:tc>
        <w:tc>
          <w:tcPr>
            <w:tcW w:w="49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S.P.T. spol.s r.o.</w:t>
            </w:r>
          </w:p>
        </w:tc>
        <w:tc>
          <w:tcPr>
            <w:tcW w:w="18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Czechia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CID005189</w:t>
            </w:r>
          </w:p>
        </w:tc>
        <w:tc>
          <w:tcPr>
            <w:tcW w:w="49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 Kay Metal, Inc</w:t>
            </w:r>
          </w:p>
        </w:tc>
        <w:tc>
          <w:tcPr>
            <w:tcW w:w="18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4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r>
        <w:trPr/>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CID005248</w:t>
            </w:r>
          </w:p>
        </w:tc>
        <w:tc>
          <w:tcPr>
            <w:tcW w:w="49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Tungamoy Metals Inc.</w:t>
            </w:r>
          </w:p>
        </w:tc>
        <w:tc>
          <w:tcPr>
            <w:tcW w:w="183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c>
          <w:tcPr>
            <w:tcW w:w="146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Undeterminable</w:t>
            </w:r>
          </w:p>
        </w:tc>
      </w:tr>
    </w:tbl>
    <w:p>
      <w:pPr>
        <w:pStyle w:val="TextBody"/>
        <w:bidi w:val="0"/>
        <w:spacing w:before="1"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6099</Words>
  <Characters>38821</Characters>
  <CharactersWithSpaces>42758</CharactersWithSpaces>
  <Paragraphs>2181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