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8" w:lineRule="exact"/>
        <w:rPr>
          <w:sz w:val="24"/>
          <w:szCs w:val="24"/>
          <w:color w:val="auto"/>
        </w:rPr>
      </w:pPr>
    </w:p>
    <w:p>
      <w:pPr>
        <w:spacing w:after="0"/>
        <w:rPr>
          <w:rFonts w:ascii="Times New Roman" w:cs="Times New Roman" w:eastAsia="Times New Roman" w:hAnsi="Times New Roman"/>
          <w:sz w:val="18"/>
          <w:szCs w:val="18"/>
          <w:u w:val="single" w:color="auto"/>
          <w:color w:val="0000EE"/>
        </w:rPr>
      </w:pPr>
      <w:hyperlink w:anchor="page1">
        <w:r>
          <w:rPr>
            <w:rFonts w:ascii="Times New Roman" w:cs="Times New Roman" w:eastAsia="Times New Roman" w:hAnsi="Times New Roman"/>
            <w:sz w:val="18"/>
            <w:szCs w:val="18"/>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154940</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pacing w:after="0" w:line="200" w:lineRule="exact"/>
        <w:rPr>
          <w:sz w:val="24"/>
          <w:szCs w:val="24"/>
          <w:color w:val="auto"/>
        </w:rPr>
      </w:pPr>
    </w:p>
    <w:p>
      <w:pPr>
        <w:spacing w:after="0" w:line="24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UNITED STATES SECURITIES AND EXCHANGE COMMISSION</w:t>
      </w:r>
    </w:p>
    <w:p>
      <w:pPr>
        <w:spacing w:after="0" w:line="2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17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FORM 10-Q</w:t>
      </w:r>
    </w:p>
    <w:p>
      <w:pPr>
        <w:spacing w:after="0" w:line="238"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 One)</w:t>
      </w:r>
    </w:p>
    <w:p>
      <w:pPr>
        <w:spacing w:after="0" w:line="225" w:lineRule="exact"/>
        <w:rPr>
          <w:sz w:val="24"/>
          <w:szCs w:val="24"/>
          <w:color w:val="auto"/>
        </w:rPr>
      </w:pPr>
    </w:p>
    <w:p>
      <w:pPr>
        <w:ind w:left="340" w:right="2060" w:hanging="332"/>
        <w:spacing w:after="0" w:line="286" w:lineRule="auto"/>
        <w:tabs>
          <w:tab w:leader="none" w:pos="227" w:val="left"/>
        </w:tabs>
        <w:numPr>
          <w:ilvl w:val="0"/>
          <w:numId w:val="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QUARTERLY REPORT PURSUANT TO SECTION 13 OR 15(d) OF THE SECURITIES EXCHANGE ACT OF 1934 </w:t>
      </w:r>
      <w:r>
        <w:rPr>
          <w:rFonts w:ascii="Times New Roman" w:cs="Times New Roman" w:eastAsia="Times New Roman" w:hAnsi="Times New Roman"/>
          <w:sz w:val="18"/>
          <w:szCs w:val="18"/>
          <w:color w:val="auto"/>
        </w:rPr>
        <w:t>For the quarterly period ended September 30, 2017.</w:t>
      </w:r>
    </w:p>
    <w:p>
      <w:pPr>
        <w:spacing w:after="0" w:line="15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225" w:lineRule="exact"/>
        <w:rPr>
          <w:sz w:val="24"/>
          <w:szCs w:val="24"/>
          <w:color w:val="auto"/>
        </w:rPr>
      </w:pPr>
    </w:p>
    <w:p>
      <w:pPr>
        <w:ind w:left="260" w:hanging="252"/>
        <w:spacing w:after="0"/>
        <w:tabs>
          <w:tab w:leader="none" w:pos="2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TRANSITION REPORT PURSUANT TO SECTION 13 OR 15(d) OF THE SECURITIES EXCHANGE ACT OF 1934</w:t>
      </w:r>
    </w:p>
    <w:p>
      <w:pPr>
        <w:spacing w:after="0" w:line="31" w:lineRule="exact"/>
        <w:rPr>
          <w:sz w:val="24"/>
          <w:szCs w:val="24"/>
          <w:color w:val="auto"/>
        </w:rPr>
      </w:pPr>
    </w:p>
    <w:p>
      <w:pPr>
        <w:ind w:left="340"/>
        <w:spacing w:after="0"/>
        <w:tabs>
          <w:tab w:leader="none" w:pos="4640" w:val="left"/>
        </w:tabs>
        <w:rPr>
          <w:sz w:val="20"/>
          <w:szCs w:val="20"/>
          <w:color w:val="auto"/>
        </w:rPr>
      </w:pPr>
      <w:r>
        <w:rPr>
          <w:rFonts w:ascii="Times New Roman" w:cs="Times New Roman" w:eastAsia="Times New Roman" w:hAnsi="Times New Roman"/>
          <w:sz w:val="18"/>
          <w:szCs w:val="18"/>
          <w:color w:val="auto"/>
        </w:rPr>
        <w:t>For the transition period from</w:t>
      </w:r>
      <w:r>
        <w:rPr>
          <w:sz w:val="20"/>
          <w:szCs w:val="20"/>
          <w:color w:val="auto"/>
        </w:rPr>
        <w:tab/>
      </w:r>
      <w:r>
        <w:rPr>
          <w:rFonts w:ascii="Times New Roman" w:cs="Times New Roman" w:eastAsia="Times New Roman" w:hAnsi="Times New Roman"/>
          <w:sz w:val="17"/>
          <w:szCs w:val="17"/>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1598295</wp:posOffset>
            </wp:positionH>
            <wp:positionV relativeFrom="paragraph">
              <wp:posOffset>-19050</wp:posOffset>
            </wp:positionV>
            <wp:extent cx="282638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826385" cy="8890"/>
                    </a:xfrm>
                    <a:prstGeom prst="rect">
                      <a:avLst/>
                    </a:prstGeom>
                    <a:noFill/>
                  </pic:spPr>
                </pic:pic>
              </a:graphicData>
            </a:graphic>
          </wp:anchor>
        </w:drawing>
      </w:r>
    </w:p>
    <w:p>
      <w:pPr>
        <w:spacing w:after="0" w:line="18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Commission file number 1-7685</w:t>
      </w:r>
    </w:p>
    <w:p>
      <w:pPr>
        <w:spacing w:after="0" w:line="20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9"/>
          <w:szCs w:val="29"/>
          <w:b w:val="1"/>
          <w:bCs w:val="1"/>
          <w:color w:val="auto"/>
        </w:rPr>
        <w:t>AVERY DENNISON CORPORATION</w:t>
      </w:r>
    </w:p>
    <w:p>
      <w:pPr>
        <w:spacing w:after="0" w:line="4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1" w:lineRule="exact"/>
        <w:rPr>
          <w:sz w:val="24"/>
          <w:szCs w:val="24"/>
          <w:color w:val="auto"/>
        </w:rPr>
      </w:pPr>
    </w:p>
    <w:tbl>
      <w:tblPr>
        <w:tblLayout w:type="fixed"/>
        <w:tblInd w:w="3180" w:type="dxa"/>
        <w:tblCellMar>
          <w:top w:w="0" w:type="dxa"/>
          <w:left w:w="0" w:type="dxa"/>
          <w:bottom w:w="0" w:type="dxa"/>
          <w:right w:w="0" w:type="dxa"/>
        </w:tblCellMar>
      </w:tblPr>
      <w:tr>
        <w:trPr>
          <w:trHeight w:val="216"/>
        </w:trPr>
        <w:tc>
          <w:tcPr>
            <w:tcW w:w="3080" w:type="dxa"/>
            <w:vAlign w:val="bottom"/>
          </w:tcPr>
          <w:p>
            <w:pPr>
              <w:jc w:val="center"/>
              <w:ind w:right="639"/>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2820" w:type="dxa"/>
            <w:vAlign w:val="bottom"/>
          </w:tcPr>
          <w:p>
            <w:pPr>
              <w:jc w:val="right"/>
              <w:ind w:right="539"/>
              <w:spacing w:after="0"/>
              <w:rPr>
                <w:sz w:val="20"/>
                <w:szCs w:val="20"/>
                <w:color w:val="auto"/>
              </w:rPr>
            </w:pPr>
            <w:r>
              <w:rPr>
                <w:rFonts w:ascii="Times New Roman" w:cs="Times New Roman" w:eastAsia="Times New Roman" w:hAnsi="Times New Roman"/>
                <w:sz w:val="18"/>
                <w:szCs w:val="18"/>
                <w:b w:val="1"/>
                <w:bCs w:val="1"/>
                <w:color w:val="auto"/>
              </w:rPr>
              <w:t>95-1492269</w:t>
            </w:r>
          </w:p>
        </w:tc>
      </w:tr>
      <w:tr>
        <w:trPr>
          <w:trHeight w:val="149"/>
        </w:trPr>
        <w:tc>
          <w:tcPr>
            <w:tcW w:w="3080" w:type="dxa"/>
            <w:vAlign w:val="bottom"/>
          </w:tcPr>
          <w:p>
            <w:pPr>
              <w:jc w:val="center"/>
              <w:ind w:right="639"/>
              <w:spacing w:after="0" w:line="149" w:lineRule="exact"/>
              <w:rPr>
                <w:sz w:val="20"/>
                <w:szCs w:val="20"/>
                <w:color w:val="auto"/>
              </w:rPr>
            </w:pPr>
            <w:r>
              <w:rPr>
                <w:rFonts w:ascii="Times New Roman" w:cs="Times New Roman" w:eastAsia="Times New Roman" w:hAnsi="Times New Roman"/>
                <w:sz w:val="14"/>
                <w:szCs w:val="14"/>
                <w:color w:val="auto"/>
              </w:rPr>
              <w:t>(State or other jurisdiction of</w:t>
            </w:r>
          </w:p>
        </w:tc>
        <w:tc>
          <w:tcPr>
            <w:tcW w:w="2820" w:type="dxa"/>
            <w:vAlign w:val="bottom"/>
          </w:tcPr>
          <w:p>
            <w:pPr>
              <w:jc w:val="center"/>
              <w:ind w:left="639"/>
              <w:spacing w:after="0" w:line="149" w:lineRule="exact"/>
              <w:rPr>
                <w:sz w:val="20"/>
                <w:szCs w:val="20"/>
                <w:color w:val="auto"/>
              </w:rPr>
            </w:pPr>
            <w:r>
              <w:rPr>
                <w:rFonts w:ascii="Times New Roman" w:cs="Times New Roman" w:eastAsia="Times New Roman" w:hAnsi="Times New Roman"/>
                <w:sz w:val="14"/>
                <w:szCs w:val="14"/>
                <w:color w:val="auto"/>
              </w:rPr>
              <w:t>(I.R.S. Employer Identification No.)</w:t>
            </w:r>
          </w:p>
        </w:tc>
      </w:tr>
      <w:tr>
        <w:trPr>
          <w:trHeight w:val="188"/>
        </w:trPr>
        <w:tc>
          <w:tcPr>
            <w:tcW w:w="3080" w:type="dxa"/>
            <w:vAlign w:val="bottom"/>
          </w:tcPr>
          <w:p>
            <w:pPr>
              <w:jc w:val="center"/>
              <w:ind w:right="639"/>
              <w:spacing w:after="0"/>
              <w:rPr>
                <w:sz w:val="20"/>
                <w:szCs w:val="20"/>
                <w:color w:val="auto"/>
              </w:rPr>
            </w:pPr>
            <w:r>
              <w:rPr>
                <w:rFonts w:ascii="Times New Roman" w:cs="Times New Roman" w:eastAsia="Times New Roman" w:hAnsi="Times New Roman"/>
                <w:sz w:val="14"/>
                <w:szCs w:val="14"/>
                <w:color w:val="auto"/>
              </w:rPr>
              <w:t>incorporation or organization)</w:t>
            </w:r>
          </w:p>
        </w:tc>
        <w:tc>
          <w:tcPr>
            <w:tcW w:w="2820" w:type="dxa"/>
            <w:vAlign w:val="bottom"/>
          </w:tcPr>
          <w:p>
            <w:pPr>
              <w:spacing w:after="0"/>
              <w:rPr>
                <w:sz w:val="16"/>
                <w:szCs w:val="16"/>
                <w:color w:val="auto"/>
              </w:rPr>
            </w:pPr>
          </w:p>
        </w:tc>
      </w:tr>
      <w:tr>
        <w:trPr>
          <w:trHeight w:val="393"/>
        </w:trPr>
        <w:tc>
          <w:tcPr>
            <w:tcW w:w="3080" w:type="dxa"/>
            <w:vAlign w:val="bottom"/>
          </w:tcPr>
          <w:p>
            <w:pPr>
              <w:jc w:val="center"/>
              <w:ind w:right="639"/>
              <w:spacing w:after="0"/>
              <w:rPr>
                <w:sz w:val="20"/>
                <w:szCs w:val="20"/>
                <w:color w:val="auto"/>
              </w:rPr>
            </w:pPr>
            <w:r>
              <w:rPr>
                <w:rFonts w:ascii="Times New Roman" w:cs="Times New Roman" w:eastAsia="Times New Roman" w:hAnsi="Times New Roman"/>
                <w:sz w:val="18"/>
                <w:szCs w:val="18"/>
                <w:b w:val="1"/>
                <w:bCs w:val="1"/>
                <w:color w:val="auto"/>
                <w:w w:val="99"/>
              </w:rPr>
              <w:t>207 Goode Avenue</w:t>
            </w:r>
          </w:p>
        </w:tc>
        <w:tc>
          <w:tcPr>
            <w:tcW w:w="2820" w:type="dxa"/>
            <w:vAlign w:val="bottom"/>
          </w:tcPr>
          <w:p>
            <w:pPr>
              <w:spacing w:after="0"/>
              <w:rPr>
                <w:sz w:val="24"/>
                <w:szCs w:val="24"/>
                <w:color w:val="auto"/>
              </w:rPr>
            </w:pPr>
          </w:p>
        </w:tc>
      </w:tr>
      <w:tr>
        <w:trPr>
          <w:trHeight w:val="216"/>
        </w:trPr>
        <w:tc>
          <w:tcPr>
            <w:tcW w:w="3080" w:type="dxa"/>
            <w:vAlign w:val="bottom"/>
          </w:tcPr>
          <w:p>
            <w:pPr>
              <w:jc w:val="center"/>
              <w:ind w:right="639"/>
              <w:spacing w:after="0"/>
              <w:rPr>
                <w:sz w:val="20"/>
                <w:szCs w:val="20"/>
                <w:color w:val="auto"/>
              </w:rPr>
            </w:pPr>
            <w:r>
              <w:rPr>
                <w:rFonts w:ascii="Times New Roman" w:cs="Times New Roman" w:eastAsia="Times New Roman" w:hAnsi="Times New Roman"/>
                <w:sz w:val="18"/>
                <w:szCs w:val="18"/>
                <w:b w:val="1"/>
                <w:bCs w:val="1"/>
                <w:color w:val="auto"/>
                <w:w w:val="99"/>
              </w:rPr>
              <w:t>Glendale, California</w:t>
            </w:r>
          </w:p>
        </w:tc>
        <w:tc>
          <w:tcPr>
            <w:tcW w:w="2820" w:type="dxa"/>
            <w:vAlign w:val="bottom"/>
          </w:tcPr>
          <w:p>
            <w:pPr>
              <w:jc w:val="right"/>
              <w:ind w:right="739"/>
              <w:spacing w:after="0"/>
              <w:rPr>
                <w:sz w:val="20"/>
                <w:szCs w:val="20"/>
                <w:color w:val="auto"/>
              </w:rPr>
            </w:pPr>
            <w:r>
              <w:rPr>
                <w:rFonts w:ascii="Times New Roman" w:cs="Times New Roman" w:eastAsia="Times New Roman" w:hAnsi="Times New Roman"/>
                <w:sz w:val="18"/>
                <w:szCs w:val="18"/>
                <w:b w:val="1"/>
                <w:bCs w:val="1"/>
                <w:color w:val="auto"/>
              </w:rPr>
              <w:t>91203</w:t>
            </w:r>
          </w:p>
        </w:tc>
      </w:tr>
      <w:tr>
        <w:trPr>
          <w:trHeight w:val="188"/>
        </w:trPr>
        <w:tc>
          <w:tcPr>
            <w:tcW w:w="3080" w:type="dxa"/>
            <w:vAlign w:val="bottom"/>
          </w:tcPr>
          <w:p>
            <w:pPr>
              <w:jc w:val="center"/>
              <w:ind w:right="639"/>
              <w:spacing w:after="0"/>
              <w:rPr>
                <w:sz w:val="20"/>
                <w:szCs w:val="20"/>
                <w:color w:val="auto"/>
              </w:rPr>
            </w:pPr>
            <w:r>
              <w:rPr>
                <w:rFonts w:ascii="Times New Roman" w:cs="Times New Roman" w:eastAsia="Times New Roman" w:hAnsi="Times New Roman"/>
                <w:sz w:val="14"/>
                <w:szCs w:val="14"/>
                <w:color w:val="auto"/>
              </w:rPr>
              <w:t>(Address of Principal Executive Offices)</w:t>
            </w:r>
          </w:p>
        </w:tc>
        <w:tc>
          <w:tcPr>
            <w:tcW w:w="2820" w:type="dxa"/>
            <w:vAlign w:val="bottom"/>
          </w:tcPr>
          <w:p>
            <w:pPr>
              <w:jc w:val="center"/>
              <w:ind w:left="639"/>
              <w:spacing w:after="0"/>
              <w:rPr>
                <w:sz w:val="20"/>
                <w:szCs w:val="20"/>
                <w:color w:val="auto"/>
              </w:rPr>
            </w:pPr>
            <w:r>
              <w:rPr>
                <w:rFonts w:ascii="Times New Roman" w:cs="Times New Roman" w:eastAsia="Times New Roman" w:hAnsi="Times New Roman"/>
                <w:sz w:val="14"/>
                <w:szCs w:val="14"/>
                <w:color w:val="auto"/>
              </w:rPr>
              <w:t>(Zip Code)</w:t>
            </w:r>
          </w:p>
        </w:tc>
      </w:tr>
    </w:tbl>
    <w:p>
      <w:pPr>
        <w:spacing w:after="0" w:line="18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Registrant’s telephone number, including area code: (626) 304-2000</w:t>
      </w:r>
    </w:p>
    <w:p>
      <w:pPr>
        <w:spacing w:after="0" w:line="225" w:lineRule="exact"/>
        <w:rPr>
          <w:sz w:val="24"/>
          <w:szCs w:val="24"/>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x No o</w:t>
      </w:r>
    </w:p>
    <w:p>
      <w:pPr>
        <w:spacing w:after="0" w:line="176" w:lineRule="exact"/>
        <w:rPr>
          <w:sz w:val="24"/>
          <w:szCs w:val="24"/>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x No o</w:t>
      </w:r>
    </w:p>
    <w:p>
      <w:pPr>
        <w:spacing w:after="0" w:line="176" w:lineRule="exact"/>
        <w:rPr>
          <w:sz w:val="24"/>
          <w:szCs w:val="24"/>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 (Check one):</w:t>
      </w:r>
    </w:p>
    <w:p>
      <w:pPr>
        <w:sectPr>
          <w:pgSz w:w="11900" w:h="16857" w:orient="portrait"/>
          <w:cols w:equalWidth="0" w:num="1">
            <w:col w:w="11420"/>
          </w:cols>
          <w:pgMar w:left="240" w:top="229" w:right="239" w:bottom="0" w:gutter="0" w:footer="0" w:header="0"/>
        </w:sectPr>
      </w:pPr>
    </w:p>
    <w:p>
      <w:pPr>
        <w:spacing w:after="0" w:line="2" w:lineRule="exact"/>
        <w:rPr>
          <w:sz w:val="24"/>
          <w:szCs w:val="24"/>
          <w:color w:val="auto"/>
        </w:rPr>
      </w:pPr>
    </w:p>
    <w:p>
      <w:pPr>
        <w:spacing w:after="0"/>
        <w:tabs>
          <w:tab w:leader="none" w:pos="2380" w:val="left"/>
        </w:tabs>
        <w:rPr>
          <w:sz w:val="20"/>
          <w:szCs w:val="20"/>
          <w:color w:val="auto"/>
        </w:rPr>
      </w:pPr>
      <w:r>
        <w:rPr>
          <w:rFonts w:ascii="Times New Roman" w:cs="Times New Roman" w:eastAsia="Times New Roman" w:hAnsi="Times New Roman"/>
          <w:sz w:val="18"/>
          <w:szCs w:val="18"/>
          <w:color w:val="auto"/>
        </w:rPr>
        <w:t>x Large accelerated filer</w:t>
      </w:r>
      <w:r>
        <w:rPr>
          <w:sz w:val="20"/>
          <w:szCs w:val="20"/>
          <w:color w:val="auto"/>
        </w:rPr>
        <w:tab/>
      </w:r>
      <w:r>
        <w:rPr>
          <w:rFonts w:ascii="Times New Roman" w:cs="Times New Roman" w:eastAsia="Times New Roman" w:hAnsi="Times New Roman"/>
          <w:sz w:val="18"/>
          <w:szCs w:val="18"/>
          <w:color w:val="auto"/>
        </w:rPr>
        <w:t>o Accelerated filer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8"/>
          <w:szCs w:val="18"/>
          <w:color w:val="auto"/>
        </w:rPr>
        <w:t>o Non-accelerated filer</w:t>
      </w:r>
    </w:p>
    <w:p>
      <w:pPr>
        <w:spacing w:after="0" w:line="225" w:lineRule="auto"/>
        <w:rPr>
          <w:sz w:val="20"/>
          <w:szCs w:val="20"/>
          <w:color w:val="auto"/>
        </w:rPr>
      </w:pPr>
      <w:r>
        <w:rPr>
          <w:rFonts w:ascii="Times New Roman" w:cs="Times New Roman" w:eastAsia="Times New Roman" w:hAnsi="Times New Roman"/>
          <w:sz w:val="14"/>
          <w:szCs w:val="14"/>
          <w:color w:val="auto"/>
        </w:rPr>
        <w:t>(Do not check if a smaller reporting</w:t>
      </w:r>
    </w:p>
    <w:p>
      <w:pPr>
        <w:spacing w:after="0"/>
        <w:rPr>
          <w:sz w:val="20"/>
          <w:szCs w:val="20"/>
          <w:color w:val="auto"/>
        </w:rPr>
      </w:pPr>
      <w:r>
        <w:rPr>
          <w:rFonts w:ascii="Times New Roman" w:cs="Times New Roman" w:eastAsia="Times New Roman" w:hAnsi="Times New Roman"/>
          <w:sz w:val="14"/>
          <w:szCs w:val="14"/>
          <w:color w:val="auto"/>
        </w:rPr>
        <w:t>company)</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7"/>
          <w:szCs w:val="17"/>
          <w:color w:val="auto"/>
        </w:rPr>
        <w:t>o Smaller reporting company</w:t>
      </w:r>
    </w:p>
    <w:p>
      <w:pPr>
        <w:spacing w:after="0" w:line="20" w:lineRule="exact"/>
        <w:rPr>
          <w:sz w:val="24"/>
          <w:szCs w:val="24"/>
          <w:color w:val="auto"/>
        </w:rPr>
      </w:pPr>
      <w:r>
        <w:rPr>
          <w:sz w:val="24"/>
          <w:szCs w:val="24"/>
          <w:color w:val="auto"/>
        </w:rPr>
        <w:br w:type="column"/>
      </w:r>
    </w:p>
    <w:p>
      <w:pPr>
        <w:ind w:right="460"/>
        <w:spacing w:after="0" w:line="261" w:lineRule="auto"/>
        <w:rPr>
          <w:sz w:val="20"/>
          <w:szCs w:val="20"/>
          <w:color w:val="auto"/>
        </w:rPr>
      </w:pPr>
      <w:r>
        <w:rPr>
          <w:rFonts w:ascii="Times New Roman" w:cs="Times New Roman" w:eastAsia="Times New Roman" w:hAnsi="Times New Roman"/>
          <w:sz w:val="18"/>
          <w:szCs w:val="18"/>
          <w:color w:val="auto"/>
        </w:rPr>
        <w:t>o Emerging growth company</w:t>
      </w:r>
    </w:p>
    <w:p>
      <w:pPr>
        <w:spacing w:after="0" w:line="260" w:lineRule="exact"/>
        <w:rPr>
          <w:sz w:val="24"/>
          <w:szCs w:val="24"/>
          <w:color w:val="auto"/>
        </w:rPr>
      </w:pPr>
    </w:p>
    <w:p>
      <w:pPr>
        <w:sectPr>
          <w:pgSz w:w="11900" w:h="16857" w:orient="portrait"/>
          <w:cols w:equalWidth="0" w:num="4">
            <w:col w:w="3860" w:space="720"/>
            <w:col w:w="2060" w:space="520"/>
            <w:col w:w="2100" w:space="300"/>
            <w:col w:w="1860"/>
          </w:cols>
          <w:pgMar w:left="240" w:top="229" w:right="239" w:bottom="0" w:gutter="0" w:footer="0" w:header="0"/>
          <w:type w:val="continuous"/>
        </w:sect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If an emerging growth company, indicate by checkmark if the registrant has elected not to use the extended transition period for complying with any new or revised financial accounting standards provided pursuant to Section 13(a) of the Exchange Act. o</w:t>
      </w:r>
    </w:p>
    <w:p>
      <w:pPr>
        <w:spacing w:after="0" w:line="162"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whether the registrant is a shell company (as defined in Rule 12b-2 of the Exchange Act). Yes o No x</w:t>
      </w:r>
    </w:p>
    <w:p>
      <w:pPr>
        <w:spacing w:after="0" w:line="22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Number of shares of $1 par value common stock outstanding as of October 28, 2017: 88,036,368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220980</wp:posOffset>
            </wp:positionV>
            <wp:extent cx="7267575" cy="298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05" w:lineRule="exact"/>
        <w:rPr>
          <w:sz w:val="24"/>
          <w:szCs w:val="24"/>
          <w:color w:val="auto"/>
        </w:rPr>
      </w:pPr>
    </w:p>
    <w:p>
      <w:pPr>
        <w:spacing w:after="0"/>
        <w:rPr>
          <w:rFonts w:ascii="Times New Roman" w:cs="Times New Roman" w:eastAsia="Times New Roman" w:hAnsi="Times New Roman"/>
          <w:sz w:val="18"/>
          <w:szCs w:val="18"/>
          <w:u w:val="single" w:color="auto"/>
          <w:color w:val="0000EE"/>
        </w:rPr>
      </w:pPr>
      <w:hyperlink w:anchor="page1">
        <w:r>
          <w:rPr>
            <w:rFonts w:ascii="Times New Roman" w:cs="Times New Roman" w:eastAsia="Times New Roman" w:hAnsi="Times New Roman"/>
            <w:sz w:val="18"/>
            <w:szCs w:val="18"/>
            <w:u w:val="single" w:color="auto"/>
            <w:color w:val="0000EE"/>
          </w:rPr>
          <w:t>Table of Contents</w:t>
        </w:r>
      </w:hyperlink>
    </w:p>
    <w:p>
      <w:pPr>
        <w:spacing w:after="0" w:line="221" w:lineRule="exact"/>
        <w:rPr>
          <w:sz w:val="24"/>
          <w:szCs w:val="24"/>
          <w:color w:val="auto"/>
        </w:rPr>
      </w:pPr>
    </w:p>
    <w:tbl>
      <w:tblPr>
        <w:tblLayout w:type="fixed"/>
        <w:tblInd w:w="0" w:type="dxa"/>
        <w:tblCellMar>
          <w:top w:w="0" w:type="dxa"/>
          <w:left w:w="0" w:type="dxa"/>
          <w:bottom w:w="0" w:type="dxa"/>
          <w:right w:w="0" w:type="dxa"/>
        </w:tblCellMar>
      </w:tblPr>
      <w:tr>
        <w:trPr>
          <w:trHeight w:val="238"/>
        </w:trPr>
        <w:tc>
          <w:tcPr>
            <w:tcW w:w="5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940" w:type="dxa"/>
            <w:vAlign w:val="bottom"/>
            <w:gridSpan w:val="7"/>
          </w:tcPr>
          <w:p>
            <w:pPr>
              <w:jc w:val="center"/>
              <w:ind w:right="1700"/>
              <w:spacing w:after="0"/>
              <w:rPr>
                <w:sz w:val="20"/>
                <w:szCs w:val="20"/>
                <w:color w:val="auto"/>
              </w:rPr>
            </w:pPr>
            <w:r>
              <w:rPr>
                <w:rFonts w:ascii="Times New Roman" w:cs="Times New Roman" w:eastAsia="Times New Roman" w:hAnsi="Times New Roman"/>
                <w:sz w:val="18"/>
                <w:szCs w:val="18"/>
                <w:b w:val="1"/>
                <w:bCs w:val="1"/>
                <w:color w:val="auto"/>
                <w:w w:val="98"/>
              </w:rPr>
              <w:t>AVERY DENNISON CORPORATION</w:t>
            </w:r>
          </w:p>
        </w:tc>
        <w:tc>
          <w:tcPr>
            <w:tcW w:w="8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5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940" w:type="dxa"/>
            <w:vAlign w:val="bottom"/>
            <w:gridSpan w:val="7"/>
          </w:tcPr>
          <w:p>
            <w:pPr>
              <w:jc w:val="center"/>
              <w:ind w:right="1720"/>
              <w:spacing w:after="0"/>
              <w:rPr>
                <w:sz w:val="20"/>
                <w:szCs w:val="20"/>
                <w:color w:val="auto"/>
              </w:rPr>
            </w:pPr>
            <w:r>
              <w:rPr>
                <w:rFonts w:ascii="Times New Roman" w:cs="Times New Roman" w:eastAsia="Times New Roman" w:hAnsi="Times New Roman"/>
                <w:sz w:val="18"/>
                <w:szCs w:val="18"/>
                <w:b w:val="1"/>
                <w:bCs w:val="1"/>
                <w:color w:val="auto"/>
                <w:w w:val="99"/>
              </w:rPr>
              <w:t>FISCAL THIRD QUARTER 2017 QUARTERLY REPORT ON FORM 10-Q</w:t>
            </w:r>
          </w:p>
        </w:tc>
        <w:tc>
          <w:tcPr>
            <w:tcW w:w="8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5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840" w:type="dxa"/>
            <w:vAlign w:val="bottom"/>
            <w:gridSpan w:val="3"/>
          </w:tcPr>
          <w:p>
            <w:pPr>
              <w:jc w:val="center"/>
              <w:ind w:right="3800"/>
              <w:spacing w:after="0"/>
              <w:rPr>
                <w:sz w:val="20"/>
                <w:szCs w:val="20"/>
                <w:color w:val="auto"/>
              </w:rPr>
            </w:pPr>
            <w:r>
              <w:rPr>
                <w:rFonts w:ascii="Times New Roman" w:cs="Times New Roman" w:eastAsia="Times New Roman" w:hAnsi="Times New Roman"/>
                <w:sz w:val="18"/>
                <w:szCs w:val="18"/>
                <w:b w:val="1"/>
                <w:bCs w:val="1"/>
                <w:color w:val="auto"/>
                <w:w w:val="98"/>
              </w:rPr>
              <w:t>TABLE OF CONTENTS</w:t>
            </w:r>
          </w:p>
        </w:tc>
        <w:tc>
          <w:tcPr>
            <w:tcW w:w="8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5"/>
        </w:trPr>
        <w:tc>
          <w:tcPr>
            <w:tcW w:w="2460" w:type="dxa"/>
            <w:vAlign w:val="bottom"/>
            <w:gridSpan w:val="5"/>
            <w:vMerge w:val="restart"/>
          </w:tcPr>
          <w:p>
            <w:pPr>
              <w:spacing w:after="0"/>
              <w:rPr>
                <w:rFonts w:ascii="Times New Roman" w:cs="Times New Roman" w:eastAsia="Times New Roman" w:hAnsi="Times New Roman"/>
                <w:sz w:val="18"/>
                <w:szCs w:val="18"/>
                <w:b w:val="1"/>
                <w:bCs w:val="1"/>
                <w:color w:val="0000EE"/>
                <w:w w:val="98"/>
              </w:rPr>
            </w:pPr>
            <w:hyperlink w:anchor="page2">
              <w:r>
                <w:rPr>
                  <w:rFonts w:ascii="Times New Roman" w:cs="Times New Roman" w:eastAsia="Times New Roman" w:hAnsi="Times New Roman"/>
                  <w:sz w:val="18"/>
                  <w:szCs w:val="18"/>
                  <w:b w:val="1"/>
                  <w:bCs w:val="1"/>
                  <w:color w:val="0000EE"/>
                  <w:w w:val="98"/>
                </w:rPr>
                <w:t>SAFE HARBOR STATEMENT</w:t>
              </w:r>
            </w:hyperlink>
          </w:p>
        </w:tc>
        <w:tc>
          <w:tcPr>
            <w:tcW w:w="8080" w:type="dxa"/>
            <w:vAlign w:val="bottom"/>
            <w:gridSpan w:val="8"/>
            <w:vMerge w:val="restart"/>
          </w:tcPr>
          <w:p>
            <w:pPr>
              <w:spacing w:after="0"/>
              <w:rPr>
                <w:sz w:val="24"/>
                <w:szCs w:val="24"/>
                <w:color w:val="auto"/>
              </w:rPr>
            </w:pPr>
          </w:p>
        </w:tc>
        <w:tc>
          <w:tcPr>
            <w:tcW w:w="900" w:type="dxa"/>
            <w:vAlign w:val="bottom"/>
            <w:gridSpan w:val="2"/>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Page</w:t>
            </w:r>
          </w:p>
        </w:tc>
        <w:tc>
          <w:tcPr>
            <w:tcW w:w="0" w:type="dxa"/>
            <w:vAlign w:val="bottom"/>
          </w:tcPr>
          <w:p>
            <w:pPr>
              <w:spacing w:after="0"/>
              <w:rPr>
                <w:sz w:val="1"/>
                <w:szCs w:val="1"/>
                <w:color w:val="auto"/>
              </w:rPr>
            </w:pPr>
          </w:p>
        </w:tc>
      </w:tr>
      <w:tr>
        <w:trPr>
          <w:trHeight w:val="161"/>
        </w:trPr>
        <w:tc>
          <w:tcPr>
            <w:tcW w:w="2460" w:type="dxa"/>
            <w:vAlign w:val="bottom"/>
            <w:tcBorders>
              <w:bottom w:val="single" w:sz="8" w:color="0000EE"/>
            </w:tcBorders>
            <w:gridSpan w:val="5"/>
            <w:vMerge w:val="continue"/>
          </w:tcPr>
          <w:p>
            <w:pPr>
              <w:spacing w:after="0"/>
              <w:rPr>
                <w:sz w:val="13"/>
                <w:szCs w:val="13"/>
                <w:color w:val="auto"/>
              </w:rPr>
            </w:pPr>
          </w:p>
        </w:tc>
        <w:tc>
          <w:tcPr>
            <w:tcW w:w="8080" w:type="dxa"/>
            <w:vAlign w:val="bottom"/>
            <w:gridSpan w:val="8"/>
            <w:vMerge w:val="continue"/>
          </w:tcPr>
          <w:p>
            <w:pPr>
              <w:spacing w:after="0"/>
              <w:rPr>
                <w:sz w:val="13"/>
                <w:szCs w:val="13"/>
                <w:color w:val="auto"/>
              </w:rPr>
            </w:pPr>
          </w:p>
        </w:tc>
        <w:tc>
          <w:tcPr>
            <w:tcW w:w="88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6"/>
                <w:szCs w:val="16"/>
                <w:color w:val="auto"/>
              </w:rPr>
              <w:t>1</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26"/>
        </w:trPr>
        <w:tc>
          <w:tcPr>
            <w:tcW w:w="10540" w:type="dxa"/>
            <w:vAlign w:val="bottom"/>
            <w:gridSpan w:val="13"/>
          </w:tcPr>
          <w:p>
            <w:pPr>
              <w:spacing w:after="0"/>
              <w:rPr>
                <w:rFonts w:ascii="Times New Roman" w:cs="Times New Roman" w:eastAsia="Times New Roman" w:hAnsi="Times New Roman"/>
                <w:sz w:val="18"/>
                <w:szCs w:val="18"/>
                <w:b w:val="1"/>
                <w:bCs w:val="1"/>
                <w:color w:val="0000EE"/>
              </w:rPr>
            </w:pPr>
            <w:hyperlink w:anchor="page2">
              <w:r>
                <w:rPr>
                  <w:rFonts w:ascii="Times New Roman" w:cs="Times New Roman" w:eastAsia="Times New Roman" w:hAnsi="Times New Roman"/>
                  <w:sz w:val="18"/>
                  <w:szCs w:val="18"/>
                  <w:b w:val="1"/>
                  <w:bCs w:val="1"/>
                  <w:color w:val="0000EE"/>
                </w:rPr>
                <w:t>PART I. FINANCIAL INFORMATION (UNAUDITED)</w:t>
              </w:r>
            </w:hyperlink>
          </w:p>
        </w:tc>
        <w:tc>
          <w:tcPr>
            <w:tcW w:w="8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520" w:type="dxa"/>
            <w:vAlign w:val="bottom"/>
            <w:tcBorders>
              <w:top w:val="single" w:sz="8" w:color="0000EE"/>
            </w:tcBorders>
          </w:tcPr>
          <w:p>
            <w:pPr>
              <w:spacing w:after="0"/>
              <w:rPr>
                <w:rFonts w:ascii="Times New Roman" w:cs="Times New Roman" w:eastAsia="Times New Roman" w:hAnsi="Times New Roman"/>
                <w:sz w:val="18"/>
                <w:szCs w:val="18"/>
                <w:color w:val="0000EE"/>
                <w:w w:val="97"/>
              </w:rPr>
            </w:pPr>
            <w:hyperlink w:anchor="page3">
              <w:r>
                <w:rPr>
                  <w:rFonts w:ascii="Times New Roman" w:cs="Times New Roman" w:eastAsia="Times New Roman" w:hAnsi="Times New Roman"/>
                  <w:sz w:val="18"/>
                  <w:szCs w:val="18"/>
                  <w:color w:val="0000EE"/>
                  <w:w w:val="97"/>
                </w:rPr>
                <w:t>Item 1.</w:t>
              </w:r>
            </w:hyperlink>
          </w:p>
        </w:tc>
        <w:tc>
          <w:tcPr>
            <w:tcW w:w="580" w:type="dxa"/>
            <w:vAlign w:val="bottom"/>
            <w:tcBorders>
              <w:top w:val="single" w:sz="8" w:color="0000EE"/>
            </w:tcBorders>
          </w:tcPr>
          <w:p>
            <w:pPr>
              <w:spacing w:after="0"/>
              <w:rPr>
                <w:sz w:val="24"/>
                <w:szCs w:val="24"/>
                <w:color w:val="auto"/>
              </w:rPr>
            </w:pPr>
          </w:p>
        </w:tc>
        <w:tc>
          <w:tcPr>
            <w:tcW w:w="3220" w:type="dxa"/>
            <w:vAlign w:val="bottom"/>
            <w:tcBorders>
              <w:top w:val="single" w:sz="8" w:color="0000EE"/>
            </w:tcBorders>
            <w:gridSpan w:val="6"/>
          </w:tcPr>
          <w:p>
            <w:pPr>
              <w:spacing w:after="0"/>
              <w:rPr>
                <w:rFonts w:ascii="Times New Roman" w:cs="Times New Roman" w:eastAsia="Times New Roman" w:hAnsi="Times New Roman"/>
                <w:sz w:val="18"/>
                <w:szCs w:val="18"/>
                <w:color w:val="0000EE"/>
              </w:rPr>
            </w:pPr>
            <w:hyperlink w:anchor="page3">
              <w:r>
                <w:rPr>
                  <w:rFonts w:ascii="Times New Roman" w:cs="Times New Roman" w:eastAsia="Times New Roman" w:hAnsi="Times New Roman"/>
                  <w:sz w:val="18"/>
                  <w:szCs w:val="18"/>
                  <w:color w:val="0000EE"/>
                </w:rPr>
                <w:t>Financial Statements</w:t>
              </w:r>
            </w:hyperlink>
          </w:p>
        </w:tc>
        <w:tc>
          <w:tcPr>
            <w:tcW w:w="6220" w:type="dxa"/>
            <w:vAlign w:val="bottom"/>
            <w:gridSpan w:val="5"/>
          </w:tcPr>
          <w:p>
            <w:pPr>
              <w:spacing w:after="0"/>
              <w:rPr>
                <w:sz w:val="24"/>
                <w:szCs w:val="24"/>
                <w:color w:val="auto"/>
              </w:rPr>
            </w:pPr>
          </w:p>
        </w:tc>
        <w:tc>
          <w:tcPr>
            <w:tcW w:w="8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520" w:type="dxa"/>
            <w:vAlign w:val="bottom"/>
            <w:shd w:val="clear" w:color="auto" w:fill="0000EE"/>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140" w:type="dxa"/>
            <w:vAlign w:val="bottom"/>
            <w:gridSpan w:val="2"/>
            <w:shd w:val="clear" w:color="auto" w:fill="0000EE"/>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8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940" w:type="dxa"/>
            <w:vAlign w:val="bottom"/>
            <w:tcBorders>
              <w:bottom w:val="single" w:sz="8" w:color="0000EE"/>
            </w:tcBorders>
            <w:gridSpan w:val="4"/>
          </w:tcPr>
          <w:p>
            <w:pPr>
              <w:spacing w:after="0" w:line="196" w:lineRule="exact"/>
              <w:rPr>
                <w:rFonts w:ascii="Times New Roman" w:cs="Times New Roman" w:eastAsia="Times New Roman" w:hAnsi="Times New Roman"/>
                <w:sz w:val="18"/>
                <w:szCs w:val="18"/>
                <w:color w:val="0000EE"/>
                <w:w w:val="99"/>
              </w:rPr>
            </w:pPr>
            <w:hyperlink w:anchor="page3">
              <w:r>
                <w:rPr>
                  <w:rFonts w:ascii="Times New Roman" w:cs="Times New Roman" w:eastAsia="Times New Roman" w:hAnsi="Times New Roman"/>
                  <w:sz w:val="18"/>
                  <w:szCs w:val="18"/>
                  <w:color w:val="0000EE"/>
                  <w:w w:val="99"/>
                </w:rPr>
                <w:t>Condensed Consolidated Balance Sheets</w:t>
              </w:r>
            </w:hyperlink>
          </w:p>
        </w:tc>
        <w:tc>
          <w:tcPr>
            <w:tcW w:w="6320" w:type="dxa"/>
            <w:vAlign w:val="bottom"/>
            <w:gridSpan w:val="6"/>
          </w:tcPr>
          <w:p>
            <w:pPr>
              <w:spacing w:after="0"/>
              <w:rPr>
                <w:sz w:val="17"/>
                <w:szCs w:val="17"/>
                <w:color w:val="auto"/>
              </w:rPr>
            </w:pPr>
          </w:p>
        </w:tc>
        <w:tc>
          <w:tcPr>
            <w:tcW w:w="8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220" w:type="dxa"/>
            <w:vAlign w:val="bottom"/>
            <w:tcBorders>
              <w:bottom w:val="single" w:sz="8" w:color="0000EE"/>
            </w:tcBorders>
            <w:gridSpan w:val="5"/>
          </w:tcPr>
          <w:p>
            <w:pPr>
              <w:spacing w:after="0" w:line="196" w:lineRule="exact"/>
              <w:rPr>
                <w:rFonts w:ascii="Times New Roman" w:cs="Times New Roman" w:eastAsia="Times New Roman" w:hAnsi="Times New Roman"/>
                <w:sz w:val="18"/>
                <w:szCs w:val="18"/>
                <w:color w:val="0000EE"/>
                <w:w w:val="99"/>
              </w:rPr>
            </w:pPr>
            <w:hyperlink w:anchor="page3">
              <w:r>
                <w:rPr>
                  <w:rFonts w:ascii="Times New Roman" w:cs="Times New Roman" w:eastAsia="Times New Roman" w:hAnsi="Times New Roman"/>
                  <w:sz w:val="18"/>
                  <w:szCs w:val="18"/>
                  <w:color w:val="0000EE"/>
                  <w:w w:val="99"/>
                </w:rPr>
                <w:t>September 30, 2017 and December 31, 2016</w:t>
              </w:r>
            </w:hyperlink>
          </w:p>
        </w:tc>
        <w:tc>
          <w:tcPr>
            <w:tcW w:w="5860" w:type="dxa"/>
            <w:vAlign w:val="bottom"/>
            <w:gridSpan w:val="4"/>
          </w:tcPr>
          <w:p>
            <w:pPr>
              <w:spacing w:after="0"/>
              <w:rPr>
                <w:sz w:val="17"/>
                <w:szCs w:val="17"/>
                <w:color w:val="auto"/>
              </w:rPr>
            </w:pPr>
          </w:p>
        </w:tc>
        <w:tc>
          <w:tcPr>
            <w:tcW w:w="90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196"/>
        </w:trPr>
        <w:tc>
          <w:tcPr>
            <w:tcW w:w="5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420" w:type="dxa"/>
            <w:vAlign w:val="bottom"/>
            <w:tcBorders>
              <w:bottom w:val="single" w:sz="8" w:color="0000EE"/>
            </w:tcBorders>
            <w:gridSpan w:val="7"/>
          </w:tcPr>
          <w:p>
            <w:pPr>
              <w:spacing w:after="0" w:line="196" w:lineRule="exact"/>
              <w:rPr>
                <w:rFonts w:ascii="Times New Roman" w:cs="Times New Roman" w:eastAsia="Times New Roman" w:hAnsi="Times New Roman"/>
                <w:sz w:val="18"/>
                <w:szCs w:val="18"/>
                <w:color w:val="0000EE"/>
                <w:w w:val="99"/>
              </w:rPr>
            </w:pPr>
            <w:hyperlink w:anchor="page3">
              <w:r>
                <w:rPr>
                  <w:rFonts w:ascii="Times New Roman" w:cs="Times New Roman" w:eastAsia="Times New Roman" w:hAnsi="Times New Roman"/>
                  <w:sz w:val="18"/>
                  <w:szCs w:val="18"/>
                  <w:color w:val="0000EE"/>
                  <w:w w:val="99"/>
                </w:rPr>
                <w:t>Condensed Consolidated Statements of Income</w:t>
              </w:r>
            </w:hyperlink>
          </w:p>
        </w:tc>
        <w:tc>
          <w:tcPr>
            <w:tcW w:w="5840" w:type="dxa"/>
            <w:vAlign w:val="bottom"/>
            <w:gridSpan w:val="3"/>
          </w:tcPr>
          <w:p>
            <w:pPr>
              <w:spacing w:after="0"/>
              <w:rPr>
                <w:sz w:val="17"/>
                <w:szCs w:val="17"/>
                <w:color w:val="auto"/>
              </w:rPr>
            </w:pPr>
          </w:p>
        </w:tc>
        <w:tc>
          <w:tcPr>
            <w:tcW w:w="8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200" w:type="dxa"/>
            <w:vAlign w:val="bottom"/>
            <w:tcBorders>
              <w:bottom w:val="single" w:sz="8" w:color="0000EE"/>
            </w:tcBorders>
            <w:gridSpan w:val="8"/>
          </w:tcPr>
          <w:p>
            <w:pPr>
              <w:spacing w:after="0" w:line="196" w:lineRule="exact"/>
              <w:rPr>
                <w:rFonts w:ascii="Times New Roman" w:cs="Times New Roman" w:eastAsia="Times New Roman" w:hAnsi="Times New Roman"/>
                <w:sz w:val="18"/>
                <w:szCs w:val="18"/>
                <w:color w:val="0000EE"/>
                <w:w w:val="99"/>
              </w:rPr>
            </w:pPr>
            <w:hyperlink w:anchor="page3">
              <w:r>
                <w:rPr>
                  <w:rFonts w:ascii="Times New Roman" w:cs="Times New Roman" w:eastAsia="Times New Roman" w:hAnsi="Times New Roman"/>
                  <w:sz w:val="18"/>
                  <w:szCs w:val="18"/>
                  <w:color w:val="0000EE"/>
                  <w:w w:val="99"/>
                </w:rPr>
                <w:t>Three and Nine Months ended September 30, 2017 and October 1, 2016</w:t>
              </w:r>
            </w:hyperlink>
          </w:p>
        </w:tc>
        <w:tc>
          <w:tcPr>
            <w:tcW w:w="3880" w:type="dxa"/>
            <w:vAlign w:val="bottom"/>
          </w:tcPr>
          <w:p>
            <w:pPr>
              <w:spacing w:after="0"/>
              <w:rPr>
                <w:sz w:val="17"/>
                <w:szCs w:val="17"/>
                <w:color w:val="auto"/>
              </w:rPr>
            </w:pPr>
          </w:p>
        </w:tc>
        <w:tc>
          <w:tcPr>
            <w:tcW w:w="90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196"/>
        </w:trPr>
        <w:tc>
          <w:tcPr>
            <w:tcW w:w="5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60" w:type="dxa"/>
            <w:vAlign w:val="bottom"/>
            <w:gridSpan w:val="10"/>
          </w:tcPr>
          <w:p>
            <w:pPr>
              <w:spacing w:after="0" w:line="196" w:lineRule="exact"/>
              <w:rPr>
                <w:rFonts w:ascii="Times New Roman" w:cs="Times New Roman" w:eastAsia="Times New Roman" w:hAnsi="Times New Roman"/>
                <w:sz w:val="18"/>
                <w:szCs w:val="18"/>
                <w:color w:val="0000EE"/>
              </w:rPr>
            </w:pPr>
            <w:hyperlink w:anchor="page4">
              <w:r>
                <w:rPr>
                  <w:rFonts w:ascii="Times New Roman" w:cs="Times New Roman" w:eastAsia="Times New Roman" w:hAnsi="Times New Roman"/>
                  <w:sz w:val="18"/>
                  <w:szCs w:val="18"/>
                  <w:color w:val="0000EE"/>
                </w:rPr>
                <w:t>Condensed Consolidated Statements of Comprehensive Income</w:t>
              </w:r>
            </w:hyperlink>
          </w:p>
        </w:tc>
        <w:tc>
          <w:tcPr>
            <w:tcW w:w="90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0"/>
        </w:trPr>
        <w:tc>
          <w:tcPr>
            <w:tcW w:w="5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0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6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160" w:type="dxa"/>
            <w:vAlign w:val="bottom"/>
            <w:shd w:val="clear" w:color="auto" w:fill="0000EE"/>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8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57" w:orient="portrait"/>
          <w:cols w:equalWidth="0" w:num="1">
            <w:col w:w="11420"/>
          </w:cols>
          <w:pgMar w:left="240" w:top="229" w:right="239" w:bottom="0" w:gutter="0" w:footer="0" w:header="0"/>
          <w:type w:val="continuous"/>
        </w:sectPr>
      </w:pPr>
    </w:p>
    <w:bookmarkStart w:id="1" w:name="page2"/>
    <w:bookmarkEnd w:id="1"/>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200" w:type="dxa"/>
            <w:vAlign w:val="bottom"/>
            <w:tcBorders>
              <w:bottom w:val="single" w:sz="8" w:color="0000EE"/>
            </w:tcBorders>
            <w:gridSpan w:val="20"/>
          </w:tcPr>
          <w:p>
            <w:pPr>
              <w:spacing w:after="0"/>
              <w:rPr>
                <w:rFonts w:ascii="Times New Roman" w:cs="Times New Roman" w:eastAsia="Times New Roman" w:hAnsi="Times New Roman"/>
                <w:sz w:val="18"/>
                <w:szCs w:val="18"/>
                <w:color w:val="0000EE"/>
                <w:w w:val="99"/>
              </w:rPr>
            </w:pPr>
            <w:hyperlink w:anchor="page4">
              <w:r>
                <w:rPr>
                  <w:rFonts w:ascii="Times New Roman" w:cs="Times New Roman" w:eastAsia="Times New Roman" w:hAnsi="Times New Roman"/>
                  <w:sz w:val="18"/>
                  <w:szCs w:val="18"/>
                  <w:color w:val="0000EE"/>
                  <w:w w:val="99"/>
                </w:rPr>
                <w:t>Three and Nine Months ended September 30, 2017 and October 1, 2016</w:t>
              </w:r>
            </w:hyperlink>
          </w:p>
        </w:tc>
        <w:tc>
          <w:tcPr>
            <w:tcW w:w="900" w:type="dxa"/>
            <w:vAlign w:val="bottom"/>
            <w:gridSpan w:val="2"/>
          </w:tcPr>
          <w:p>
            <w:pPr>
              <w:spacing w:after="0"/>
              <w:rPr>
                <w:sz w:val="17"/>
                <w:szCs w:val="17"/>
                <w:color w:val="auto"/>
              </w:rPr>
            </w:pPr>
          </w:p>
        </w:tc>
        <w:tc>
          <w:tcPr>
            <w:tcW w:w="3900" w:type="dxa"/>
            <w:vAlign w:val="bottom"/>
          </w:tcPr>
          <w:p>
            <w:pPr>
              <w:spacing w:after="0"/>
              <w:rPr>
                <w:sz w:val="17"/>
                <w:szCs w:val="17"/>
                <w:color w:val="auto"/>
              </w:rPr>
            </w:pPr>
          </w:p>
        </w:tc>
      </w:tr>
      <w:tr>
        <w:trPr>
          <w:trHeight w:val="196"/>
        </w:trPr>
        <w:tc>
          <w:tcPr>
            <w:tcW w:w="5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720" w:type="dxa"/>
            <w:vAlign w:val="bottom"/>
            <w:tcBorders>
              <w:bottom w:val="single" w:sz="8" w:color="0000EE"/>
            </w:tcBorders>
            <w:gridSpan w:val="13"/>
          </w:tcPr>
          <w:p>
            <w:pPr>
              <w:spacing w:after="0" w:line="196" w:lineRule="exact"/>
              <w:rPr>
                <w:rFonts w:ascii="Times New Roman" w:cs="Times New Roman" w:eastAsia="Times New Roman" w:hAnsi="Times New Roman"/>
                <w:sz w:val="18"/>
                <w:szCs w:val="18"/>
                <w:color w:val="0000EE"/>
                <w:w w:val="99"/>
              </w:rPr>
            </w:pPr>
            <w:hyperlink w:anchor="page4">
              <w:r>
                <w:rPr>
                  <w:rFonts w:ascii="Times New Roman" w:cs="Times New Roman" w:eastAsia="Times New Roman" w:hAnsi="Times New Roman"/>
                  <w:sz w:val="18"/>
                  <w:szCs w:val="18"/>
                  <w:color w:val="0000EE"/>
                  <w:w w:val="99"/>
                </w:rPr>
                <w:t>Condensed Consolidated Statements of Cash Flows</w:t>
              </w:r>
            </w:hyperlink>
          </w:p>
        </w:tc>
        <w:tc>
          <w:tcPr>
            <w:tcW w:w="2560" w:type="dxa"/>
            <w:vAlign w:val="bottom"/>
            <w:gridSpan w:val="10"/>
          </w:tcPr>
          <w:p>
            <w:pPr>
              <w:spacing w:after="0"/>
              <w:rPr>
                <w:sz w:val="17"/>
                <w:szCs w:val="17"/>
                <w:color w:val="auto"/>
              </w:rPr>
            </w:pPr>
          </w:p>
        </w:tc>
        <w:tc>
          <w:tcPr>
            <w:tcW w:w="3900" w:type="dxa"/>
            <w:vAlign w:val="bottom"/>
          </w:tcPr>
          <w:p>
            <w:pPr>
              <w:spacing w:after="0"/>
              <w:rPr>
                <w:sz w:val="17"/>
                <w:szCs w:val="17"/>
                <w:color w:val="auto"/>
              </w:rPr>
            </w:pPr>
          </w:p>
        </w:tc>
      </w:tr>
      <w:tr>
        <w:trPr>
          <w:trHeight w:val="196"/>
        </w:trPr>
        <w:tc>
          <w:tcPr>
            <w:tcW w:w="5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100" w:type="dxa"/>
            <w:vAlign w:val="bottom"/>
            <w:gridSpan w:val="22"/>
          </w:tcPr>
          <w:p>
            <w:pPr>
              <w:spacing w:after="0" w:line="196" w:lineRule="exact"/>
              <w:rPr>
                <w:rFonts w:ascii="Times New Roman" w:cs="Times New Roman" w:eastAsia="Times New Roman" w:hAnsi="Times New Roman"/>
                <w:sz w:val="18"/>
                <w:szCs w:val="18"/>
                <w:color w:val="0000EE"/>
              </w:rPr>
            </w:pPr>
            <w:hyperlink w:anchor="page4">
              <w:r>
                <w:rPr>
                  <w:rFonts w:ascii="Times New Roman" w:cs="Times New Roman" w:eastAsia="Times New Roman" w:hAnsi="Times New Roman"/>
                  <w:sz w:val="18"/>
                  <w:szCs w:val="18"/>
                  <w:color w:val="0000EE"/>
                </w:rPr>
                <w:t>Nine Months ended September 30, 2017 and October 1, 2016</w:t>
              </w:r>
            </w:hyperlink>
          </w:p>
        </w:tc>
        <w:tc>
          <w:tcPr>
            <w:tcW w:w="39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5</w:t>
            </w:r>
          </w:p>
        </w:tc>
      </w:tr>
      <w:tr>
        <w:trPr>
          <w:trHeight w:val="20"/>
        </w:trPr>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560" w:type="dxa"/>
            <w:vAlign w:val="bottom"/>
            <w:gridSpan w:val="2"/>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900" w:type="dxa"/>
            <w:vAlign w:val="bottom"/>
          </w:tcPr>
          <w:p>
            <w:pPr>
              <w:spacing w:after="0" w:line="20" w:lineRule="exact"/>
              <w:rPr>
                <w:sz w:val="1"/>
                <w:szCs w:val="1"/>
                <w:color w:val="auto"/>
              </w:rPr>
            </w:pPr>
          </w:p>
        </w:tc>
      </w:tr>
      <w:tr>
        <w:trPr>
          <w:trHeight w:val="196"/>
        </w:trPr>
        <w:tc>
          <w:tcPr>
            <w:tcW w:w="5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800" w:type="dxa"/>
            <w:vAlign w:val="bottom"/>
            <w:tcBorders>
              <w:bottom w:val="single" w:sz="8" w:color="0000EE"/>
            </w:tcBorders>
            <w:gridSpan w:val="18"/>
          </w:tcPr>
          <w:p>
            <w:pPr>
              <w:spacing w:after="0" w:line="196" w:lineRule="exact"/>
              <w:rPr>
                <w:rFonts w:ascii="Times New Roman" w:cs="Times New Roman" w:eastAsia="Times New Roman" w:hAnsi="Times New Roman"/>
                <w:sz w:val="18"/>
                <w:szCs w:val="18"/>
                <w:color w:val="0000EE"/>
                <w:w w:val="99"/>
              </w:rPr>
            </w:pPr>
            <w:hyperlink w:anchor="page5">
              <w:r>
                <w:rPr>
                  <w:rFonts w:ascii="Times New Roman" w:cs="Times New Roman" w:eastAsia="Times New Roman" w:hAnsi="Times New Roman"/>
                  <w:sz w:val="18"/>
                  <w:szCs w:val="18"/>
                  <w:color w:val="0000EE"/>
                  <w:w w:val="99"/>
                </w:rPr>
                <w:t>Notes to Unaudited Condensed Consolidated Financial Statements</w:t>
              </w:r>
            </w:hyperlink>
          </w:p>
        </w:tc>
        <w:tc>
          <w:tcPr>
            <w:tcW w:w="1480" w:type="dxa"/>
            <w:vAlign w:val="bottom"/>
            <w:gridSpan w:val="5"/>
          </w:tcPr>
          <w:p>
            <w:pPr>
              <w:spacing w:after="0"/>
              <w:rPr>
                <w:sz w:val="17"/>
                <w:szCs w:val="17"/>
                <w:color w:val="auto"/>
              </w:rPr>
            </w:pPr>
          </w:p>
        </w:tc>
        <w:tc>
          <w:tcPr>
            <w:tcW w:w="39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6</w:t>
            </w:r>
          </w:p>
        </w:tc>
      </w:tr>
      <w:tr>
        <w:trPr>
          <w:trHeight w:val="196"/>
        </w:trPr>
        <w:tc>
          <w:tcPr>
            <w:tcW w:w="1100" w:type="dxa"/>
            <w:vAlign w:val="bottom"/>
            <w:gridSpan w:val="5"/>
          </w:tcPr>
          <w:p>
            <w:pPr>
              <w:spacing w:after="0" w:line="196" w:lineRule="exact"/>
              <w:rPr>
                <w:rFonts w:ascii="Times New Roman" w:cs="Times New Roman" w:eastAsia="Times New Roman" w:hAnsi="Times New Roman"/>
                <w:sz w:val="18"/>
                <w:szCs w:val="18"/>
                <w:color w:val="0000EE"/>
              </w:rPr>
            </w:pPr>
            <w:hyperlink w:anchor="page14">
              <w:r>
                <w:rPr>
                  <w:rFonts w:ascii="Times New Roman" w:cs="Times New Roman" w:eastAsia="Times New Roman" w:hAnsi="Times New Roman"/>
                  <w:sz w:val="18"/>
                  <w:szCs w:val="18"/>
                  <w:color w:val="0000EE"/>
                </w:rPr>
                <w:t>Item 2.</w:t>
              </w:r>
            </w:hyperlink>
          </w:p>
        </w:tc>
        <w:tc>
          <w:tcPr>
            <w:tcW w:w="6460" w:type="dxa"/>
            <w:vAlign w:val="bottom"/>
            <w:gridSpan w:val="24"/>
          </w:tcPr>
          <w:p>
            <w:pPr>
              <w:spacing w:after="0" w:line="196" w:lineRule="exact"/>
              <w:rPr>
                <w:rFonts w:ascii="Times New Roman" w:cs="Times New Roman" w:eastAsia="Times New Roman" w:hAnsi="Times New Roman"/>
                <w:sz w:val="18"/>
                <w:szCs w:val="18"/>
                <w:color w:val="0000EE"/>
                <w:w w:val="99"/>
              </w:rPr>
            </w:pPr>
            <w:hyperlink w:anchor="page14">
              <w:r>
                <w:rPr>
                  <w:rFonts w:ascii="Times New Roman" w:cs="Times New Roman" w:eastAsia="Times New Roman" w:hAnsi="Times New Roman"/>
                  <w:sz w:val="18"/>
                  <w:szCs w:val="18"/>
                  <w:color w:val="0000EE"/>
                  <w:w w:val="99"/>
                </w:rPr>
                <w:t>Management’s Discussion and Analysis of Financial Condition and Results of Operations</w:t>
              </w:r>
            </w:hyperlink>
          </w:p>
        </w:tc>
        <w:tc>
          <w:tcPr>
            <w:tcW w:w="39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19</w:t>
            </w:r>
          </w:p>
        </w:tc>
      </w:tr>
      <w:tr>
        <w:trPr>
          <w:trHeight w:val="196"/>
        </w:trPr>
        <w:tc>
          <w:tcPr>
            <w:tcW w:w="520" w:type="dxa"/>
            <w:vAlign w:val="bottom"/>
            <w:tcBorders>
              <w:top w:val="single" w:sz="8" w:color="0000EE"/>
            </w:tcBorders>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2320" w:type="dxa"/>
            <w:vAlign w:val="bottom"/>
            <w:tcBorders>
              <w:top w:val="single" w:sz="8" w:color="0000EE"/>
              <w:bottom w:val="single" w:sz="8" w:color="0000EE"/>
            </w:tcBorders>
            <w:gridSpan w:val="11"/>
          </w:tcPr>
          <w:p>
            <w:pPr>
              <w:spacing w:after="0" w:line="196" w:lineRule="exact"/>
              <w:rPr>
                <w:rFonts w:ascii="Times New Roman" w:cs="Times New Roman" w:eastAsia="Times New Roman" w:hAnsi="Times New Roman"/>
                <w:sz w:val="18"/>
                <w:szCs w:val="18"/>
                <w:color w:val="0000EE"/>
                <w:w w:val="99"/>
              </w:rPr>
            </w:pPr>
            <w:hyperlink w:anchor="page15">
              <w:r>
                <w:rPr>
                  <w:rFonts w:ascii="Times New Roman" w:cs="Times New Roman" w:eastAsia="Times New Roman" w:hAnsi="Times New Roman"/>
                  <w:sz w:val="18"/>
                  <w:szCs w:val="18"/>
                  <w:color w:val="0000EE"/>
                  <w:w w:val="99"/>
                </w:rPr>
                <w:t>Non-GAAP Financial Measures</w:t>
              </w:r>
            </w:hyperlink>
          </w:p>
        </w:tc>
        <w:tc>
          <w:tcPr>
            <w:tcW w:w="3960" w:type="dxa"/>
            <w:vAlign w:val="bottom"/>
            <w:tcBorders>
              <w:top w:val="single" w:sz="8" w:color="0000EE"/>
            </w:tcBorders>
            <w:gridSpan w:val="12"/>
          </w:tcPr>
          <w:p>
            <w:pPr>
              <w:spacing w:after="0"/>
              <w:rPr>
                <w:sz w:val="17"/>
                <w:szCs w:val="17"/>
                <w:color w:val="auto"/>
              </w:rPr>
            </w:pPr>
          </w:p>
        </w:tc>
        <w:tc>
          <w:tcPr>
            <w:tcW w:w="3900" w:type="dxa"/>
            <w:vAlign w:val="bottom"/>
          </w:tcPr>
          <w:p>
            <w:pPr>
              <w:spacing w:after="0"/>
              <w:rPr>
                <w:sz w:val="17"/>
                <w:szCs w:val="17"/>
                <w:color w:val="auto"/>
              </w:rPr>
            </w:pPr>
          </w:p>
        </w:tc>
      </w:tr>
      <w:tr>
        <w:trPr>
          <w:trHeight w:val="196"/>
        </w:trPr>
        <w:tc>
          <w:tcPr>
            <w:tcW w:w="5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60" w:type="dxa"/>
            <w:vAlign w:val="bottom"/>
            <w:tcBorders>
              <w:bottom w:val="single" w:sz="8" w:color="0000EE"/>
            </w:tcBorders>
            <w:gridSpan w:val="9"/>
          </w:tcPr>
          <w:p>
            <w:pPr>
              <w:spacing w:after="0" w:line="196" w:lineRule="exact"/>
              <w:rPr>
                <w:rFonts w:ascii="Times New Roman" w:cs="Times New Roman" w:eastAsia="Times New Roman" w:hAnsi="Times New Roman"/>
                <w:sz w:val="18"/>
                <w:szCs w:val="18"/>
                <w:color w:val="0000EE"/>
                <w:w w:val="99"/>
              </w:rPr>
            </w:pPr>
            <w:hyperlink w:anchor="page15">
              <w:r>
                <w:rPr>
                  <w:rFonts w:ascii="Times New Roman" w:cs="Times New Roman" w:eastAsia="Times New Roman" w:hAnsi="Times New Roman"/>
                  <w:sz w:val="18"/>
                  <w:szCs w:val="18"/>
                  <w:color w:val="0000EE"/>
                  <w:w w:val="99"/>
                </w:rPr>
                <w:t>Overview and Outlook</w:t>
              </w:r>
            </w:hyperlink>
          </w:p>
        </w:tc>
        <w:tc>
          <w:tcPr>
            <w:tcW w:w="4620" w:type="dxa"/>
            <w:vAlign w:val="bottom"/>
            <w:gridSpan w:val="14"/>
          </w:tcPr>
          <w:p>
            <w:pPr>
              <w:spacing w:after="0"/>
              <w:rPr>
                <w:sz w:val="17"/>
                <w:szCs w:val="17"/>
                <w:color w:val="auto"/>
              </w:rPr>
            </w:pPr>
          </w:p>
        </w:tc>
        <w:tc>
          <w:tcPr>
            <w:tcW w:w="3900" w:type="dxa"/>
            <w:vAlign w:val="bottom"/>
          </w:tcPr>
          <w:p>
            <w:pPr>
              <w:spacing w:after="0"/>
              <w:rPr>
                <w:sz w:val="17"/>
                <w:szCs w:val="17"/>
                <w:color w:val="auto"/>
              </w:rPr>
            </w:pPr>
          </w:p>
        </w:tc>
      </w:tr>
      <w:tr>
        <w:trPr>
          <w:trHeight w:val="196"/>
        </w:trPr>
        <w:tc>
          <w:tcPr>
            <w:tcW w:w="5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000" w:type="dxa"/>
            <w:vAlign w:val="bottom"/>
            <w:tcBorders>
              <w:bottom w:val="single" w:sz="8" w:color="0000EE"/>
            </w:tcBorders>
            <w:gridSpan w:val="14"/>
          </w:tcPr>
          <w:p>
            <w:pPr>
              <w:spacing w:after="0" w:line="196" w:lineRule="exact"/>
              <w:rPr>
                <w:rFonts w:ascii="Times New Roman" w:cs="Times New Roman" w:eastAsia="Times New Roman" w:hAnsi="Times New Roman"/>
                <w:sz w:val="18"/>
                <w:szCs w:val="18"/>
                <w:color w:val="0000EE"/>
                <w:w w:val="99"/>
              </w:rPr>
            </w:pPr>
            <w:hyperlink w:anchor="page16">
              <w:r>
                <w:rPr>
                  <w:rFonts w:ascii="Times New Roman" w:cs="Times New Roman" w:eastAsia="Times New Roman" w:hAnsi="Times New Roman"/>
                  <w:sz w:val="18"/>
                  <w:szCs w:val="18"/>
                  <w:color w:val="0000EE"/>
                  <w:w w:val="99"/>
                </w:rPr>
                <w:t>Analysis of Results of Operations for the Third Quarter</w:t>
              </w:r>
            </w:hyperlink>
          </w:p>
        </w:tc>
        <w:tc>
          <w:tcPr>
            <w:tcW w:w="2280" w:type="dxa"/>
            <w:vAlign w:val="bottom"/>
            <w:gridSpan w:val="9"/>
          </w:tcPr>
          <w:p>
            <w:pPr>
              <w:spacing w:after="0"/>
              <w:rPr>
                <w:sz w:val="17"/>
                <w:szCs w:val="17"/>
                <w:color w:val="auto"/>
              </w:rPr>
            </w:pPr>
          </w:p>
        </w:tc>
        <w:tc>
          <w:tcPr>
            <w:tcW w:w="3900" w:type="dxa"/>
            <w:vAlign w:val="bottom"/>
          </w:tcPr>
          <w:p>
            <w:pPr>
              <w:spacing w:after="0"/>
              <w:rPr>
                <w:sz w:val="17"/>
                <w:szCs w:val="17"/>
                <w:color w:val="auto"/>
              </w:rPr>
            </w:pPr>
          </w:p>
        </w:tc>
      </w:tr>
      <w:tr>
        <w:trPr>
          <w:trHeight w:val="196"/>
        </w:trPr>
        <w:tc>
          <w:tcPr>
            <w:tcW w:w="5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860" w:type="dxa"/>
            <w:vAlign w:val="bottom"/>
            <w:tcBorders>
              <w:bottom w:val="single" w:sz="8" w:color="0000EE"/>
            </w:tcBorders>
            <w:gridSpan w:val="19"/>
          </w:tcPr>
          <w:p>
            <w:pPr>
              <w:spacing w:after="0" w:line="196" w:lineRule="exact"/>
              <w:rPr>
                <w:rFonts w:ascii="Times New Roman" w:cs="Times New Roman" w:eastAsia="Times New Roman" w:hAnsi="Times New Roman"/>
                <w:sz w:val="18"/>
                <w:szCs w:val="18"/>
                <w:color w:val="0000EE"/>
                <w:w w:val="99"/>
              </w:rPr>
            </w:pPr>
            <w:hyperlink w:anchor="page17">
              <w:r>
                <w:rPr>
                  <w:rFonts w:ascii="Times New Roman" w:cs="Times New Roman" w:eastAsia="Times New Roman" w:hAnsi="Times New Roman"/>
                  <w:sz w:val="18"/>
                  <w:szCs w:val="18"/>
                  <w:color w:val="0000EE"/>
                  <w:w w:val="99"/>
                </w:rPr>
                <w:t>Results of Operations by Reportable Segment for the Third Quarter</w:t>
              </w:r>
            </w:hyperlink>
          </w:p>
        </w:tc>
        <w:tc>
          <w:tcPr>
            <w:tcW w:w="1420" w:type="dxa"/>
            <w:vAlign w:val="bottom"/>
            <w:gridSpan w:val="4"/>
          </w:tcPr>
          <w:p>
            <w:pPr>
              <w:spacing w:after="0"/>
              <w:rPr>
                <w:sz w:val="17"/>
                <w:szCs w:val="17"/>
                <w:color w:val="auto"/>
              </w:rPr>
            </w:pPr>
          </w:p>
        </w:tc>
        <w:tc>
          <w:tcPr>
            <w:tcW w:w="3900" w:type="dxa"/>
            <w:vAlign w:val="bottom"/>
          </w:tcPr>
          <w:p>
            <w:pPr>
              <w:spacing w:after="0"/>
              <w:rPr>
                <w:sz w:val="17"/>
                <w:szCs w:val="17"/>
                <w:color w:val="auto"/>
              </w:rPr>
            </w:pPr>
          </w:p>
        </w:tc>
      </w:tr>
      <w:tr>
        <w:trPr>
          <w:trHeight w:val="196"/>
        </w:trPr>
        <w:tc>
          <w:tcPr>
            <w:tcW w:w="5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920" w:type="dxa"/>
            <w:vAlign w:val="bottom"/>
            <w:tcBorders>
              <w:bottom w:val="single" w:sz="8" w:color="0000EE"/>
            </w:tcBorders>
            <w:gridSpan w:val="20"/>
          </w:tcPr>
          <w:p>
            <w:pPr>
              <w:spacing w:after="0" w:line="196" w:lineRule="exact"/>
              <w:rPr>
                <w:rFonts w:ascii="Times New Roman" w:cs="Times New Roman" w:eastAsia="Times New Roman" w:hAnsi="Times New Roman"/>
                <w:sz w:val="18"/>
                <w:szCs w:val="18"/>
                <w:color w:val="0000EE"/>
                <w:w w:val="99"/>
              </w:rPr>
            </w:pPr>
            <w:hyperlink w:anchor="page19">
              <w:r>
                <w:rPr>
                  <w:rFonts w:ascii="Times New Roman" w:cs="Times New Roman" w:eastAsia="Times New Roman" w:hAnsi="Times New Roman"/>
                  <w:sz w:val="18"/>
                  <w:szCs w:val="18"/>
                  <w:color w:val="0000EE"/>
                  <w:w w:val="99"/>
                </w:rPr>
                <w:t>Analysis of Results of Operations for the Nine Months Year-to-Date</w:t>
              </w:r>
            </w:hyperlink>
          </w:p>
        </w:tc>
        <w:tc>
          <w:tcPr>
            <w:tcW w:w="1360" w:type="dxa"/>
            <w:vAlign w:val="bottom"/>
            <w:gridSpan w:val="3"/>
          </w:tcPr>
          <w:p>
            <w:pPr>
              <w:spacing w:after="0"/>
              <w:rPr>
                <w:sz w:val="17"/>
                <w:szCs w:val="17"/>
                <w:color w:val="auto"/>
              </w:rPr>
            </w:pPr>
          </w:p>
        </w:tc>
        <w:tc>
          <w:tcPr>
            <w:tcW w:w="3900" w:type="dxa"/>
            <w:vAlign w:val="bottom"/>
          </w:tcPr>
          <w:p>
            <w:pPr>
              <w:spacing w:after="0"/>
              <w:rPr>
                <w:sz w:val="17"/>
                <w:szCs w:val="17"/>
                <w:color w:val="auto"/>
              </w:rPr>
            </w:pPr>
          </w:p>
        </w:tc>
      </w:tr>
      <w:tr>
        <w:trPr>
          <w:trHeight w:val="196"/>
        </w:trPr>
        <w:tc>
          <w:tcPr>
            <w:tcW w:w="5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780" w:type="dxa"/>
            <w:vAlign w:val="bottom"/>
            <w:tcBorders>
              <w:bottom w:val="single" w:sz="8" w:color="0000EE"/>
            </w:tcBorders>
            <w:gridSpan w:val="22"/>
          </w:tcPr>
          <w:p>
            <w:pPr>
              <w:spacing w:after="0" w:line="196" w:lineRule="exact"/>
              <w:rPr>
                <w:rFonts w:ascii="Times New Roman" w:cs="Times New Roman" w:eastAsia="Times New Roman" w:hAnsi="Times New Roman"/>
                <w:sz w:val="18"/>
                <w:szCs w:val="18"/>
                <w:color w:val="0000EE"/>
                <w:w w:val="99"/>
              </w:rPr>
            </w:pPr>
            <w:hyperlink w:anchor="page20">
              <w:r>
                <w:rPr>
                  <w:rFonts w:ascii="Times New Roman" w:cs="Times New Roman" w:eastAsia="Times New Roman" w:hAnsi="Times New Roman"/>
                  <w:sz w:val="18"/>
                  <w:szCs w:val="18"/>
                  <w:color w:val="0000EE"/>
                  <w:w w:val="99"/>
                </w:rPr>
                <w:t>Results of Operations by Reportable Segment for the Nine Months Year-to-Date</w:t>
              </w:r>
            </w:hyperlink>
          </w:p>
        </w:tc>
        <w:tc>
          <w:tcPr>
            <w:tcW w:w="500" w:type="dxa"/>
            <w:vAlign w:val="bottom"/>
          </w:tcPr>
          <w:p>
            <w:pPr>
              <w:spacing w:after="0"/>
              <w:rPr>
                <w:sz w:val="17"/>
                <w:szCs w:val="17"/>
                <w:color w:val="auto"/>
              </w:rPr>
            </w:pPr>
          </w:p>
        </w:tc>
        <w:tc>
          <w:tcPr>
            <w:tcW w:w="3900" w:type="dxa"/>
            <w:vAlign w:val="bottom"/>
          </w:tcPr>
          <w:p>
            <w:pPr>
              <w:spacing w:after="0"/>
              <w:rPr>
                <w:sz w:val="17"/>
                <w:szCs w:val="17"/>
                <w:color w:val="auto"/>
              </w:rPr>
            </w:pPr>
          </w:p>
        </w:tc>
      </w:tr>
      <w:tr>
        <w:trPr>
          <w:trHeight w:val="196"/>
        </w:trPr>
        <w:tc>
          <w:tcPr>
            <w:tcW w:w="5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40" w:type="dxa"/>
            <w:vAlign w:val="bottom"/>
            <w:tcBorders>
              <w:bottom w:val="single" w:sz="8" w:color="0000EE"/>
            </w:tcBorders>
            <w:gridSpan w:val="6"/>
          </w:tcPr>
          <w:p>
            <w:pPr>
              <w:spacing w:after="0" w:line="196" w:lineRule="exact"/>
              <w:rPr>
                <w:rFonts w:ascii="Times New Roman" w:cs="Times New Roman" w:eastAsia="Times New Roman" w:hAnsi="Times New Roman"/>
                <w:sz w:val="18"/>
                <w:szCs w:val="18"/>
                <w:color w:val="0000EE"/>
                <w:w w:val="98"/>
              </w:rPr>
            </w:pPr>
            <w:hyperlink w:anchor="page22">
              <w:r>
                <w:rPr>
                  <w:rFonts w:ascii="Times New Roman" w:cs="Times New Roman" w:eastAsia="Times New Roman" w:hAnsi="Times New Roman"/>
                  <w:sz w:val="18"/>
                  <w:szCs w:val="18"/>
                  <w:color w:val="0000EE"/>
                  <w:w w:val="98"/>
                </w:rPr>
                <w:t>Financial Condition</w:t>
              </w:r>
            </w:hyperlink>
          </w:p>
        </w:tc>
        <w:tc>
          <w:tcPr>
            <w:tcW w:w="4840" w:type="dxa"/>
            <w:vAlign w:val="bottom"/>
            <w:gridSpan w:val="17"/>
          </w:tcPr>
          <w:p>
            <w:pPr>
              <w:spacing w:after="0"/>
              <w:rPr>
                <w:sz w:val="17"/>
                <w:szCs w:val="17"/>
                <w:color w:val="auto"/>
              </w:rPr>
            </w:pPr>
          </w:p>
        </w:tc>
        <w:tc>
          <w:tcPr>
            <w:tcW w:w="3900" w:type="dxa"/>
            <w:vAlign w:val="bottom"/>
          </w:tcPr>
          <w:p>
            <w:pPr>
              <w:spacing w:after="0"/>
              <w:rPr>
                <w:sz w:val="17"/>
                <w:szCs w:val="17"/>
                <w:color w:val="auto"/>
              </w:rPr>
            </w:pPr>
          </w:p>
        </w:tc>
      </w:tr>
      <w:tr>
        <w:trPr>
          <w:trHeight w:val="196"/>
        </w:trPr>
        <w:tc>
          <w:tcPr>
            <w:tcW w:w="5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440" w:type="dxa"/>
            <w:vAlign w:val="bottom"/>
            <w:tcBorders>
              <w:bottom w:val="single" w:sz="8" w:color="0000EE"/>
            </w:tcBorders>
            <w:gridSpan w:val="12"/>
          </w:tcPr>
          <w:p>
            <w:pPr>
              <w:spacing w:after="0" w:line="196" w:lineRule="exact"/>
              <w:rPr>
                <w:rFonts w:ascii="Times New Roman" w:cs="Times New Roman" w:eastAsia="Times New Roman" w:hAnsi="Times New Roman"/>
                <w:sz w:val="18"/>
                <w:szCs w:val="18"/>
                <w:color w:val="0000EE"/>
                <w:w w:val="99"/>
              </w:rPr>
            </w:pPr>
            <w:hyperlink w:anchor="page25">
              <w:r>
                <w:rPr>
                  <w:rFonts w:ascii="Times New Roman" w:cs="Times New Roman" w:eastAsia="Times New Roman" w:hAnsi="Times New Roman"/>
                  <w:sz w:val="18"/>
                  <w:szCs w:val="18"/>
                  <w:color w:val="0000EE"/>
                  <w:w w:val="99"/>
                </w:rPr>
                <w:t>Recent Accounting Requirements</w:t>
              </w:r>
            </w:hyperlink>
          </w:p>
        </w:tc>
        <w:tc>
          <w:tcPr>
            <w:tcW w:w="3840" w:type="dxa"/>
            <w:vAlign w:val="bottom"/>
            <w:gridSpan w:val="11"/>
          </w:tcPr>
          <w:p>
            <w:pPr>
              <w:spacing w:after="0"/>
              <w:rPr>
                <w:sz w:val="17"/>
                <w:szCs w:val="17"/>
                <w:color w:val="auto"/>
              </w:rPr>
            </w:pPr>
          </w:p>
        </w:tc>
        <w:tc>
          <w:tcPr>
            <w:tcW w:w="3900" w:type="dxa"/>
            <w:vAlign w:val="bottom"/>
          </w:tcPr>
          <w:p>
            <w:pPr>
              <w:spacing w:after="0"/>
              <w:rPr>
                <w:sz w:val="17"/>
                <w:szCs w:val="17"/>
                <w:color w:val="auto"/>
              </w:rPr>
            </w:pPr>
          </w:p>
        </w:tc>
      </w:tr>
      <w:tr>
        <w:trPr>
          <w:trHeight w:val="196"/>
        </w:trPr>
        <w:tc>
          <w:tcPr>
            <w:tcW w:w="540" w:type="dxa"/>
            <w:vAlign w:val="bottom"/>
            <w:tcBorders>
              <w:bottom w:val="single" w:sz="8" w:color="0000EE"/>
            </w:tcBorders>
            <w:gridSpan w:val="2"/>
          </w:tcPr>
          <w:p>
            <w:pPr>
              <w:spacing w:after="0" w:line="196" w:lineRule="exact"/>
              <w:rPr>
                <w:rFonts w:ascii="Times New Roman" w:cs="Times New Roman" w:eastAsia="Times New Roman" w:hAnsi="Times New Roman"/>
                <w:sz w:val="18"/>
                <w:szCs w:val="18"/>
                <w:color w:val="0000EE"/>
              </w:rPr>
            </w:pPr>
            <w:hyperlink w:anchor="page25">
              <w:r>
                <w:rPr>
                  <w:rFonts w:ascii="Times New Roman" w:cs="Times New Roman" w:eastAsia="Times New Roman" w:hAnsi="Times New Roman"/>
                  <w:sz w:val="18"/>
                  <w:szCs w:val="18"/>
                  <w:color w:val="0000EE"/>
                </w:rPr>
                <w:t>Item 3.</w:t>
              </w:r>
            </w:hyperlink>
          </w:p>
        </w:tc>
        <w:tc>
          <w:tcPr>
            <w:tcW w:w="560" w:type="dxa"/>
            <w:vAlign w:val="bottom"/>
            <w:gridSpan w:val="3"/>
          </w:tcPr>
          <w:p>
            <w:pPr>
              <w:spacing w:after="0"/>
              <w:rPr>
                <w:sz w:val="17"/>
                <w:szCs w:val="17"/>
                <w:color w:val="auto"/>
              </w:rPr>
            </w:pPr>
          </w:p>
        </w:tc>
        <w:tc>
          <w:tcPr>
            <w:tcW w:w="4380" w:type="dxa"/>
            <w:vAlign w:val="bottom"/>
            <w:tcBorders>
              <w:bottom w:val="single" w:sz="8" w:color="0000EE"/>
            </w:tcBorders>
            <w:gridSpan w:val="17"/>
          </w:tcPr>
          <w:p>
            <w:pPr>
              <w:spacing w:after="0" w:line="196" w:lineRule="exact"/>
              <w:rPr>
                <w:rFonts w:ascii="Times New Roman" w:cs="Times New Roman" w:eastAsia="Times New Roman" w:hAnsi="Times New Roman"/>
                <w:sz w:val="18"/>
                <w:szCs w:val="18"/>
                <w:color w:val="0000EE"/>
                <w:w w:val="99"/>
              </w:rPr>
            </w:pPr>
            <w:hyperlink w:anchor="page25">
              <w:r>
                <w:rPr>
                  <w:rFonts w:ascii="Times New Roman" w:cs="Times New Roman" w:eastAsia="Times New Roman" w:hAnsi="Times New Roman"/>
                  <w:sz w:val="18"/>
                  <w:szCs w:val="18"/>
                  <w:color w:val="0000EE"/>
                  <w:w w:val="99"/>
                </w:rPr>
                <w:t>Quantitative and Qualitative Disclosures About Market Risk</w:t>
              </w:r>
            </w:hyperlink>
          </w:p>
        </w:tc>
        <w:tc>
          <w:tcPr>
            <w:tcW w:w="2080" w:type="dxa"/>
            <w:vAlign w:val="bottom"/>
            <w:gridSpan w:val="7"/>
          </w:tcPr>
          <w:p>
            <w:pPr>
              <w:spacing w:after="0"/>
              <w:rPr>
                <w:sz w:val="17"/>
                <w:szCs w:val="17"/>
                <w:color w:val="auto"/>
              </w:rPr>
            </w:pPr>
          </w:p>
        </w:tc>
        <w:tc>
          <w:tcPr>
            <w:tcW w:w="39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33</w:t>
            </w:r>
          </w:p>
        </w:tc>
      </w:tr>
      <w:tr>
        <w:trPr>
          <w:trHeight w:val="196"/>
        </w:trPr>
        <w:tc>
          <w:tcPr>
            <w:tcW w:w="520" w:type="dxa"/>
            <w:vAlign w:val="bottom"/>
            <w:tcBorders>
              <w:bottom w:val="single" w:sz="8" w:color="0000EE"/>
            </w:tcBorders>
          </w:tcPr>
          <w:p>
            <w:pPr>
              <w:spacing w:after="0" w:line="196" w:lineRule="exact"/>
              <w:rPr>
                <w:rFonts w:ascii="Times New Roman" w:cs="Times New Roman" w:eastAsia="Times New Roman" w:hAnsi="Times New Roman"/>
                <w:sz w:val="18"/>
                <w:szCs w:val="18"/>
                <w:color w:val="0000EE"/>
                <w:w w:val="97"/>
              </w:rPr>
            </w:pPr>
            <w:hyperlink w:anchor="page25">
              <w:r>
                <w:rPr>
                  <w:rFonts w:ascii="Times New Roman" w:cs="Times New Roman" w:eastAsia="Times New Roman" w:hAnsi="Times New Roman"/>
                  <w:sz w:val="18"/>
                  <w:szCs w:val="18"/>
                  <w:color w:val="0000EE"/>
                  <w:w w:val="97"/>
                </w:rPr>
                <w:t>Item 4.</w:t>
              </w:r>
            </w:hyperlink>
          </w:p>
        </w:tc>
        <w:tc>
          <w:tcPr>
            <w:tcW w:w="580" w:type="dxa"/>
            <w:vAlign w:val="bottom"/>
            <w:gridSpan w:val="4"/>
          </w:tcPr>
          <w:p>
            <w:pPr>
              <w:spacing w:after="0"/>
              <w:rPr>
                <w:sz w:val="17"/>
                <w:szCs w:val="17"/>
                <w:color w:val="auto"/>
              </w:rPr>
            </w:pPr>
          </w:p>
        </w:tc>
        <w:tc>
          <w:tcPr>
            <w:tcW w:w="1780" w:type="dxa"/>
            <w:vAlign w:val="bottom"/>
            <w:tcBorders>
              <w:bottom w:val="single" w:sz="8" w:color="0000EE"/>
            </w:tcBorders>
            <w:gridSpan w:val="9"/>
          </w:tcPr>
          <w:p>
            <w:pPr>
              <w:spacing w:after="0" w:line="196" w:lineRule="exact"/>
              <w:rPr>
                <w:rFonts w:ascii="Times New Roman" w:cs="Times New Roman" w:eastAsia="Times New Roman" w:hAnsi="Times New Roman"/>
                <w:sz w:val="18"/>
                <w:szCs w:val="18"/>
                <w:color w:val="0000EE"/>
                <w:w w:val="99"/>
              </w:rPr>
            </w:pPr>
            <w:hyperlink w:anchor="page25">
              <w:r>
                <w:rPr>
                  <w:rFonts w:ascii="Times New Roman" w:cs="Times New Roman" w:eastAsia="Times New Roman" w:hAnsi="Times New Roman"/>
                  <w:sz w:val="18"/>
                  <w:szCs w:val="18"/>
                  <w:color w:val="0000EE"/>
                  <w:w w:val="99"/>
                </w:rPr>
                <w:t>Controls and Procedures</w:t>
              </w:r>
            </w:hyperlink>
          </w:p>
        </w:tc>
        <w:tc>
          <w:tcPr>
            <w:tcW w:w="4680" w:type="dxa"/>
            <w:vAlign w:val="bottom"/>
            <w:gridSpan w:val="15"/>
          </w:tcPr>
          <w:p>
            <w:pPr>
              <w:spacing w:after="0"/>
              <w:rPr>
                <w:sz w:val="17"/>
                <w:szCs w:val="17"/>
                <w:color w:val="auto"/>
              </w:rPr>
            </w:pPr>
          </w:p>
        </w:tc>
        <w:tc>
          <w:tcPr>
            <w:tcW w:w="39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33</w:t>
            </w:r>
          </w:p>
        </w:tc>
      </w:tr>
      <w:tr>
        <w:trPr>
          <w:trHeight w:val="412"/>
        </w:trPr>
        <w:tc>
          <w:tcPr>
            <w:tcW w:w="2780" w:type="dxa"/>
            <w:vAlign w:val="bottom"/>
            <w:tcBorders>
              <w:bottom w:val="single" w:sz="8" w:color="0000EE"/>
            </w:tcBorders>
            <w:gridSpan w:val="13"/>
          </w:tcPr>
          <w:p>
            <w:pPr>
              <w:spacing w:after="0"/>
              <w:rPr>
                <w:rFonts w:ascii="Times New Roman" w:cs="Times New Roman" w:eastAsia="Times New Roman" w:hAnsi="Times New Roman"/>
                <w:sz w:val="18"/>
                <w:szCs w:val="18"/>
                <w:b w:val="1"/>
                <w:bCs w:val="1"/>
                <w:color w:val="0000EE"/>
                <w:w w:val="98"/>
              </w:rPr>
            </w:pPr>
            <w:hyperlink w:anchor="page26">
              <w:r>
                <w:rPr>
                  <w:rFonts w:ascii="Times New Roman" w:cs="Times New Roman" w:eastAsia="Times New Roman" w:hAnsi="Times New Roman"/>
                  <w:sz w:val="18"/>
                  <w:szCs w:val="18"/>
                  <w:b w:val="1"/>
                  <w:bCs w:val="1"/>
                  <w:color w:val="0000EE"/>
                  <w:w w:val="98"/>
                </w:rPr>
                <w:t>PART II. OTHER INFORMATION</w:t>
              </w:r>
            </w:hyperlink>
          </w:p>
        </w:tc>
        <w:tc>
          <w:tcPr>
            <w:tcW w:w="4780" w:type="dxa"/>
            <w:vAlign w:val="bottom"/>
            <w:gridSpan w:val="16"/>
          </w:tcPr>
          <w:p>
            <w:pPr>
              <w:spacing w:after="0"/>
              <w:rPr>
                <w:sz w:val="24"/>
                <w:szCs w:val="24"/>
                <w:color w:val="auto"/>
              </w:rPr>
            </w:pPr>
          </w:p>
        </w:tc>
        <w:tc>
          <w:tcPr>
            <w:tcW w:w="3900" w:type="dxa"/>
            <w:vAlign w:val="bottom"/>
          </w:tcPr>
          <w:p>
            <w:pPr>
              <w:spacing w:after="0"/>
              <w:rPr>
                <w:sz w:val="24"/>
                <w:szCs w:val="24"/>
                <w:color w:val="auto"/>
              </w:rPr>
            </w:pPr>
          </w:p>
        </w:tc>
      </w:tr>
      <w:tr>
        <w:trPr>
          <w:trHeight w:val="412"/>
        </w:trPr>
        <w:tc>
          <w:tcPr>
            <w:tcW w:w="540" w:type="dxa"/>
            <w:vAlign w:val="bottom"/>
            <w:tcBorders>
              <w:bottom w:val="single" w:sz="8" w:color="0000EE"/>
            </w:tcBorders>
            <w:gridSpan w:val="2"/>
          </w:tcPr>
          <w:p>
            <w:pPr>
              <w:spacing w:after="0"/>
              <w:rPr>
                <w:rFonts w:ascii="Times New Roman" w:cs="Times New Roman" w:eastAsia="Times New Roman" w:hAnsi="Times New Roman"/>
                <w:sz w:val="18"/>
                <w:szCs w:val="18"/>
                <w:color w:val="0000EE"/>
              </w:rPr>
            </w:pPr>
            <w:hyperlink w:anchor="page26">
              <w:r>
                <w:rPr>
                  <w:rFonts w:ascii="Times New Roman" w:cs="Times New Roman" w:eastAsia="Times New Roman" w:hAnsi="Times New Roman"/>
                  <w:sz w:val="18"/>
                  <w:szCs w:val="18"/>
                  <w:color w:val="0000EE"/>
                </w:rPr>
                <w:t>Item 1.</w:t>
              </w:r>
            </w:hyperlink>
          </w:p>
        </w:tc>
        <w:tc>
          <w:tcPr>
            <w:tcW w:w="560" w:type="dxa"/>
            <w:vAlign w:val="bottom"/>
            <w:gridSpan w:val="3"/>
          </w:tcPr>
          <w:p>
            <w:pPr>
              <w:spacing w:after="0"/>
              <w:rPr>
                <w:sz w:val="24"/>
                <w:szCs w:val="24"/>
                <w:color w:val="auto"/>
              </w:rPr>
            </w:pPr>
          </w:p>
        </w:tc>
        <w:tc>
          <w:tcPr>
            <w:tcW w:w="1340" w:type="dxa"/>
            <w:vAlign w:val="bottom"/>
            <w:tcBorders>
              <w:bottom w:val="single" w:sz="8" w:color="0000EE"/>
            </w:tcBorders>
            <w:gridSpan w:val="6"/>
          </w:tcPr>
          <w:p>
            <w:pPr>
              <w:spacing w:after="0"/>
              <w:rPr>
                <w:rFonts w:ascii="Times New Roman" w:cs="Times New Roman" w:eastAsia="Times New Roman" w:hAnsi="Times New Roman"/>
                <w:sz w:val="18"/>
                <w:szCs w:val="18"/>
                <w:color w:val="0000EE"/>
                <w:w w:val="98"/>
              </w:rPr>
            </w:pPr>
            <w:hyperlink w:anchor="page26">
              <w:r>
                <w:rPr>
                  <w:rFonts w:ascii="Times New Roman" w:cs="Times New Roman" w:eastAsia="Times New Roman" w:hAnsi="Times New Roman"/>
                  <w:sz w:val="18"/>
                  <w:szCs w:val="18"/>
                  <w:color w:val="0000EE"/>
                  <w:w w:val="98"/>
                </w:rPr>
                <w:t>Legal Proceedings</w:t>
              </w:r>
            </w:hyperlink>
          </w:p>
        </w:tc>
        <w:tc>
          <w:tcPr>
            <w:tcW w:w="5120" w:type="dxa"/>
            <w:vAlign w:val="bottom"/>
            <w:gridSpan w:val="18"/>
          </w:tcPr>
          <w:p>
            <w:pPr>
              <w:spacing w:after="0"/>
              <w:rPr>
                <w:sz w:val="24"/>
                <w:szCs w:val="24"/>
                <w:color w:val="auto"/>
              </w:rPr>
            </w:pPr>
          </w:p>
        </w:tc>
        <w:tc>
          <w:tcPr>
            <w:tcW w:w="3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r>
      <w:tr>
        <w:trPr>
          <w:trHeight w:val="196"/>
        </w:trPr>
        <w:tc>
          <w:tcPr>
            <w:tcW w:w="1100" w:type="dxa"/>
            <w:vAlign w:val="bottom"/>
            <w:gridSpan w:val="5"/>
          </w:tcPr>
          <w:p>
            <w:pPr>
              <w:spacing w:after="0" w:line="196" w:lineRule="exact"/>
              <w:rPr>
                <w:rFonts w:ascii="Times New Roman" w:cs="Times New Roman" w:eastAsia="Times New Roman" w:hAnsi="Times New Roman"/>
                <w:sz w:val="18"/>
                <w:szCs w:val="18"/>
                <w:color w:val="0000EE"/>
              </w:rPr>
            </w:pPr>
            <w:hyperlink w:anchor="page26">
              <w:r>
                <w:rPr>
                  <w:rFonts w:ascii="Times New Roman" w:cs="Times New Roman" w:eastAsia="Times New Roman" w:hAnsi="Times New Roman"/>
                  <w:sz w:val="18"/>
                  <w:szCs w:val="18"/>
                  <w:color w:val="0000EE"/>
                </w:rPr>
                <w:t>Item 1A.</w:t>
              </w:r>
            </w:hyperlink>
          </w:p>
        </w:tc>
        <w:tc>
          <w:tcPr>
            <w:tcW w:w="6460" w:type="dxa"/>
            <w:vAlign w:val="bottom"/>
            <w:gridSpan w:val="24"/>
          </w:tcPr>
          <w:p>
            <w:pPr>
              <w:spacing w:after="0" w:line="196" w:lineRule="exact"/>
              <w:rPr>
                <w:rFonts w:ascii="Times New Roman" w:cs="Times New Roman" w:eastAsia="Times New Roman" w:hAnsi="Times New Roman"/>
                <w:sz w:val="18"/>
                <w:szCs w:val="18"/>
                <w:color w:val="0000EE"/>
              </w:rPr>
            </w:pPr>
            <w:hyperlink w:anchor="page26">
              <w:r>
                <w:rPr>
                  <w:rFonts w:ascii="Times New Roman" w:cs="Times New Roman" w:eastAsia="Times New Roman" w:hAnsi="Times New Roman"/>
                  <w:sz w:val="18"/>
                  <w:szCs w:val="18"/>
                  <w:color w:val="0000EE"/>
                </w:rPr>
                <w:t>Risk Factors</w:t>
              </w:r>
            </w:hyperlink>
          </w:p>
        </w:tc>
        <w:tc>
          <w:tcPr>
            <w:tcW w:w="39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34</w:t>
            </w:r>
          </w:p>
        </w:tc>
      </w:tr>
      <w:tr>
        <w:trPr>
          <w:trHeight w:val="20"/>
        </w:trPr>
        <w:tc>
          <w:tcPr>
            <w:tcW w:w="640" w:type="dxa"/>
            <w:vAlign w:val="bottom"/>
            <w:gridSpan w:val="3"/>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0" w:type="dxa"/>
            <w:vAlign w:val="bottom"/>
            <w:gridSpan w:val="3"/>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0" w:type="dxa"/>
            <w:vAlign w:val="bottom"/>
            <w:gridSpan w:val="6"/>
          </w:tcPr>
          <w:p>
            <w:pPr>
              <w:spacing w:after="0" w:line="20" w:lineRule="exact"/>
              <w:rPr>
                <w:sz w:val="1"/>
                <w:szCs w:val="1"/>
                <w:color w:val="auto"/>
              </w:rPr>
            </w:pPr>
          </w:p>
        </w:tc>
        <w:tc>
          <w:tcPr>
            <w:tcW w:w="2040" w:type="dxa"/>
            <w:vAlign w:val="bottom"/>
            <w:gridSpan w:val="5"/>
          </w:tcPr>
          <w:p>
            <w:pPr>
              <w:spacing w:after="0" w:line="20" w:lineRule="exact"/>
              <w:rPr>
                <w:sz w:val="1"/>
                <w:szCs w:val="1"/>
                <w:color w:val="auto"/>
              </w:rPr>
            </w:pPr>
          </w:p>
        </w:tc>
        <w:tc>
          <w:tcPr>
            <w:tcW w:w="2100" w:type="dxa"/>
            <w:vAlign w:val="bottom"/>
            <w:gridSpan w:val="8"/>
          </w:tcPr>
          <w:p>
            <w:pPr>
              <w:spacing w:after="0" w:line="20" w:lineRule="exact"/>
              <w:rPr>
                <w:sz w:val="1"/>
                <w:szCs w:val="1"/>
                <w:color w:val="auto"/>
              </w:rPr>
            </w:pPr>
          </w:p>
        </w:tc>
        <w:tc>
          <w:tcPr>
            <w:tcW w:w="3900" w:type="dxa"/>
            <w:vAlign w:val="bottom"/>
          </w:tcPr>
          <w:p>
            <w:pPr>
              <w:spacing w:after="0" w:line="20" w:lineRule="exact"/>
              <w:rPr>
                <w:sz w:val="1"/>
                <w:szCs w:val="1"/>
                <w:color w:val="auto"/>
              </w:rPr>
            </w:pPr>
          </w:p>
        </w:tc>
      </w:tr>
      <w:tr>
        <w:trPr>
          <w:trHeight w:val="196"/>
        </w:trPr>
        <w:tc>
          <w:tcPr>
            <w:tcW w:w="540" w:type="dxa"/>
            <w:vAlign w:val="bottom"/>
            <w:tcBorders>
              <w:bottom w:val="single" w:sz="8" w:color="0000EE"/>
            </w:tcBorders>
            <w:gridSpan w:val="2"/>
          </w:tcPr>
          <w:p>
            <w:pPr>
              <w:spacing w:after="0" w:line="196" w:lineRule="exact"/>
              <w:rPr>
                <w:rFonts w:ascii="Times New Roman" w:cs="Times New Roman" w:eastAsia="Times New Roman" w:hAnsi="Times New Roman"/>
                <w:sz w:val="18"/>
                <w:szCs w:val="18"/>
                <w:color w:val="0000EE"/>
              </w:rPr>
            </w:pPr>
            <w:hyperlink w:anchor="page26">
              <w:r>
                <w:rPr>
                  <w:rFonts w:ascii="Times New Roman" w:cs="Times New Roman" w:eastAsia="Times New Roman" w:hAnsi="Times New Roman"/>
                  <w:sz w:val="18"/>
                  <w:szCs w:val="18"/>
                  <w:color w:val="0000EE"/>
                </w:rPr>
                <w:t>Item 2.</w:t>
              </w:r>
            </w:hyperlink>
          </w:p>
        </w:tc>
        <w:tc>
          <w:tcPr>
            <w:tcW w:w="100" w:type="dxa"/>
            <w:vAlign w:val="bottom"/>
          </w:tcPr>
          <w:p>
            <w:pPr>
              <w:spacing w:after="0"/>
              <w:rPr>
                <w:sz w:val="17"/>
                <w:szCs w:val="17"/>
                <w:color w:val="auto"/>
              </w:rPr>
            </w:pPr>
          </w:p>
        </w:tc>
        <w:tc>
          <w:tcPr>
            <w:tcW w:w="460" w:type="dxa"/>
            <w:vAlign w:val="bottom"/>
            <w:gridSpan w:val="2"/>
          </w:tcPr>
          <w:p>
            <w:pPr>
              <w:spacing w:after="0"/>
              <w:rPr>
                <w:sz w:val="17"/>
                <w:szCs w:val="17"/>
                <w:color w:val="auto"/>
              </w:rPr>
            </w:pPr>
          </w:p>
        </w:tc>
        <w:tc>
          <w:tcPr>
            <w:tcW w:w="4360" w:type="dxa"/>
            <w:vAlign w:val="bottom"/>
            <w:tcBorders>
              <w:bottom w:val="single" w:sz="8" w:color="0000EE"/>
            </w:tcBorders>
            <w:gridSpan w:val="16"/>
          </w:tcPr>
          <w:p>
            <w:pPr>
              <w:spacing w:after="0" w:line="196" w:lineRule="exact"/>
              <w:rPr>
                <w:rFonts w:ascii="Times New Roman" w:cs="Times New Roman" w:eastAsia="Times New Roman" w:hAnsi="Times New Roman"/>
                <w:sz w:val="18"/>
                <w:szCs w:val="18"/>
                <w:color w:val="0000EE"/>
                <w:w w:val="99"/>
              </w:rPr>
            </w:pPr>
            <w:hyperlink w:anchor="page26">
              <w:r>
                <w:rPr>
                  <w:rFonts w:ascii="Times New Roman" w:cs="Times New Roman" w:eastAsia="Times New Roman" w:hAnsi="Times New Roman"/>
                  <w:sz w:val="18"/>
                  <w:szCs w:val="18"/>
                  <w:color w:val="0000EE"/>
                  <w:w w:val="99"/>
                </w:rPr>
                <w:t>Unregistered Sales of Equity Securities and Use of Proceeds</w:t>
              </w:r>
            </w:hyperlink>
          </w:p>
        </w:tc>
        <w:tc>
          <w:tcPr>
            <w:tcW w:w="2100" w:type="dxa"/>
            <w:vAlign w:val="bottom"/>
            <w:gridSpan w:val="8"/>
          </w:tcPr>
          <w:p>
            <w:pPr>
              <w:spacing w:after="0"/>
              <w:rPr>
                <w:sz w:val="17"/>
                <w:szCs w:val="17"/>
                <w:color w:val="auto"/>
              </w:rPr>
            </w:pPr>
          </w:p>
        </w:tc>
        <w:tc>
          <w:tcPr>
            <w:tcW w:w="39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34</w:t>
            </w:r>
          </w:p>
        </w:tc>
      </w:tr>
      <w:tr>
        <w:trPr>
          <w:trHeight w:val="196"/>
        </w:trPr>
        <w:tc>
          <w:tcPr>
            <w:tcW w:w="540" w:type="dxa"/>
            <w:vAlign w:val="bottom"/>
            <w:gridSpan w:val="2"/>
          </w:tcPr>
          <w:p>
            <w:pPr>
              <w:spacing w:after="0" w:line="196" w:lineRule="exact"/>
              <w:rPr>
                <w:rFonts w:ascii="Times New Roman" w:cs="Times New Roman" w:eastAsia="Times New Roman" w:hAnsi="Times New Roman"/>
                <w:sz w:val="18"/>
                <w:szCs w:val="18"/>
                <w:color w:val="0000EE"/>
              </w:rPr>
            </w:pPr>
            <w:hyperlink w:anchor="page26">
              <w:r>
                <w:rPr>
                  <w:rFonts w:ascii="Times New Roman" w:cs="Times New Roman" w:eastAsia="Times New Roman" w:hAnsi="Times New Roman"/>
                  <w:sz w:val="18"/>
                  <w:szCs w:val="18"/>
                  <w:color w:val="0000EE"/>
                </w:rPr>
                <w:t>Item 3.</w:t>
              </w:r>
            </w:hyperlink>
          </w:p>
        </w:tc>
        <w:tc>
          <w:tcPr>
            <w:tcW w:w="560" w:type="dxa"/>
            <w:vAlign w:val="bottom"/>
            <w:gridSpan w:val="3"/>
          </w:tcPr>
          <w:p>
            <w:pPr>
              <w:spacing w:after="0"/>
              <w:rPr>
                <w:sz w:val="17"/>
                <w:szCs w:val="17"/>
                <w:color w:val="auto"/>
              </w:rPr>
            </w:pPr>
          </w:p>
        </w:tc>
        <w:tc>
          <w:tcPr>
            <w:tcW w:w="6460" w:type="dxa"/>
            <w:vAlign w:val="bottom"/>
            <w:gridSpan w:val="24"/>
          </w:tcPr>
          <w:p>
            <w:pPr>
              <w:spacing w:after="0" w:line="196" w:lineRule="exact"/>
              <w:rPr>
                <w:rFonts w:ascii="Times New Roman" w:cs="Times New Roman" w:eastAsia="Times New Roman" w:hAnsi="Times New Roman"/>
                <w:sz w:val="18"/>
                <w:szCs w:val="18"/>
                <w:color w:val="0000EE"/>
              </w:rPr>
            </w:pPr>
            <w:hyperlink w:anchor="page26">
              <w:r>
                <w:rPr>
                  <w:rFonts w:ascii="Times New Roman" w:cs="Times New Roman" w:eastAsia="Times New Roman" w:hAnsi="Times New Roman"/>
                  <w:sz w:val="18"/>
                  <w:szCs w:val="18"/>
                  <w:color w:val="0000EE"/>
                </w:rPr>
                <w:t>Defaults Upon Senior Securities</w:t>
              </w:r>
            </w:hyperlink>
          </w:p>
        </w:tc>
        <w:tc>
          <w:tcPr>
            <w:tcW w:w="39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34</w:t>
            </w:r>
          </w:p>
        </w:tc>
      </w:tr>
      <w:tr>
        <w:trPr>
          <w:trHeight w:val="196"/>
        </w:trPr>
        <w:tc>
          <w:tcPr>
            <w:tcW w:w="540" w:type="dxa"/>
            <w:vAlign w:val="bottom"/>
            <w:tcBorders>
              <w:top w:val="single" w:sz="8" w:color="0000EE"/>
              <w:bottom w:val="single" w:sz="8" w:color="0000EE"/>
            </w:tcBorders>
            <w:gridSpan w:val="2"/>
          </w:tcPr>
          <w:p>
            <w:pPr>
              <w:spacing w:after="0" w:line="196" w:lineRule="exact"/>
              <w:rPr>
                <w:rFonts w:ascii="Times New Roman" w:cs="Times New Roman" w:eastAsia="Times New Roman" w:hAnsi="Times New Roman"/>
                <w:sz w:val="18"/>
                <w:szCs w:val="18"/>
                <w:color w:val="0000EE"/>
              </w:rPr>
            </w:pPr>
            <w:hyperlink w:anchor="page27">
              <w:r>
                <w:rPr>
                  <w:rFonts w:ascii="Times New Roman" w:cs="Times New Roman" w:eastAsia="Times New Roman" w:hAnsi="Times New Roman"/>
                  <w:sz w:val="18"/>
                  <w:szCs w:val="18"/>
                  <w:color w:val="0000EE"/>
                </w:rPr>
                <w:t>Item 4.</w:t>
              </w:r>
            </w:hyperlink>
          </w:p>
        </w:tc>
        <w:tc>
          <w:tcPr>
            <w:tcW w:w="220" w:type="dxa"/>
            <w:vAlign w:val="bottom"/>
            <w:tcBorders>
              <w:bottom w:val="single" w:sz="8" w:color="0000EE"/>
            </w:tcBorders>
            <w:gridSpan w:val="2"/>
          </w:tcPr>
          <w:p>
            <w:pPr>
              <w:spacing w:after="0"/>
              <w:rPr>
                <w:sz w:val="17"/>
                <w:szCs w:val="17"/>
                <w:color w:val="auto"/>
              </w:rPr>
            </w:pPr>
          </w:p>
        </w:tc>
        <w:tc>
          <w:tcPr>
            <w:tcW w:w="340" w:type="dxa"/>
            <w:vAlign w:val="bottom"/>
          </w:tcPr>
          <w:p>
            <w:pPr>
              <w:spacing w:after="0"/>
              <w:rPr>
                <w:sz w:val="17"/>
                <w:szCs w:val="17"/>
                <w:color w:val="auto"/>
              </w:rPr>
            </w:pPr>
          </w:p>
        </w:tc>
        <w:tc>
          <w:tcPr>
            <w:tcW w:w="1780" w:type="dxa"/>
            <w:vAlign w:val="bottom"/>
            <w:tcBorders>
              <w:top w:val="single" w:sz="8" w:color="0000EE"/>
              <w:bottom w:val="single" w:sz="8" w:color="0000EE"/>
            </w:tcBorders>
            <w:gridSpan w:val="9"/>
          </w:tcPr>
          <w:p>
            <w:pPr>
              <w:spacing w:after="0" w:line="196" w:lineRule="exact"/>
              <w:rPr>
                <w:rFonts w:ascii="Times New Roman" w:cs="Times New Roman" w:eastAsia="Times New Roman" w:hAnsi="Times New Roman"/>
                <w:sz w:val="18"/>
                <w:szCs w:val="18"/>
                <w:color w:val="0000EE"/>
                <w:w w:val="99"/>
              </w:rPr>
            </w:pPr>
            <w:hyperlink w:anchor="page27">
              <w:r>
                <w:rPr>
                  <w:rFonts w:ascii="Times New Roman" w:cs="Times New Roman" w:eastAsia="Times New Roman" w:hAnsi="Times New Roman"/>
                  <w:sz w:val="18"/>
                  <w:szCs w:val="18"/>
                  <w:color w:val="0000EE"/>
                  <w:w w:val="99"/>
                </w:rPr>
                <w:t>Mine Safety Disclosures</w:t>
              </w:r>
            </w:hyperlink>
          </w:p>
        </w:tc>
        <w:tc>
          <w:tcPr>
            <w:tcW w:w="540" w:type="dxa"/>
            <w:vAlign w:val="bottom"/>
            <w:tcBorders>
              <w:top w:val="single" w:sz="8" w:color="0000EE"/>
            </w:tcBorders>
            <w:gridSpan w:val="2"/>
          </w:tcPr>
          <w:p>
            <w:pPr>
              <w:spacing w:after="0"/>
              <w:rPr>
                <w:sz w:val="17"/>
                <w:szCs w:val="17"/>
                <w:color w:val="auto"/>
              </w:rPr>
            </w:pPr>
          </w:p>
        </w:tc>
        <w:tc>
          <w:tcPr>
            <w:tcW w:w="4140" w:type="dxa"/>
            <w:vAlign w:val="bottom"/>
            <w:gridSpan w:val="13"/>
          </w:tcPr>
          <w:p>
            <w:pPr>
              <w:spacing w:after="0"/>
              <w:rPr>
                <w:sz w:val="17"/>
                <w:szCs w:val="17"/>
                <w:color w:val="auto"/>
              </w:rPr>
            </w:pPr>
          </w:p>
        </w:tc>
        <w:tc>
          <w:tcPr>
            <w:tcW w:w="39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34</w:t>
            </w:r>
          </w:p>
        </w:tc>
      </w:tr>
      <w:tr>
        <w:trPr>
          <w:trHeight w:val="196"/>
        </w:trPr>
        <w:tc>
          <w:tcPr>
            <w:tcW w:w="540" w:type="dxa"/>
            <w:vAlign w:val="bottom"/>
            <w:tcBorders>
              <w:bottom w:val="single" w:sz="8" w:color="0000EE"/>
            </w:tcBorders>
            <w:gridSpan w:val="2"/>
          </w:tcPr>
          <w:p>
            <w:pPr>
              <w:spacing w:after="0" w:line="196" w:lineRule="exact"/>
              <w:rPr>
                <w:rFonts w:ascii="Times New Roman" w:cs="Times New Roman" w:eastAsia="Times New Roman" w:hAnsi="Times New Roman"/>
                <w:sz w:val="18"/>
                <w:szCs w:val="18"/>
                <w:color w:val="0000EE"/>
              </w:rPr>
            </w:pPr>
            <w:hyperlink w:anchor="page27">
              <w:r>
                <w:rPr>
                  <w:rFonts w:ascii="Times New Roman" w:cs="Times New Roman" w:eastAsia="Times New Roman" w:hAnsi="Times New Roman"/>
                  <w:sz w:val="18"/>
                  <w:szCs w:val="18"/>
                  <w:color w:val="0000EE"/>
                </w:rPr>
                <w:t>Item 5.</w:t>
              </w:r>
            </w:hyperlink>
          </w:p>
        </w:tc>
        <w:tc>
          <w:tcPr>
            <w:tcW w:w="560" w:type="dxa"/>
            <w:vAlign w:val="bottom"/>
            <w:gridSpan w:val="3"/>
          </w:tcPr>
          <w:p>
            <w:pPr>
              <w:spacing w:after="0"/>
              <w:rPr>
                <w:sz w:val="17"/>
                <w:szCs w:val="17"/>
                <w:color w:val="auto"/>
              </w:rPr>
            </w:pPr>
          </w:p>
        </w:tc>
        <w:tc>
          <w:tcPr>
            <w:tcW w:w="1320" w:type="dxa"/>
            <w:vAlign w:val="bottom"/>
            <w:tcBorders>
              <w:bottom w:val="single" w:sz="8" w:color="0000EE"/>
            </w:tcBorders>
            <w:gridSpan w:val="5"/>
          </w:tcPr>
          <w:p>
            <w:pPr>
              <w:spacing w:after="0" w:line="196" w:lineRule="exact"/>
              <w:rPr>
                <w:rFonts w:ascii="Times New Roman" w:cs="Times New Roman" w:eastAsia="Times New Roman" w:hAnsi="Times New Roman"/>
                <w:sz w:val="18"/>
                <w:szCs w:val="18"/>
                <w:color w:val="0000EE"/>
                <w:w w:val="98"/>
              </w:rPr>
            </w:pPr>
            <w:hyperlink w:anchor="page27">
              <w:r>
                <w:rPr>
                  <w:rFonts w:ascii="Times New Roman" w:cs="Times New Roman" w:eastAsia="Times New Roman" w:hAnsi="Times New Roman"/>
                  <w:sz w:val="18"/>
                  <w:szCs w:val="18"/>
                  <w:color w:val="0000EE"/>
                  <w:w w:val="98"/>
                </w:rPr>
                <w:t>Other Information</w:t>
              </w:r>
            </w:hyperlink>
          </w:p>
        </w:tc>
        <w:tc>
          <w:tcPr>
            <w:tcW w:w="5140" w:type="dxa"/>
            <w:vAlign w:val="bottom"/>
            <w:gridSpan w:val="19"/>
          </w:tcPr>
          <w:p>
            <w:pPr>
              <w:spacing w:after="0"/>
              <w:rPr>
                <w:sz w:val="17"/>
                <w:szCs w:val="17"/>
                <w:color w:val="auto"/>
              </w:rPr>
            </w:pPr>
          </w:p>
        </w:tc>
        <w:tc>
          <w:tcPr>
            <w:tcW w:w="39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34</w:t>
            </w:r>
          </w:p>
        </w:tc>
      </w:tr>
      <w:tr>
        <w:trPr>
          <w:trHeight w:val="196"/>
        </w:trPr>
        <w:tc>
          <w:tcPr>
            <w:tcW w:w="540" w:type="dxa"/>
            <w:vAlign w:val="bottom"/>
            <w:gridSpan w:val="2"/>
          </w:tcPr>
          <w:p>
            <w:pPr>
              <w:spacing w:after="0" w:line="196" w:lineRule="exact"/>
              <w:rPr>
                <w:rFonts w:ascii="Times New Roman" w:cs="Times New Roman" w:eastAsia="Times New Roman" w:hAnsi="Times New Roman"/>
                <w:sz w:val="18"/>
                <w:szCs w:val="18"/>
                <w:color w:val="0000EE"/>
              </w:rPr>
            </w:pPr>
            <w:hyperlink w:anchor="page27">
              <w:r>
                <w:rPr>
                  <w:rFonts w:ascii="Times New Roman" w:cs="Times New Roman" w:eastAsia="Times New Roman" w:hAnsi="Times New Roman"/>
                  <w:sz w:val="18"/>
                  <w:szCs w:val="18"/>
                  <w:color w:val="0000EE"/>
                </w:rPr>
                <w:t>Item 6.</w:t>
              </w:r>
            </w:hyperlink>
          </w:p>
        </w:tc>
        <w:tc>
          <w:tcPr>
            <w:tcW w:w="560" w:type="dxa"/>
            <w:vAlign w:val="bottom"/>
            <w:gridSpan w:val="3"/>
          </w:tcPr>
          <w:p>
            <w:pPr>
              <w:spacing w:after="0"/>
              <w:rPr>
                <w:sz w:val="17"/>
                <w:szCs w:val="17"/>
                <w:color w:val="auto"/>
              </w:rPr>
            </w:pPr>
          </w:p>
        </w:tc>
        <w:tc>
          <w:tcPr>
            <w:tcW w:w="6460" w:type="dxa"/>
            <w:vAlign w:val="bottom"/>
            <w:gridSpan w:val="24"/>
          </w:tcPr>
          <w:p>
            <w:pPr>
              <w:spacing w:after="0" w:line="196" w:lineRule="exact"/>
              <w:rPr>
                <w:rFonts w:ascii="Times New Roman" w:cs="Times New Roman" w:eastAsia="Times New Roman" w:hAnsi="Times New Roman"/>
                <w:sz w:val="18"/>
                <w:szCs w:val="18"/>
                <w:color w:val="0000EE"/>
              </w:rPr>
            </w:pPr>
            <w:hyperlink w:anchor="page27">
              <w:r>
                <w:rPr>
                  <w:rFonts w:ascii="Times New Roman" w:cs="Times New Roman" w:eastAsia="Times New Roman" w:hAnsi="Times New Roman"/>
                  <w:sz w:val="18"/>
                  <w:szCs w:val="18"/>
                  <w:color w:val="0000EE"/>
                </w:rPr>
                <w:t>Exhibits</w:t>
              </w:r>
            </w:hyperlink>
          </w:p>
        </w:tc>
        <w:tc>
          <w:tcPr>
            <w:tcW w:w="39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35</w:t>
            </w:r>
          </w:p>
        </w:tc>
      </w:tr>
      <w:tr>
        <w:trPr>
          <w:trHeight w:val="20"/>
        </w:trPr>
        <w:tc>
          <w:tcPr>
            <w:tcW w:w="540" w:type="dxa"/>
            <w:vAlign w:val="bottom"/>
            <w:gridSpan w:val="2"/>
            <w:shd w:val="clear" w:color="auto" w:fill="0000EE"/>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900" w:type="dxa"/>
            <w:vAlign w:val="bottom"/>
          </w:tcPr>
          <w:p>
            <w:pPr>
              <w:spacing w:after="0" w:line="20" w:lineRule="exact"/>
              <w:rPr>
                <w:sz w:val="1"/>
                <w:szCs w:val="1"/>
                <w:color w:val="auto"/>
              </w:rPr>
            </w:pPr>
          </w:p>
        </w:tc>
      </w:tr>
      <w:tr>
        <w:trPr>
          <w:trHeight w:val="196"/>
        </w:trPr>
        <w:tc>
          <w:tcPr>
            <w:tcW w:w="1100" w:type="dxa"/>
            <w:vAlign w:val="bottom"/>
            <w:gridSpan w:val="5"/>
          </w:tcPr>
          <w:p>
            <w:pPr>
              <w:spacing w:after="0" w:line="196" w:lineRule="exact"/>
              <w:rPr>
                <w:rFonts w:ascii="Times New Roman" w:cs="Times New Roman" w:eastAsia="Times New Roman" w:hAnsi="Times New Roman"/>
                <w:sz w:val="18"/>
                <w:szCs w:val="18"/>
                <w:color w:val="0000EE"/>
              </w:rPr>
            </w:pPr>
            <w:hyperlink w:anchor="page27">
              <w:r>
                <w:rPr>
                  <w:rFonts w:ascii="Times New Roman" w:cs="Times New Roman" w:eastAsia="Times New Roman" w:hAnsi="Times New Roman"/>
                  <w:sz w:val="18"/>
                  <w:szCs w:val="18"/>
                  <w:color w:val="0000EE"/>
                </w:rPr>
                <w:t>Signatures</w:t>
              </w:r>
            </w:hyperlink>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39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36</w:t>
            </w:r>
          </w:p>
        </w:tc>
      </w:tr>
      <w:tr>
        <w:trPr>
          <w:trHeight w:val="237"/>
        </w:trPr>
        <w:tc>
          <w:tcPr>
            <w:tcW w:w="760" w:type="dxa"/>
            <w:vAlign w:val="bottom"/>
            <w:tcBorders>
              <w:top w:val="single" w:sz="8" w:color="0000EE"/>
            </w:tcBorders>
            <w:gridSpan w:val="4"/>
          </w:tcPr>
          <w:p>
            <w:pPr>
              <w:spacing w:after="0"/>
              <w:rPr>
                <w:sz w:val="20"/>
                <w:szCs w:val="20"/>
                <w:color w:val="auto"/>
              </w:rPr>
            </w:pPr>
            <w:r>
              <w:rPr>
                <w:rFonts w:ascii="Times New Roman" w:cs="Times New Roman" w:eastAsia="Times New Roman" w:hAnsi="Times New Roman"/>
                <w:sz w:val="18"/>
                <w:szCs w:val="18"/>
                <w:color w:val="auto"/>
              </w:rPr>
              <w:t>Exhibits</w:t>
            </w:r>
          </w:p>
        </w:tc>
        <w:tc>
          <w:tcPr>
            <w:tcW w:w="3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3900" w:type="dxa"/>
            <w:vAlign w:val="bottom"/>
          </w:tcPr>
          <w:p>
            <w:pPr>
              <w:spacing w:after="0"/>
              <w:rPr>
                <w:sz w:val="20"/>
                <w:szCs w:val="20"/>
                <w:color w:val="auto"/>
              </w:rPr>
            </w:pPr>
          </w:p>
        </w:tc>
      </w:tr>
      <w:tr>
        <w:trPr>
          <w:trHeight w:val="348"/>
        </w:trPr>
        <w:tc>
          <w:tcPr>
            <w:tcW w:w="520" w:type="dxa"/>
            <w:vAlign w:val="bottom"/>
            <w:tcBorders>
              <w:bottom w:val="single" w:sz="8" w:color="808080"/>
            </w:tcBorders>
          </w:tcPr>
          <w:p>
            <w:pPr>
              <w:spacing w:after="0"/>
              <w:rPr>
                <w:sz w:val="24"/>
                <w:szCs w:val="24"/>
                <w:color w:val="auto"/>
              </w:rPr>
            </w:pPr>
          </w:p>
        </w:tc>
        <w:tc>
          <w:tcPr>
            <w:tcW w:w="20" w:type="dxa"/>
            <w:vAlign w:val="bottom"/>
            <w:tcBorders>
              <w:bottom w:val="single" w:sz="8" w:color="808080"/>
            </w:tcBorders>
          </w:tcPr>
          <w:p>
            <w:pPr>
              <w:spacing w:after="0"/>
              <w:rPr>
                <w:sz w:val="24"/>
                <w:szCs w:val="24"/>
                <w:color w:val="auto"/>
              </w:rPr>
            </w:pPr>
          </w:p>
        </w:tc>
        <w:tc>
          <w:tcPr>
            <w:tcW w:w="100" w:type="dxa"/>
            <w:vAlign w:val="bottom"/>
            <w:tcBorders>
              <w:bottom w:val="single" w:sz="8" w:color="808080"/>
            </w:tcBorders>
          </w:tcPr>
          <w:p>
            <w:pPr>
              <w:spacing w:after="0"/>
              <w:rPr>
                <w:sz w:val="24"/>
                <w:szCs w:val="24"/>
                <w:color w:val="auto"/>
              </w:rPr>
            </w:pPr>
          </w:p>
        </w:tc>
        <w:tc>
          <w:tcPr>
            <w:tcW w:w="120" w:type="dxa"/>
            <w:vAlign w:val="bottom"/>
            <w:tcBorders>
              <w:bottom w:val="single" w:sz="8" w:color="808080"/>
            </w:tcBorders>
          </w:tcPr>
          <w:p>
            <w:pPr>
              <w:spacing w:after="0"/>
              <w:rPr>
                <w:sz w:val="24"/>
                <w:szCs w:val="24"/>
                <w:color w:val="auto"/>
              </w:rPr>
            </w:pPr>
          </w:p>
        </w:tc>
        <w:tc>
          <w:tcPr>
            <w:tcW w:w="340" w:type="dxa"/>
            <w:vAlign w:val="bottom"/>
            <w:tcBorders>
              <w:bottom w:val="single" w:sz="8" w:color="808080"/>
            </w:tcBorders>
          </w:tcPr>
          <w:p>
            <w:pPr>
              <w:spacing w:after="0"/>
              <w:rPr>
                <w:sz w:val="24"/>
                <w:szCs w:val="24"/>
                <w:color w:val="auto"/>
              </w:rPr>
            </w:pPr>
          </w:p>
        </w:tc>
        <w:tc>
          <w:tcPr>
            <w:tcW w:w="180" w:type="dxa"/>
            <w:vAlign w:val="bottom"/>
            <w:tcBorders>
              <w:bottom w:val="single" w:sz="8" w:color="808080"/>
            </w:tcBorders>
          </w:tcPr>
          <w:p>
            <w:pPr>
              <w:spacing w:after="0"/>
              <w:rPr>
                <w:sz w:val="24"/>
                <w:szCs w:val="24"/>
                <w:color w:val="auto"/>
              </w:rPr>
            </w:pPr>
          </w:p>
        </w:tc>
        <w:tc>
          <w:tcPr>
            <w:tcW w:w="180" w:type="dxa"/>
            <w:vAlign w:val="bottom"/>
            <w:tcBorders>
              <w:bottom w:val="single" w:sz="8" w:color="808080"/>
            </w:tcBorders>
          </w:tcPr>
          <w:p>
            <w:pPr>
              <w:spacing w:after="0"/>
              <w:rPr>
                <w:sz w:val="24"/>
                <w:szCs w:val="24"/>
                <w:color w:val="auto"/>
              </w:rPr>
            </w:pPr>
          </w:p>
        </w:tc>
        <w:tc>
          <w:tcPr>
            <w:tcW w:w="240" w:type="dxa"/>
            <w:vAlign w:val="bottom"/>
            <w:tcBorders>
              <w:bottom w:val="single" w:sz="8" w:color="808080"/>
            </w:tcBorders>
          </w:tcPr>
          <w:p>
            <w:pPr>
              <w:spacing w:after="0"/>
              <w:rPr>
                <w:sz w:val="24"/>
                <w:szCs w:val="24"/>
                <w:color w:val="auto"/>
              </w:rPr>
            </w:pPr>
          </w:p>
        </w:tc>
        <w:tc>
          <w:tcPr>
            <w:tcW w:w="300" w:type="dxa"/>
            <w:vAlign w:val="bottom"/>
            <w:tcBorders>
              <w:bottom w:val="single" w:sz="8" w:color="808080"/>
            </w:tcBorders>
          </w:tcPr>
          <w:p>
            <w:pPr>
              <w:spacing w:after="0"/>
              <w:rPr>
                <w:sz w:val="24"/>
                <w:szCs w:val="24"/>
                <w:color w:val="auto"/>
              </w:rPr>
            </w:pPr>
          </w:p>
        </w:tc>
        <w:tc>
          <w:tcPr>
            <w:tcW w:w="420" w:type="dxa"/>
            <w:vAlign w:val="bottom"/>
            <w:tcBorders>
              <w:bottom w:val="single" w:sz="8" w:color="808080"/>
            </w:tcBorders>
          </w:tcPr>
          <w:p>
            <w:pPr>
              <w:spacing w:after="0"/>
              <w:rPr>
                <w:sz w:val="24"/>
                <w:szCs w:val="24"/>
                <w:color w:val="auto"/>
              </w:rPr>
            </w:pPr>
          </w:p>
        </w:tc>
        <w:tc>
          <w:tcPr>
            <w:tcW w:w="20" w:type="dxa"/>
            <w:vAlign w:val="bottom"/>
            <w:tcBorders>
              <w:bottom w:val="single" w:sz="8" w:color="808080"/>
            </w:tcBorders>
          </w:tcPr>
          <w:p>
            <w:pPr>
              <w:spacing w:after="0"/>
              <w:rPr>
                <w:sz w:val="24"/>
                <w:szCs w:val="24"/>
                <w:color w:val="auto"/>
              </w:rPr>
            </w:pPr>
          </w:p>
        </w:tc>
        <w:tc>
          <w:tcPr>
            <w:tcW w:w="280" w:type="dxa"/>
            <w:vAlign w:val="bottom"/>
            <w:tcBorders>
              <w:bottom w:val="single" w:sz="8" w:color="808080"/>
            </w:tcBorders>
          </w:tcPr>
          <w:p>
            <w:pPr>
              <w:spacing w:after="0"/>
              <w:rPr>
                <w:sz w:val="24"/>
                <w:szCs w:val="24"/>
                <w:color w:val="auto"/>
              </w:rPr>
            </w:pPr>
          </w:p>
        </w:tc>
        <w:tc>
          <w:tcPr>
            <w:tcW w:w="60" w:type="dxa"/>
            <w:vAlign w:val="bottom"/>
            <w:tcBorders>
              <w:bottom w:val="single" w:sz="8" w:color="808080"/>
            </w:tcBorders>
          </w:tcPr>
          <w:p>
            <w:pPr>
              <w:spacing w:after="0"/>
              <w:rPr>
                <w:sz w:val="24"/>
                <w:szCs w:val="24"/>
                <w:color w:val="auto"/>
              </w:rPr>
            </w:pPr>
          </w:p>
        </w:tc>
        <w:tc>
          <w:tcPr>
            <w:tcW w:w="100" w:type="dxa"/>
            <w:vAlign w:val="bottom"/>
            <w:tcBorders>
              <w:bottom w:val="single" w:sz="8" w:color="808080"/>
            </w:tcBorders>
          </w:tcPr>
          <w:p>
            <w:pPr>
              <w:spacing w:after="0"/>
              <w:rPr>
                <w:sz w:val="24"/>
                <w:szCs w:val="24"/>
                <w:color w:val="auto"/>
              </w:rPr>
            </w:pPr>
          </w:p>
        </w:tc>
        <w:tc>
          <w:tcPr>
            <w:tcW w:w="60" w:type="dxa"/>
            <w:vAlign w:val="bottom"/>
            <w:tcBorders>
              <w:bottom w:val="single" w:sz="8" w:color="808080"/>
            </w:tcBorders>
          </w:tcPr>
          <w:p>
            <w:pPr>
              <w:spacing w:after="0"/>
              <w:rPr>
                <w:sz w:val="24"/>
                <w:szCs w:val="24"/>
                <w:color w:val="auto"/>
              </w:rPr>
            </w:pPr>
          </w:p>
        </w:tc>
        <w:tc>
          <w:tcPr>
            <w:tcW w:w="480" w:type="dxa"/>
            <w:vAlign w:val="bottom"/>
            <w:tcBorders>
              <w:bottom w:val="single" w:sz="8" w:color="808080"/>
            </w:tcBorders>
          </w:tcPr>
          <w:p>
            <w:pPr>
              <w:spacing w:after="0"/>
              <w:rPr>
                <w:sz w:val="24"/>
                <w:szCs w:val="24"/>
                <w:color w:val="auto"/>
              </w:rPr>
            </w:pPr>
          </w:p>
        </w:tc>
        <w:tc>
          <w:tcPr>
            <w:tcW w:w="180" w:type="dxa"/>
            <w:vAlign w:val="bottom"/>
            <w:tcBorders>
              <w:bottom w:val="single" w:sz="8" w:color="808080"/>
            </w:tcBorders>
          </w:tcPr>
          <w:p>
            <w:pPr>
              <w:spacing w:after="0"/>
              <w:rPr>
                <w:sz w:val="24"/>
                <w:szCs w:val="24"/>
                <w:color w:val="auto"/>
              </w:rPr>
            </w:pPr>
          </w:p>
        </w:tc>
        <w:tc>
          <w:tcPr>
            <w:tcW w:w="120" w:type="dxa"/>
            <w:vAlign w:val="bottom"/>
            <w:tcBorders>
              <w:bottom w:val="single" w:sz="8" w:color="808080"/>
            </w:tcBorders>
          </w:tcPr>
          <w:p>
            <w:pPr>
              <w:spacing w:after="0"/>
              <w:rPr>
                <w:sz w:val="24"/>
                <w:szCs w:val="24"/>
                <w:color w:val="auto"/>
              </w:rPr>
            </w:pPr>
          </w:p>
        </w:tc>
        <w:tc>
          <w:tcPr>
            <w:tcW w:w="1280" w:type="dxa"/>
            <w:vAlign w:val="bottom"/>
            <w:tcBorders>
              <w:bottom w:val="single" w:sz="8" w:color="808080"/>
            </w:tcBorders>
          </w:tcPr>
          <w:p>
            <w:pPr>
              <w:spacing w:after="0"/>
              <w:rPr>
                <w:sz w:val="24"/>
                <w:szCs w:val="24"/>
                <w:color w:val="auto"/>
              </w:rPr>
            </w:pPr>
          </w:p>
        </w:tc>
        <w:tc>
          <w:tcPr>
            <w:tcW w:w="280" w:type="dxa"/>
            <w:vAlign w:val="bottom"/>
            <w:tcBorders>
              <w:bottom w:val="single" w:sz="8" w:color="808080"/>
            </w:tcBorders>
          </w:tcPr>
          <w:p>
            <w:pPr>
              <w:spacing w:after="0"/>
              <w:rPr>
                <w:sz w:val="24"/>
                <w:szCs w:val="24"/>
                <w:color w:val="auto"/>
              </w:rPr>
            </w:pPr>
          </w:p>
        </w:tc>
        <w:tc>
          <w:tcPr>
            <w:tcW w:w="180" w:type="dxa"/>
            <w:vAlign w:val="bottom"/>
            <w:tcBorders>
              <w:bottom w:val="single" w:sz="8" w:color="808080"/>
            </w:tcBorders>
          </w:tcPr>
          <w:p>
            <w:pPr>
              <w:spacing w:after="0"/>
              <w:rPr>
                <w:sz w:val="24"/>
                <w:szCs w:val="24"/>
                <w:color w:val="auto"/>
              </w:rPr>
            </w:pPr>
          </w:p>
        </w:tc>
        <w:tc>
          <w:tcPr>
            <w:tcW w:w="20" w:type="dxa"/>
            <w:vAlign w:val="bottom"/>
            <w:tcBorders>
              <w:bottom w:val="single" w:sz="8" w:color="808080"/>
            </w:tcBorders>
          </w:tcPr>
          <w:p>
            <w:pPr>
              <w:spacing w:after="0"/>
              <w:rPr>
                <w:sz w:val="24"/>
                <w:szCs w:val="24"/>
                <w:color w:val="auto"/>
              </w:rPr>
            </w:pPr>
          </w:p>
        </w:tc>
        <w:tc>
          <w:tcPr>
            <w:tcW w:w="400" w:type="dxa"/>
            <w:vAlign w:val="bottom"/>
            <w:tcBorders>
              <w:bottom w:val="single" w:sz="8" w:color="808080"/>
            </w:tcBorders>
          </w:tcPr>
          <w:p>
            <w:pPr>
              <w:spacing w:after="0"/>
              <w:rPr>
                <w:sz w:val="24"/>
                <w:szCs w:val="24"/>
                <w:color w:val="auto"/>
              </w:rPr>
            </w:pPr>
          </w:p>
        </w:tc>
        <w:tc>
          <w:tcPr>
            <w:tcW w:w="200" w:type="dxa"/>
            <w:vAlign w:val="bottom"/>
            <w:tcBorders>
              <w:bottom w:val="single" w:sz="8" w:color="808080"/>
            </w:tcBorders>
          </w:tcPr>
          <w:p>
            <w:pPr>
              <w:spacing w:after="0"/>
              <w:rPr>
                <w:sz w:val="24"/>
                <w:szCs w:val="24"/>
                <w:color w:val="auto"/>
              </w:rPr>
            </w:pPr>
          </w:p>
        </w:tc>
        <w:tc>
          <w:tcPr>
            <w:tcW w:w="60" w:type="dxa"/>
            <w:vAlign w:val="bottom"/>
            <w:tcBorders>
              <w:bottom w:val="single" w:sz="8" w:color="808080"/>
            </w:tcBorders>
          </w:tcPr>
          <w:p>
            <w:pPr>
              <w:spacing w:after="0"/>
              <w:rPr>
                <w:sz w:val="24"/>
                <w:szCs w:val="24"/>
                <w:color w:val="auto"/>
              </w:rPr>
            </w:pPr>
          </w:p>
        </w:tc>
        <w:tc>
          <w:tcPr>
            <w:tcW w:w="60" w:type="dxa"/>
            <w:vAlign w:val="bottom"/>
            <w:tcBorders>
              <w:bottom w:val="single" w:sz="8" w:color="808080"/>
            </w:tcBorders>
          </w:tcPr>
          <w:p>
            <w:pPr>
              <w:spacing w:after="0"/>
              <w:rPr>
                <w:sz w:val="24"/>
                <w:szCs w:val="24"/>
                <w:color w:val="auto"/>
              </w:rPr>
            </w:pPr>
          </w:p>
        </w:tc>
        <w:tc>
          <w:tcPr>
            <w:tcW w:w="460" w:type="dxa"/>
            <w:vAlign w:val="bottom"/>
            <w:tcBorders>
              <w:bottom w:val="single" w:sz="8" w:color="808080"/>
            </w:tcBorders>
          </w:tcPr>
          <w:p>
            <w:pPr>
              <w:spacing w:after="0"/>
              <w:rPr>
                <w:sz w:val="24"/>
                <w:szCs w:val="24"/>
                <w:color w:val="auto"/>
              </w:rPr>
            </w:pPr>
          </w:p>
        </w:tc>
        <w:tc>
          <w:tcPr>
            <w:tcW w:w="400" w:type="dxa"/>
            <w:vAlign w:val="bottom"/>
            <w:tcBorders>
              <w:bottom w:val="single" w:sz="8" w:color="808080"/>
            </w:tcBorders>
          </w:tcPr>
          <w:p>
            <w:pPr>
              <w:spacing w:after="0"/>
              <w:rPr>
                <w:sz w:val="24"/>
                <w:szCs w:val="24"/>
                <w:color w:val="auto"/>
              </w:rPr>
            </w:pPr>
          </w:p>
        </w:tc>
        <w:tc>
          <w:tcPr>
            <w:tcW w:w="500" w:type="dxa"/>
            <w:vAlign w:val="bottom"/>
            <w:tcBorders>
              <w:bottom w:val="single" w:sz="8" w:color="808080"/>
            </w:tcBorders>
          </w:tcPr>
          <w:p>
            <w:pPr>
              <w:spacing w:after="0"/>
              <w:rPr>
                <w:sz w:val="24"/>
                <w:szCs w:val="24"/>
                <w:color w:val="auto"/>
              </w:rPr>
            </w:pPr>
          </w:p>
        </w:tc>
        <w:tc>
          <w:tcPr>
            <w:tcW w:w="390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310"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w:anchor="page1">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Safe Harbor Statement</w:t>
      </w:r>
    </w:p>
    <w:p>
      <w:pPr>
        <w:spacing w:after="0" w:line="229" w:lineRule="exact"/>
        <w:rPr>
          <w:sz w:val="20"/>
          <w:szCs w:val="20"/>
          <w:color w:val="auto"/>
        </w:rPr>
      </w:pPr>
    </w:p>
    <w:p>
      <w:pPr>
        <w:jc w:val="both"/>
        <w:ind w:right="40"/>
        <w:spacing w:after="0" w:line="255" w:lineRule="auto"/>
        <w:rPr>
          <w:sz w:val="20"/>
          <w:szCs w:val="20"/>
          <w:color w:val="auto"/>
        </w:rPr>
      </w:pPr>
      <w:r>
        <w:rPr>
          <w:rFonts w:ascii="Times New Roman" w:cs="Times New Roman" w:eastAsia="Times New Roman" w:hAnsi="Times New Roman"/>
          <w:sz w:val="18"/>
          <w:szCs w:val="18"/>
          <w:color w:val="auto"/>
        </w:rPr>
        <w:t>The matters discussed in this Quarterly Report contain “forward-looking statements” within the meaning of the Private Securities Litigation Reform Act of 1995. These statements, which are not statements of historical fact, contain estimates, assumptions, projections and/or expectations regarding future events, which may or may not occur. Words such as “aim,” “anticipate,” “assume,” “believe,” “continue,” “could,” “estimate,” “expect,” “foresee,” “guidance,” “intend,” “may,” “might,” “objective,” “plan,” “potential,” “project,” “seek,” “shall,” “should,” “target,” “will,” “would,” or variations thereof, and other expressions that refer to future events and trends, identify forward-looking statements. These forward-looking statements, and financial or other business targets, are subject to certain risks and uncertainties, which could cause our actual results to differ materially from the expected results, performance or achievements expressed or implied by such forward-looking statements.</w:t>
      </w:r>
    </w:p>
    <w:p>
      <w:pPr>
        <w:spacing w:after="0" w:line="189" w:lineRule="exact"/>
        <w:rPr>
          <w:sz w:val="20"/>
          <w:szCs w:val="20"/>
          <w:color w:val="auto"/>
        </w:rPr>
      </w:pPr>
    </w:p>
    <w:p>
      <w:pPr>
        <w:jc w:val="both"/>
        <w:ind w:right="40"/>
        <w:spacing w:after="0" w:line="252" w:lineRule="auto"/>
        <w:rPr>
          <w:sz w:val="20"/>
          <w:szCs w:val="20"/>
          <w:color w:val="auto"/>
        </w:rPr>
      </w:pPr>
      <w:r>
        <w:rPr>
          <w:rFonts w:ascii="Times New Roman" w:cs="Times New Roman" w:eastAsia="Times New Roman" w:hAnsi="Times New Roman"/>
          <w:sz w:val="18"/>
          <w:szCs w:val="18"/>
          <w:color w:val="auto"/>
        </w:rPr>
        <w:t>Certain risks and uncertainties are discussed in more detail under “Risk Factors” and “Management’s Discussion and Analysis of Financial Condition and Results of Operations” in our Annual Report on Form 10-K for the fiscal year ended December 31, 2016, and subsequent quarterly reports on Form 10-Q, and include, but are not limited to, risks and uncertainties relating to the following: fluctuations in demand affecting sales to customers; worldwide and local economic conditions; changes in political conditions; changes in governmental laws and regulations; fluctuations in currency exchange rates and other risks associated with foreign operations, including in emerging markets; the financial condition and inventory strategies of customers; changes in customer preferences; fluctuations in cost and availability of raw materials; our ability to generate sustained productivity improvement; our ability to achieve and sustain targeted cost reductions; the impact of competitive products and pricing; loss of significant contracts or customers; collection of receivables from customers; selling prices; business mix shift; execution and integration of acquisitions and completion of potential dispositions; timely development and market acceptance of new products, including sustainable or sustainably-sourced products; investment in development activities and new production facilities; amounts of future dividends and share repurchases; customer and supplier concentrations; successful implementation of new manufacturing technologies and installation of manufacturing equipment; disruptions in information technology systems, including cyber-attacks or other intrusions to network security; successful installation of new or upgraded information technology systems; data security breaches; volatility of financial markets; impairment of capitalized assets, including goodwill and other intangibles; credit risks; our ability to obtain adequate financing arrangements and maintain access to capital; fluctuations in interest and tax rates; changes in tax laws and regulations, and uncertainties associated with interpretations of such laws and regulations; outcome of tax audits; fluctuations in pension, insurance, and employee benefit costs; the impact of legal and regulatory proceedings, including with respect to environmental, health and safety; protection and infringement of intellectual property; the impact of epidemiological events on the economy and our customers and suppliers; acts of war, terrorism, and natural disasters; and other factors.</w:t>
      </w:r>
    </w:p>
    <w:p>
      <w:pPr>
        <w:spacing w:after="0" w:line="195" w:lineRule="exact"/>
        <w:rPr>
          <w:sz w:val="20"/>
          <w:szCs w:val="20"/>
          <w:color w:val="auto"/>
        </w:rPr>
      </w:pPr>
    </w:p>
    <w:p>
      <w:pPr>
        <w:jc w:val="both"/>
        <w:ind w:right="40"/>
        <w:spacing w:after="0" w:line="261" w:lineRule="auto"/>
        <w:rPr>
          <w:sz w:val="20"/>
          <w:szCs w:val="20"/>
          <w:color w:val="auto"/>
        </w:rPr>
      </w:pPr>
      <w:r>
        <w:rPr>
          <w:rFonts w:ascii="Times New Roman" w:cs="Times New Roman" w:eastAsia="Times New Roman" w:hAnsi="Times New Roman"/>
          <w:sz w:val="18"/>
          <w:szCs w:val="18"/>
          <w:color w:val="auto"/>
        </w:rPr>
        <w:t>We believe that the most significant risk factors that could affect our financial performance in the near-term include: (1) the impacts of global economic conditions and political uncertainty on underlying demand for our products and foreign currency fluctuations; (2) competitors’ actions, including pricing, expansion in key markets, and product offerings; (3) the degree to which higher costs can be offset with productivity measures and/or passed on to customers through selling price increases, without a significant loss of volume; and (4) the execution and integration of acquisitions.</w:t>
      </w:r>
    </w:p>
    <w:p>
      <w:pPr>
        <w:spacing w:after="0" w:line="180" w:lineRule="exact"/>
        <w:rPr>
          <w:sz w:val="20"/>
          <w:szCs w:val="20"/>
          <w:color w:val="auto"/>
        </w:rPr>
      </w:pPr>
    </w:p>
    <w:p>
      <w:pPr>
        <w:jc w:val="both"/>
        <w:ind w:right="40"/>
        <w:spacing w:after="0" w:line="282" w:lineRule="auto"/>
        <w:rPr>
          <w:sz w:val="20"/>
          <w:szCs w:val="20"/>
          <w:color w:val="auto"/>
        </w:rPr>
      </w:pPr>
      <w:r>
        <w:rPr>
          <w:rFonts w:ascii="Times New Roman" w:cs="Times New Roman" w:eastAsia="Times New Roman" w:hAnsi="Times New Roman"/>
          <w:sz w:val="18"/>
          <w:szCs w:val="18"/>
          <w:color w:val="auto"/>
        </w:rPr>
        <w:t>Our forward-looking statements are made as of the date hereof. We assume no duty to update these forward-looking statements to reflect new, changed or unanticipated events or circumstances, other than as may be required by law.</w:t>
      </w:r>
    </w:p>
    <w:p>
      <w:pPr>
        <w:spacing w:after="0" w:line="162" w:lineRule="exact"/>
        <w:rPr>
          <w:sz w:val="20"/>
          <w:szCs w:val="20"/>
          <w:color w:val="auto"/>
        </w:rPr>
      </w:pPr>
    </w:p>
    <w:p>
      <w:pPr>
        <w:ind w:left="11340"/>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w:anchor="page1">
        <w:r>
          <w:rPr>
            <w:rFonts w:ascii="Times New Roman" w:cs="Times New Roman" w:eastAsia="Times New Roman" w:hAnsi="Times New Roman"/>
            <w:sz w:val="18"/>
            <w:szCs w:val="18"/>
            <w:u w:val="single" w:color="auto"/>
            <w:color w:val="0000EE"/>
          </w:rPr>
          <w:t>Table of Contents</w:t>
        </w:r>
      </w:hyperlink>
    </w:p>
    <w:p>
      <w:pPr>
        <w:spacing w:after="0" w:line="225" w:lineRule="exact"/>
        <w:rPr>
          <w:sz w:val="20"/>
          <w:szCs w:val="20"/>
          <w:color w:val="auto"/>
        </w:rPr>
      </w:pPr>
    </w:p>
    <w:p>
      <w:pPr>
        <w:ind w:left="9340"/>
        <w:spacing w:after="0"/>
        <w:rPr>
          <w:sz w:val="20"/>
          <w:szCs w:val="20"/>
          <w:color w:val="auto"/>
        </w:rPr>
      </w:pPr>
      <w:r>
        <w:rPr>
          <w:rFonts w:ascii="Times New Roman" w:cs="Times New Roman" w:eastAsia="Times New Roman" w:hAnsi="Times New Roman"/>
          <w:sz w:val="18"/>
          <w:szCs w:val="18"/>
          <w:color w:val="auto"/>
        </w:rPr>
        <w:t>Avery Dennison Corporation</w:t>
      </w:r>
    </w:p>
    <w:p>
      <w:pPr>
        <w:spacing w:after="0" w:line="22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PART I. FINANCIAL INFORMATION</w:t>
      </w:r>
    </w:p>
    <w:p>
      <w:pPr>
        <w:sectPr>
          <w:pgSz w:w="11900" w:h="16866" w:orient="portrait"/>
          <w:cols w:equalWidth="0" w:num="1">
            <w:col w:w="11460"/>
          </w:cols>
          <w:pgMar w:left="240" w:top="108" w:right="199" w:bottom="0" w:gutter="0" w:footer="0" w:header="0"/>
        </w:sectPr>
      </w:pPr>
    </w:p>
    <w:bookmarkStart w:id="2" w:name="page3"/>
    <w:bookmarkEnd w:id="2"/>
    <w:p>
      <w:pPr>
        <w:spacing w:after="0" w:line="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FINANCIAL STATEMENTS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Unaudited</w:t>
      </w:r>
      <w:r>
        <w:rPr>
          <w:rFonts w:ascii="Times New Roman" w:cs="Times New Roman" w:eastAsia="Times New Roman" w:hAnsi="Times New Roman"/>
          <w:sz w:val="18"/>
          <w:szCs w:val="18"/>
          <w:b w:val="1"/>
          <w:bCs w:val="1"/>
          <w:color w:val="auto"/>
        </w:rPr>
        <w:t>)</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240" w:type="dxa"/>
            <w:vAlign w:val="bottom"/>
            <w:gridSpan w:val="4"/>
          </w:tcPr>
          <w:p>
            <w:pPr>
              <w:spacing w:after="0"/>
              <w:rPr>
                <w:sz w:val="20"/>
                <w:szCs w:val="20"/>
                <w:color w:val="auto"/>
              </w:rPr>
            </w:pPr>
            <w:r>
              <w:rPr>
                <w:rFonts w:ascii="Times New Roman" w:cs="Times New Roman" w:eastAsia="Times New Roman" w:hAnsi="Times New Roman"/>
                <w:sz w:val="14"/>
                <w:szCs w:val="14"/>
                <w:color w:val="auto"/>
              </w:rPr>
              <w:t>(Dollars in millions, except per share amount)</w:t>
            </w:r>
          </w:p>
        </w:tc>
        <w:tc>
          <w:tcPr>
            <w:tcW w:w="9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160" w:type="dxa"/>
            <w:vAlign w:val="bottom"/>
            <w:gridSpan w:val="4"/>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w w:val="99"/>
              </w:rPr>
              <w:t>September 30, 2017</w:t>
            </w:r>
          </w:p>
        </w:tc>
        <w:tc>
          <w:tcPr>
            <w:tcW w:w="170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December 31, 2016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220" w:type="dxa"/>
            <w:vAlign w:val="bottom"/>
            <w:tcBorders>
              <w:top w:val="single" w:sz="8" w:color="auto"/>
            </w:tcBorders>
            <w:gridSpan w:val="3"/>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94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32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9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gridSpan w:val="3"/>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9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4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8"/>
                <w:szCs w:val="18"/>
                <w:color w:val="auto"/>
              </w:rPr>
            </w:pPr>
          </w:p>
        </w:tc>
        <w:tc>
          <w:tcPr>
            <w:tcW w:w="1320" w:type="dxa"/>
            <w:vAlign w:val="bottom"/>
            <w:shd w:val="clear" w:color="auto" w:fill="CCEEFF"/>
          </w:tcPr>
          <w:p>
            <w:pPr>
              <w:jc w:val="right"/>
              <w:ind w:right="550"/>
              <w:spacing w:after="0"/>
              <w:rPr>
                <w:sz w:val="20"/>
                <w:szCs w:val="20"/>
                <w:color w:val="auto"/>
              </w:rPr>
            </w:pPr>
            <w:r>
              <w:rPr>
                <w:rFonts w:ascii="Times New Roman" w:cs="Times New Roman" w:eastAsia="Times New Roman" w:hAnsi="Times New Roman"/>
                <w:sz w:val="18"/>
                <w:szCs w:val="18"/>
                <w:color w:val="auto"/>
              </w:rPr>
              <w:t>232.3</w:t>
            </w:r>
          </w:p>
        </w:tc>
        <w:tc>
          <w:tcPr>
            <w:tcW w:w="80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195.1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6900" w:type="dxa"/>
            <w:vAlign w:val="bottom"/>
            <w:gridSpan w:val="6"/>
          </w:tcPr>
          <w:p>
            <w:pPr>
              <w:ind w:left="160"/>
              <w:spacing w:after="0" w:line="198" w:lineRule="exact"/>
              <w:rPr>
                <w:sz w:val="20"/>
                <w:szCs w:val="20"/>
                <w:color w:val="auto"/>
              </w:rPr>
            </w:pPr>
            <w:r>
              <w:rPr>
                <w:rFonts w:ascii="Times New Roman" w:cs="Times New Roman" w:eastAsia="Times New Roman" w:hAnsi="Times New Roman"/>
                <w:sz w:val="18"/>
                <w:szCs w:val="18"/>
                <w:color w:val="auto"/>
              </w:rPr>
              <w:t>Trade accounts receivable, less allowances of $41.3 and $47.8 at September 30, 2017 and</w:t>
            </w:r>
          </w:p>
        </w:tc>
        <w:tc>
          <w:tcPr>
            <w:tcW w:w="6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220" w:type="dxa"/>
            <w:vAlign w:val="bottom"/>
            <w:gridSpan w:val="3"/>
          </w:tcPr>
          <w:p>
            <w:pPr>
              <w:ind w:left="340"/>
              <w:spacing w:after="0"/>
              <w:rPr>
                <w:sz w:val="20"/>
                <w:szCs w:val="20"/>
                <w:color w:val="auto"/>
              </w:rPr>
            </w:pPr>
            <w:r>
              <w:rPr>
                <w:rFonts w:ascii="Times New Roman" w:cs="Times New Roman" w:eastAsia="Times New Roman" w:hAnsi="Times New Roman"/>
                <w:sz w:val="18"/>
                <w:szCs w:val="18"/>
                <w:color w:val="auto"/>
              </w:rPr>
              <w:t>December 31, 2016, respectively</w:t>
            </w:r>
          </w:p>
        </w:tc>
        <w:tc>
          <w:tcPr>
            <w:tcW w:w="9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320" w:type="dxa"/>
            <w:vAlign w:val="bottom"/>
          </w:tcPr>
          <w:p>
            <w:pPr>
              <w:jc w:val="right"/>
              <w:ind w:right="550"/>
              <w:spacing w:after="0"/>
              <w:rPr>
                <w:sz w:val="20"/>
                <w:szCs w:val="20"/>
                <w:color w:val="auto"/>
              </w:rPr>
            </w:pPr>
            <w:r>
              <w:rPr>
                <w:rFonts w:ascii="Times New Roman" w:cs="Times New Roman" w:eastAsia="Times New Roman" w:hAnsi="Times New Roman"/>
                <w:sz w:val="18"/>
                <w:szCs w:val="18"/>
                <w:color w:val="auto"/>
              </w:rPr>
              <w:t>1,184.8</w:t>
            </w:r>
          </w:p>
        </w:tc>
        <w:tc>
          <w:tcPr>
            <w:tcW w:w="800" w:type="dxa"/>
            <w:vAlign w:val="bottom"/>
          </w:tcPr>
          <w:p>
            <w:pPr>
              <w:spacing w:after="0"/>
              <w:rPr>
                <w:sz w:val="20"/>
                <w:szCs w:val="20"/>
                <w:color w:val="auto"/>
              </w:rPr>
            </w:pPr>
          </w:p>
        </w:tc>
        <w:tc>
          <w:tcPr>
            <w:tcW w:w="8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1,001.0</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gridSpan w:val="3"/>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Inventories, net</w:t>
            </w:r>
          </w:p>
        </w:tc>
        <w:tc>
          <w:tcPr>
            <w:tcW w:w="9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20" w:type="dxa"/>
            <w:vAlign w:val="bottom"/>
            <w:shd w:val="clear" w:color="auto" w:fill="CCEEFF"/>
          </w:tcPr>
          <w:p>
            <w:pPr>
              <w:jc w:val="right"/>
              <w:ind w:right="550"/>
              <w:spacing w:after="0"/>
              <w:rPr>
                <w:sz w:val="20"/>
                <w:szCs w:val="20"/>
                <w:color w:val="auto"/>
              </w:rPr>
            </w:pPr>
            <w:r>
              <w:rPr>
                <w:rFonts w:ascii="Times New Roman" w:cs="Times New Roman" w:eastAsia="Times New Roman" w:hAnsi="Times New Roman"/>
                <w:sz w:val="18"/>
                <w:szCs w:val="18"/>
                <w:color w:val="auto"/>
              </w:rPr>
              <w:t>620.0</w:t>
            </w:r>
          </w:p>
        </w:tc>
        <w:tc>
          <w:tcPr>
            <w:tcW w:w="80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519.1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Assets held for sale</w:t>
            </w:r>
          </w:p>
        </w:tc>
        <w:tc>
          <w:tcPr>
            <w:tcW w:w="9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20" w:type="dxa"/>
            <w:vAlign w:val="bottom"/>
          </w:tcPr>
          <w:p>
            <w:pPr>
              <w:jc w:val="right"/>
              <w:ind w:right="550"/>
              <w:spacing w:after="0"/>
              <w:rPr>
                <w:sz w:val="20"/>
                <w:szCs w:val="20"/>
                <w:color w:val="auto"/>
              </w:rPr>
            </w:pPr>
            <w:r>
              <w:rPr>
                <w:rFonts w:ascii="Times New Roman" w:cs="Times New Roman" w:eastAsia="Times New Roman" w:hAnsi="Times New Roman"/>
                <w:sz w:val="18"/>
                <w:szCs w:val="18"/>
                <w:color w:val="auto"/>
              </w:rPr>
              <w:t>6.8</w:t>
            </w:r>
          </w:p>
        </w:tc>
        <w:tc>
          <w:tcPr>
            <w:tcW w:w="800" w:type="dxa"/>
            <w:vAlign w:val="bottom"/>
          </w:tcPr>
          <w:p>
            <w:pPr>
              <w:spacing w:after="0"/>
              <w:rPr>
                <w:sz w:val="18"/>
                <w:szCs w:val="18"/>
                <w:color w:val="auto"/>
              </w:rPr>
            </w:pPr>
          </w:p>
        </w:tc>
        <w:tc>
          <w:tcPr>
            <w:tcW w:w="8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tcBorders>
              <w:bottom w:val="single" w:sz="8" w:color="auto"/>
            </w:tcBorders>
            <w:gridSpan w:val="3"/>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Other current assets</w:t>
            </w:r>
          </w:p>
        </w:tc>
        <w:tc>
          <w:tcPr>
            <w:tcW w:w="94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ind w:right="550"/>
              <w:spacing w:after="0"/>
              <w:rPr>
                <w:sz w:val="20"/>
                <w:szCs w:val="20"/>
                <w:color w:val="auto"/>
              </w:rPr>
            </w:pPr>
            <w:r>
              <w:rPr>
                <w:rFonts w:ascii="Times New Roman" w:cs="Times New Roman" w:eastAsia="Times New Roman" w:hAnsi="Times New Roman"/>
                <w:sz w:val="18"/>
                <w:szCs w:val="18"/>
                <w:color w:val="auto"/>
              </w:rPr>
              <w:t>239.4</w:t>
            </w:r>
          </w:p>
        </w:tc>
        <w:tc>
          <w:tcPr>
            <w:tcW w:w="80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182.8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220" w:type="dxa"/>
            <w:vAlign w:val="bottom"/>
            <w:gridSpan w:val="3"/>
          </w:tcPr>
          <w:p>
            <w:pPr>
              <w:ind w:left="340"/>
              <w:spacing w:after="0"/>
              <w:rPr>
                <w:sz w:val="20"/>
                <w:szCs w:val="20"/>
                <w:color w:val="auto"/>
              </w:rPr>
            </w:pPr>
            <w:r>
              <w:rPr>
                <w:rFonts w:ascii="Times New Roman" w:cs="Times New Roman" w:eastAsia="Times New Roman" w:hAnsi="Times New Roman"/>
                <w:sz w:val="18"/>
                <w:szCs w:val="18"/>
                <w:color w:val="auto"/>
              </w:rPr>
              <w:t>Total current assets</w:t>
            </w:r>
          </w:p>
        </w:tc>
        <w:tc>
          <w:tcPr>
            <w:tcW w:w="9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20" w:type="dxa"/>
            <w:vAlign w:val="bottom"/>
          </w:tcPr>
          <w:p>
            <w:pPr>
              <w:jc w:val="right"/>
              <w:ind w:right="550"/>
              <w:spacing w:after="0"/>
              <w:rPr>
                <w:sz w:val="20"/>
                <w:szCs w:val="20"/>
                <w:color w:val="auto"/>
              </w:rPr>
            </w:pPr>
            <w:r>
              <w:rPr>
                <w:rFonts w:ascii="Times New Roman" w:cs="Times New Roman" w:eastAsia="Times New Roman" w:hAnsi="Times New Roman"/>
                <w:sz w:val="18"/>
                <w:szCs w:val="18"/>
                <w:color w:val="auto"/>
              </w:rPr>
              <w:t>2,283.3</w:t>
            </w:r>
          </w:p>
        </w:tc>
        <w:tc>
          <w:tcPr>
            <w:tcW w:w="800" w:type="dxa"/>
            <w:vAlign w:val="bottom"/>
          </w:tcPr>
          <w:p>
            <w:pPr>
              <w:spacing w:after="0"/>
              <w:rPr>
                <w:sz w:val="18"/>
                <w:szCs w:val="18"/>
                <w:color w:val="auto"/>
              </w:rPr>
            </w:pPr>
          </w:p>
        </w:tc>
        <w:tc>
          <w:tcPr>
            <w:tcW w:w="8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1,904.8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Property, plant and equipment</w:t>
            </w:r>
          </w:p>
        </w:tc>
        <w:tc>
          <w:tcPr>
            <w:tcW w:w="9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20" w:type="dxa"/>
            <w:vAlign w:val="bottom"/>
            <w:shd w:val="clear" w:color="auto" w:fill="CCEEFF"/>
          </w:tcPr>
          <w:p>
            <w:pPr>
              <w:jc w:val="right"/>
              <w:ind w:right="550"/>
              <w:spacing w:after="0"/>
              <w:rPr>
                <w:sz w:val="20"/>
                <w:szCs w:val="20"/>
                <w:color w:val="auto"/>
              </w:rPr>
            </w:pPr>
            <w:r>
              <w:rPr>
                <w:rFonts w:ascii="Times New Roman" w:cs="Times New Roman" w:eastAsia="Times New Roman" w:hAnsi="Times New Roman"/>
                <w:sz w:val="18"/>
                <w:szCs w:val="18"/>
                <w:color w:val="auto"/>
              </w:rPr>
              <w:t>2,941.4</w:t>
            </w:r>
          </w:p>
        </w:tc>
        <w:tc>
          <w:tcPr>
            <w:tcW w:w="80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2,661.4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8"/>
                <w:szCs w:val="18"/>
                <w:color w:val="auto"/>
              </w:rPr>
              <w:t>Accumulated depreciation</w:t>
            </w:r>
          </w:p>
        </w:tc>
        <w:tc>
          <w:tcPr>
            <w:tcW w:w="9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color w:val="auto"/>
              </w:rPr>
              <w:t>(1,894.4)</w:t>
            </w:r>
          </w:p>
        </w:tc>
        <w:tc>
          <w:tcPr>
            <w:tcW w:w="80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(1,746.2)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2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Property, plant and equipment, net</w:t>
            </w:r>
          </w:p>
        </w:tc>
        <w:tc>
          <w:tcPr>
            <w:tcW w:w="9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20" w:type="dxa"/>
            <w:vAlign w:val="bottom"/>
            <w:shd w:val="clear" w:color="auto" w:fill="CCEEFF"/>
          </w:tcPr>
          <w:p>
            <w:pPr>
              <w:jc w:val="right"/>
              <w:ind w:right="550"/>
              <w:spacing w:after="0"/>
              <w:rPr>
                <w:sz w:val="20"/>
                <w:szCs w:val="20"/>
                <w:color w:val="auto"/>
              </w:rPr>
            </w:pPr>
            <w:r>
              <w:rPr>
                <w:rFonts w:ascii="Times New Roman" w:cs="Times New Roman" w:eastAsia="Times New Roman" w:hAnsi="Times New Roman"/>
                <w:sz w:val="18"/>
                <w:szCs w:val="18"/>
                <w:color w:val="auto"/>
              </w:rPr>
              <w:t>1,047.0</w:t>
            </w:r>
          </w:p>
        </w:tc>
        <w:tc>
          <w:tcPr>
            <w:tcW w:w="80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915.2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Goodwill</w:t>
            </w:r>
          </w:p>
        </w:tc>
        <w:tc>
          <w:tcPr>
            <w:tcW w:w="9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20" w:type="dxa"/>
            <w:vAlign w:val="bottom"/>
          </w:tcPr>
          <w:p>
            <w:pPr>
              <w:jc w:val="right"/>
              <w:ind w:right="550"/>
              <w:spacing w:after="0"/>
              <w:rPr>
                <w:sz w:val="20"/>
                <w:szCs w:val="20"/>
                <w:color w:val="auto"/>
              </w:rPr>
            </w:pPr>
            <w:r>
              <w:rPr>
                <w:rFonts w:ascii="Times New Roman" w:cs="Times New Roman" w:eastAsia="Times New Roman" w:hAnsi="Times New Roman"/>
                <w:sz w:val="18"/>
                <w:szCs w:val="18"/>
                <w:color w:val="auto"/>
              </w:rPr>
              <w:t>977.1</w:t>
            </w:r>
          </w:p>
        </w:tc>
        <w:tc>
          <w:tcPr>
            <w:tcW w:w="800" w:type="dxa"/>
            <w:vAlign w:val="bottom"/>
          </w:tcPr>
          <w:p>
            <w:pPr>
              <w:spacing w:after="0"/>
              <w:rPr>
                <w:sz w:val="18"/>
                <w:szCs w:val="18"/>
                <w:color w:val="auto"/>
              </w:rPr>
            </w:pPr>
          </w:p>
        </w:tc>
        <w:tc>
          <w:tcPr>
            <w:tcW w:w="8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793.6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intangibles resulting from business acquisitions, net</w:t>
            </w:r>
          </w:p>
        </w:tc>
        <w:tc>
          <w:tcPr>
            <w:tcW w:w="9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20" w:type="dxa"/>
            <w:vAlign w:val="bottom"/>
            <w:shd w:val="clear" w:color="auto" w:fill="CCEEFF"/>
          </w:tcPr>
          <w:p>
            <w:pPr>
              <w:jc w:val="right"/>
              <w:ind w:right="550"/>
              <w:spacing w:after="0"/>
              <w:rPr>
                <w:sz w:val="20"/>
                <w:szCs w:val="20"/>
                <w:color w:val="auto"/>
              </w:rPr>
            </w:pPr>
            <w:r>
              <w:rPr>
                <w:rFonts w:ascii="Times New Roman" w:cs="Times New Roman" w:eastAsia="Times New Roman" w:hAnsi="Times New Roman"/>
                <w:sz w:val="18"/>
                <w:szCs w:val="18"/>
                <w:color w:val="auto"/>
              </w:rPr>
              <w:t>170.1</w:t>
            </w:r>
          </w:p>
        </w:tc>
        <w:tc>
          <w:tcPr>
            <w:tcW w:w="80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66.7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Non-current deferred income taxes</w:t>
            </w:r>
          </w:p>
        </w:tc>
        <w:tc>
          <w:tcPr>
            <w:tcW w:w="9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20" w:type="dxa"/>
            <w:vAlign w:val="bottom"/>
          </w:tcPr>
          <w:p>
            <w:pPr>
              <w:jc w:val="right"/>
              <w:ind w:right="550"/>
              <w:spacing w:after="0"/>
              <w:rPr>
                <w:sz w:val="20"/>
                <w:szCs w:val="20"/>
                <w:color w:val="auto"/>
              </w:rPr>
            </w:pPr>
            <w:r>
              <w:rPr>
                <w:rFonts w:ascii="Times New Roman" w:cs="Times New Roman" w:eastAsia="Times New Roman" w:hAnsi="Times New Roman"/>
                <w:sz w:val="18"/>
                <w:szCs w:val="18"/>
                <w:color w:val="auto"/>
              </w:rPr>
              <w:t>347.4</w:t>
            </w:r>
          </w:p>
        </w:tc>
        <w:tc>
          <w:tcPr>
            <w:tcW w:w="800" w:type="dxa"/>
            <w:vAlign w:val="bottom"/>
          </w:tcPr>
          <w:p>
            <w:pPr>
              <w:spacing w:after="0"/>
              <w:rPr>
                <w:sz w:val="18"/>
                <w:szCs w:val="18"/>
                <w:color w:val="auto"/>
              </w:rPr>
            </w:pPr>
          </w:p>
        </w:tc>
        <w:tc>
          <w:tcPr>
            <w:tcW w:w="8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313.2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tcBorders>
              <w:bottom w:val="single" w:sz="8" w:color="auto"/>
            </w:tcBorders>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assets</w:t>
            </w:r>
          </w:p>
        </w:tc>
        <w:tc>
          <w:tcPr>
            <w:tcW w:w="94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ind w:right="550"/>
              <w:spacing w:after="0"/>
              <w:rPr>
                <w:sz w:val="20"/>
                <w:szCs w:val="20"/>
                <w:color w:val="auto"/>
              </w:rPr>
            </w:pPr>
            <w:r>
              <w:rPr>
                <w:rFonts w:ascii="Times New Roman" w:cs="Times New Roman" w:eastAsia="Times New Roman" w:hAnsi="Times New Roman"/>
                <w:sz w:val="18"/>
                <w:szCs w:val="18"/>
                <w:color w:val="auto"/>
              </w:rPr>
              <w:t>445.1</w:t>
            </w:r>
          </w:p>
        </w:tc>
        <w:tc>
          <w:tcPr>
            <w:tcW w:w="80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402.9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1260" w:type="dxa"/>
            <w:vAlign w:val="bottom"/>
            <w:tcBorders>
              <w:bottom w:val="single" w:sz="8" w:color="auto"/>
            </w:tcBorders>
          </w:tcPr>
          <w:p>
            <w:pPr>
              <w:spacing w:after="0"/>
              <w:rPr>
                <w:sz w:val="18"/>
                <w:szCs w:val="18"/>
                <w:color w:val="auto"/>
              </w:rPr>
            </w:pPr>
          </w:p>
        </w:tc>
        <w:tc>
          <w:tcPr>
            <w:tcW w:w="264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color w:val="auto"/>
              </w:rPr>
              <w:t>5,270.0</w:t>
            </w:r>
          </w:p>
        </w:tc>
        <w:tc>
          <w:tcPr>
            <w:tcW w:w="80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4,396.4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26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2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Liabilities and Shareholders’ Equity</w:t>
            </w:r>
          </w:p>
        </w:tc>
        <w:tc>
          <w:tcPr>
            <w:tcW w:w="9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9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gridSpan w:val="5"/>
          </w:tcPr>
          <w:p>
            <w:pPr>
              <w:ind w:left="160"/>
              <w:spacing w:after="0"/>
              <w:rPr>
                <w:sz w:val="20"/>
                <w:szCs w:val="20"/>
                <w:color w:val="auto"/>
              </w:rPr>
            </w:pPr>
            <w:r>
              <w:rPr>
                <w:rFonts w:ascii="Times New Roman" w:cs="Times New Roman" w:eastAsia="Times New Roman" w:hAnsi="Times New Roman"/>
                <w:sz w:val="18"/>
                <w:szCs w:val="18"/>
                <w:color w:val="auto"/>
              </w:rPr>
              <w:t>Short-term borrowings and current portion of long-term debt and capital leases</w:t>
            </w:r>
          </w:p>
        </w:tc>
        <w:tc>
          <w:tcPr>
            <w:tcW w:w="720" w:type="dxa"/>
            <w:vAlign w:val="bottom"/>
          </w:tcPr>
          <w:p>
            <w:pPr>
              <w:spacing w:after="0"/>
              <w:rPr>
                <w:sz w:val="18"/>
                <w:szCs w:val="18"/>
                <w:color w:val="auto"/>
              </w:rPr>
            </w:pPr>
          </w:p>
        </w:tc>
        <w:tc>
          <w:tcPr>
            <w:tcW w:w="124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8"/>
                <w:szCs w:val="18"/>
                <w:color w:val="auto"/>
              </w:rPr>
            </w:pPr>
          </w:p>
        </w:tc>
        <w:tc>
          <w:tcPr>
            <w:tcW w:w="1320" w:type="dxa"/>
            <w:vAlign w:val="bottom"/>
          </w:tcPr>
          <w:p>
            <w:pPr>
              <w:jc w:val="right"/>
              <w:ind w:right="550"/>
              <w:spacing w:after="0"/>
              <w:rPr>
                <w:sz w:val="20"/>
                <w:szCs w:val="20"/>
                <w:color w:val="auto"/>
              </w:rPr>
            </w:pPr>
            <w:r>
              <w:rPr>
                <w:rFonts w:ascii="Times New Roman" w:cs="Times New Roman" w:eastAsia="Times New Roman" w:hAnsi="Times New Roman"/>
                <w:sz w:val="18"/>
                <w:szCs w:val="18"/>
                <w:color w:val="auto"/>
              </w:rPr>
              <w:t>383.0</w:t>
            </w:r>
          </w:p>
        </w:tc>
        <w:tc>
          <w:tcPr>
            <w:tcW w:w="80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579.1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gridSpan w:val="3"/>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Accounts payable</w:t>
            </w:r>
          </w:p>
        </w:tc>
        <w:tc>
          <w:tcPr>
            <w:tcW w:w="9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20" w:type="dxa"/>
            <w:vAlign w:val="bottom"/>
            <w:shd w:val="clear" w:color="auto" w:fill="CCEEFF"/>
          </w:tcPr>
          <w:p>
            <w:pPr>
              <w:jc w:val="right"/>
              <w:ind w:right="550"/>
              <w:spacing w:after="0"/>
              <w:rPr>
                <w:sz w:val="20"/>
                <w:szCs w:val="20"/>
                <w:color w:val="auto"/>
              </w:rPr>
            </w:pPr>
            <w:r>
              <w:rPr>
                <w:rFonts w:ascii="Times New Roman" w:cs="Times New Roman" w:eastAsia="Times New Roman" w:hAnsi="Times New Roman"/>
                <w:sz w:val="18"/>
                <w:szCs w:val="18"/>
                <w:color w:val="auto"/>
              </w:rPr>
              <w:t>949.2</w:t>
            </w:r>
          </w:p>
        </w:tc>
        <w:tc>
          <w:tcPr>
            <w:tcW w:w="80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841.9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Accrued payroll and employee benefits</w:t>
            </w:r>
          </w:p>
        </w:tc>
        <w:tc>
          <w:tcPr>
            <w:tcW w:w="9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20" w:type="dxa"/>
            <w:vAlign w:val="bottom"/>
          </w:tcPr>
          <w:p>
            <w:pPr>
              <w:jc w:val="right"/>
              <w:ind w:right="550"/>
              <w:spacing w:after="0"/>
              <w:rPr>
                <w:sz w:val="20"/>
                <w:szCs w:val="20"/>
                <w:color w:val="auto"/>
              </w:rPr>
            </w:pPr>
            <w:r>
              <w:rPr>
                <w:rFonts w:ascii="Times New Roman" w:cs="Times New Roman" w:eastAsia="Times New Roman" w:hAnsi="Times New Roman"/>
                <w:sz w:val="18"/>
                <w:szCs w:val="18"/>
                <w:color w:val="auto"/>
              </w:rPr>
              <w:t>226.1</w:t>
            </w:r>
          </w:p>
        </w:tc>
        <w:tc>
          <w:tcPr>
            <w:tcW w:w="800" w:type="dxa"/>
            <w:vAlign w:val="bottom"/>
          </w:tcPr>
          <w:p>
            <w:pPr>
              <w:spacing w:after="0"/>
              <w:rPr>
                <w:sz w:val="18"/>
                <w:szCs w:val="18"/>
                <w:color w:val="auto"/>
              </w:rPr>
            </w:pPr>
          </w:p>
        </w:tc>
        <w:tc>
          <w:tcPr>
            <w:tcW w:w="8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217.4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tcBorders>
              <w:bottom w:val="single" w:sz="8" w:color="auto"/>
            </w:tcBorders>
            <w:gridSpan w:val="3"/>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Other current liabilities</w:t>
            </w:r>
          </w:p>
        </w:tc>
        <w:tc>
          <w:tcPr>
            <w:tcW w:w="94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ind w:right="550"/>
              <w:spacing w:after="0"/>
              <w:rPr>
                <w:sz w:val="20"/>
                <w:szCs w:val="20"/>
                <w:color w:val="auto"/>
              </w:rPr>
            </w:pPr>
            <w:r>
              <w:rPr>
                <w:rFonts w:ascii="Times New Roman" w:cs="Times New Roman" w:eastAsia="Times New Roman" w:hAnsi="Times New Roman"/>
                <w:sz w:val="18"/>
                <w:szCs w:val="18"/>
                <w:color w:val="auto"/>
              </w:rPr>
              <w:t>465.0</w:t>
            </w:r>
          </w:p>
        </w:tc>
        <w:tc>
          <w:tcPr>
            <w:tcW w:w="80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365.9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220" w:type="dxa"/>
            <w:vAlign w:val="bottom"/>
            <w:gridSpan w:val="3"/>
          </w:tcPr>
          <w:p>
            <w:pPr>
              <w:ind w:left="34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9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20" w:type="dxa"/>
            <w:vAlign w:val="bottom"/>
          </w:tcPr>
          <w:p>
            <w:pPr>
              <w:jc w:val="right"/>
              <w:ind w:right="550"/>
              <w:spacing w:after="0"/>
              <w:rPr>
                <w:sz w:val="20"/>
                <w:szCs w:val="20"/>
                <w:color w:val="auto"/>
              </w:rPr>
            </w:pPr>
            <w:r>
              <w:rPr>
                <w:rFonts w:ascii="Times New Roman" w:cs="Times New Roman" w:eastAsia="Times New Roman" w:hAnsi="Times New Roman"/>
                <w:sz w:val="18"/>
                <w:szCs w:val="18"/>
                <w:color w:val="auto"/>
              </w:rPr>
              <w:t>2,023.3</w:t>
            </w:r>
          </w:p>
        </w:tc>
        <w:tc>
          <w:tcPr>
            <w:tcW w:w="800" w:type="dxa"/>
            <w:vAlign w:val="bottom"/>
          </w:tcPr>
          <w:p>
            <w:pPr>
              <w:spacing w:after="0"/>
              <w:rPr>
                <w:sz w:val="18"/>
                <w:szCs w:val="18"/>
                <w:color w:val="auto"/>
              </w:rPr>
            </w:pPr>
          </w:p>
        </w:tc>
        <w:tc>
          <w:tcPr>
            <w:tcW w:w="8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2,004.3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Long-term debt and capital leases</w:t>
            </w:r>
          </w:p>
        </w:tc>
        <w:tc>
          <w:tcPr>
            <w:tcW w:w="9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20" w:type="dxa"/>
            <w:vAlign w:val="bottom"/>
            <w:shd w:val="clear" w:color="auto" w:fill="CCEEFF"/>
          </w:tcPr>
          <w:p>
            <w:pPr>
              <w:jc w:val="right"/>
              <w:ind w:right="550"/>
              <w:spacing w:after="0"/>
              <w:rPr>
                <w:sz w:val="20"/>
                <w:szCs w:val="20"/>
                <w:color w:val="auto"/>
              </w:rPr>
            </w:pPr>
            <w:r>
              <w:rPr>
                <w:rFonts w:ascii="Times New Roman" w:cs="Times New Roman" w:eastAsia="Times New Roman" w:hAnsi="Times New Roman"/>
                <w:sz w:val="18"/>
                <w:szCs w:val="18"/>
                <w:color w:val="auto"/>
              </w:rPr>
              <w:t>1,298.4</w:t>
            </w:r>
          </w:p>
        </w:tc>
        <w:tc>
          <w:tcPr>
            <w:tcW w:w="80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713.4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Long-term retirement benefits and other liabilities</w:t>
            </w:r>
          </w:p>
        </w:tc>
        <w:tc>
          <w:tcPr>
            <w:tcW w:w="9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20" w:type="dxa"/>
            <w:vAlign w:val="bottom"/>
          </w:tcPr>
          <w:p>
            <w:pPr>
              <w:jc w:val="right"/>
              <w:ind w:right="550"/>
              <w:spacing w:after="0"/>
              <w:rPr>
                <w:sz w:val="20"/>
                <w:szCs w:val="20"/>
                <w:color w:val="auto"/>
              </w:rPr>
            </w:pPr>
            <w:r>
              <w:rPr>
                <w:rFonts w:ascii="Times New Roman" w:cs="Times New Roman" w:eastAsia="Times New Roman" w:hAnsi="Times New Roman"/>
                <w:sz w:val="18"/>
                <w:szCs w:val="18"/>
                <w:color w:val="auto"/>
              </w:rPr>
              <w:t>678.7</w:t>
            </w:r>
          </w:p>
        </w:tc>
        <w:tc>
          <w:tcPr>
            <w:tcW w:w="800" w:type="dxa"/>
            <w:vAlign w:val="bottom"/>
          </w:tcPr>
          <w:p>
            <w:pPr>
              <w:spacing w:after="0"/>
              <w:rPr>
                <w:sz w:val="18"/>
                <w:szCs w:val="18"/>
                <w:color w:val="auto"/>
              </w:rPr>
            </w:pPr>
          </w:p>
        </w:tc>
        <w:tc>
          <w:tcPr>
            <w:tcW w:w="8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660.9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Non-current deferred and payable income taxes</w:t>
            </w:r>
          </w:p>
        </w:tc>
        <w:tc>
          <w:tcPr>
            <w:tcW w:w="9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20" w:type="dxa"/>
            <w:vAlign w:val="bottom"/>
            <w:shd w:val="clear" w:color="auto" w:fill="CCEEFF"/>
          </w:tcPr>
          <w:p>
            <w:pPr>
              <w:jc w:val="right"/>
              <w:ind w:right="550"/>
              <w:spacing w:after="0"/>
              <w:rPr>
                <w:sz w:val="20"/>
                <w:szCs w:val="20"/>
                <w:color w:val="auto"/>
              </w:rPr>
            </w:pPr>
            <w:r>
              <w:rPr>
                <w:rFonts w:ascii="Times New Roman" w:cs="Times New Roman" w:eastAsia="Times New Roman" w:hAnsi="Times New Roman"/>
                <w:sz w:val="18"/>
                <w:szCs w:val="18"/>
                <w:color w:val="auto"/>
              </w:rPr>
              <w:t>134.7</w:t>
            </w:r>
          </w:p>
        </w:tc>
        <w:tc>
          <w:tcPr>
            <w:tcW w:w="80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92.3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Commitments and contingencies (see Note 15)</w:t>
            </w:r>
          </w:p>
        </w:tc>
        <w:tc>
          <w:tcPr>
            <w:tcW w:w="9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Shareholders’ equity:</w:t>
            </w:r>
          </w:p>
        </w:tc>
        <w:tc>
          <w:tcPr>
            <w:tcW w:w="9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6900" w:type="dxa"/>
            <w:vAlign w:val="bottom"/>
            <w:gridSpan w:val="6"/>
          </w:tcPr>
          <w:p>
            <w:pPr>
              <w:ind w:left="160"/>
              <w:spacing w:after="0" w:line="198" w:lineRule="exact"/>
              <w:rPr>
                <w:sz w:val="20"/>
                <w:szCs w:val="20"/>
                <w:color w:val="auto"/>
              </w:rPr>
            </w:pPr>
            <w:r>
              <w:rPr>
                <w:rFonts w:ascii="Times New Roman" w:cs="Times New Roman" w:eastAsia="Times New Roman" w:hAnsi="Times New Roman"/>
                <w:sz w:val="18"/>
                <w:szCs w:val="18"/>
                <w:color w:val="auto"/>
              </w:rPr>
              <w:t>Common stock, $1 par value per share, authorized – 400,000,000 shares at September 30,</w:t>
            </w:r>
          </w:p>
        </w:tc>
        <w:tc>
          <w:tcPr>
            <w:tcW w:w="6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00" w:type="dxa"/>
            <w:vAlign w:val="bottom"/>
            <w:gridSpan w:val="6"/>
          </w:tcPr>
          <w:p>
            <w:pPr>
              <w:ind w:left="340"/>
              <w:spacing w:after="0"/>
              <w:rPr>
                <w:sz w:val="20"/>
                <w:szCs w:val="20"/>
                <w:color w:val="auto"/>
              </w:rPr>
            </w:pPr>
            <w:r>
              <w:rPr>
                <w:rFonts w:ascii="Times New Roman" w:cs="Times New Roman" w:eastAsia="Times New Roman" w:hAnsi="Times New Roman"/>
                <w:sz w:val="18"/>
                <w:szCs w:val="18"/>
                <w:color w:val="auto"/>
              </w:rPr>
              <w:t>2017 and December 31, 2016; issued – 124,126,624 shares at September 30, 2017 and</w:t>
            </w:r>
          </w:p>
        </w:tc>
        <w:tc>
          <w:tcPr>
            <w:tcW w:w="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gridSpan w:val="5"/>
          </w:tcPr>
          <w:p>
            <w:pPr>
              <w:ind w:left="340"/>
              <w:spacing w:after="0"/>
              <w:rPr>
                <w:sz w:val="20"/>
                <w:szCs w:val="20"/>
                <w:color w:val="auto"/>
              </w:rPr>
            </w:pPr>
            <w:r>
              <w:rPr>
                <w:rFonts w:ascii="Times New Roman" w:cs="Times New Roman" w:eastAsia="Times New Roman" w:hAnsi="Times New Roman"/>
                <w:sz w:val="18"/>
                <w:szCs w:val="18"/>
                <w:color w:val="auto"/>
              </w:rPr>
              <w:t>December 31, 2016; outstanding – 88,080,629 shares and 88,308,860 shares at</w:t>
            </w:r>
          </w:p>
        </w:tc>
        <w:tc>
          <w:tcPr>
            <w:tcW w:w="7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160" w:type="dxa"/>
            <w:vAlign w:val="bottom"/>
            <w:gridSpan w:val="4"/>
          </w:tcPr>
          <w:p>
            <w:pPr>
              <w:ind w:left="340"/>
              <w:spacing w:after="0"/>
              <w:rPr>
                <w:sz w:val="20"/>
                <w:szCs w:val="20"/>
                <w:color w:val="auto"/>
              </w:rPr>
            </w:pPr>
            <w:r>
              <w:rPr>
                <w:rFonts w:ascii="Times New Roman" w:cs="Times New Roman" w:eastAsia="Times New Roman" w:hAnsi="Times New Roman"/>
                <w:sz w:val="18"/>
                <w:szCs w:val="18"/>
                <w:color w:val="auto"/>
              </w:rPr>
              <w:t>September 30, 2017 and December 31, 2016, respectively</w:t>
            </w:r>
          </w:p>
        </w:tc>
        <w:tc>
          <w:tcPr>
            <w:tcW w:w="10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320" w:type="dxa"/>
            <w:vAlign w:val="bottom"/>
          </w:tcPr>
          <w:p>
            <w:pPr>
              <w:jc w:val="right"/>
              <w:ind w:right="550"/>
              <w:spacing w:after="0"/>
              <w:rPr>
                <w:sz w:val="20"/>
                <w:szCs w:val="20"/>
                <w:color w:val="auto"/>
              </w:rPr>
            </w:pPr>
            <w:r>
              <w:rPr>
                <w:rFonts w:ascii="Times New Roman" w:cs="Times New Roman" w:eastAsia="Times New Roman" w:hAnsi="Times New Roman"/>
                <w:sz w:val="18"/>
                <w:szCs w:val="18"/>
                <w:color w:val="auto"/>
              </w:rPr>
              <w:t>124.1</w:t>
            </w:r>
          </w:p>
        </w:tc>
        <w:tc>
          <w:tcPr>
            <w:tcW w:w="800" w:type="dxa"/>
            <w:vAlign w:val="bottom"/>
          </w:tcPr>
          <w:p>
            <w:pPr>
              <w:spacing w:after="0"/>
              <w:rPr>
                <w:sz w:val="20"/>
                <w:szCs w:val="20"/>
                <w:color w:val="auto"/>
              </w:rPr>
            </w:pPr>
          </w:p>
        </w:tc>
        <w:tc>
          <w:tcPr>
            <w:tcW w:w="8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124.1</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gridSpan w:val="3"/>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Capital in excess of par value</w:t>
            </w:r>
          </w:p>
        </w:tc>
        <w:tc>
          <w:tcPr>
            <w:tcW w:w="9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20" w:type="dxa"/>
            <w:vAlign w:val="bottom"/>
            <w:shd w:val="clear" w:color="auto" w:fill="CCEEFF"/>
          </w:tcPr>
          <w:p>
            <w:pPr>
              <w:jc w:val="right"/>
              <w:ind w:right="550"/>
              <w:spacing w:after="0"/>
              <w:rPr>
                <w:sz w:val="20"/>
                <w:szCs w:val="20"/>
                <w:color w:val="auto"/>
              </w:rPr>
            </w:pPr>
            <w:r>
              <w:rPr>
                <w:rFonts w:ascii="Times New Roman" w:cs="Times New Roman" w:eastAsia="Times New Roman" w:hAnsi="Times New Roman"/>
                <w:sz w:val="18"/>
                <w:szCs w:val="18"/>
                <w:color w:val="auto"/>
              </w:rPr>
              <w:t>854.6</w:t>
            </w:r>
          </w:p>
        </w:tc>
        <w:tc>
          <w:tcPr>
            <w:tcW w:w="80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852.0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Retained earnings</w:t>
            </w:r>
          </w:p>
        </w:tc>
        <w:tc>
          <w:tcPr>
            <w:tcW w:w="9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20" w:type="dxa"/>
            <w:vAlign w:val="bottom"/>
          </w:tcPr>
          <w:p>
            <w:pPr>
              <w:jc w:val="right"/>
              <w:ind w:right="550"/>
              <w:spacing w:after="0"/>
              <w:rPr>
                <w:sz w:val="20"/>
                <w:szCs w:val="20"/>
                <w:color w:val="auto"/>
              </w:rPr>
            </w:pPr>
            <w:r>
              <w:rPr>
                <w:rFonts w:ascii="Times New Roman" w:cs="Times New Roman" w:eastAsia="Times New Roman" w:hAnsi="Times New Roman"/>
                <w:sz w:val="18"/>
                <w:szCs w:val="18"/>
                <w:color w:val="auto"/>
              </w:rPr>
              <w:t>2,693.3</w:t>
            </w:r>
          </w:p>
        </w:tc>
        <w:tc>
          <w:tcPr>
            <w:tcW w:w="800" w:type="dxa"/>
            <w:vAlign w:val="bottom"/>
          </w:tcPr>
          <w:p>
            <w:pPr>
              <w:spacing w:after="0"/>
              <w:rPr>
                <w:sz w:val="18"/>
                <w:szCs w:val="18"/>
                <w:color w:val="auto"/>
              </w:rPr>
            </w:pPr>
          </w:p>
        </w:tc>
        <w:tc>
          <w:tcPr>
            <w:tcW w:w="8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2,473.3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6900" w:type="dxa"/>
            <w:vAlign w:val="bottom"/>
            <w:gridSpan w:val="6"/>
            <w:shd w:val="clear" w:color="auto" w:fill="CCEEFF"/>
          </w:tcPr>
          <w:p>
            <w:pPr>
              <w:ind w:left="160"/>
              <w:spacing w:after="0" w:line="198" w:lineRule="exact"/>
              <w:rPr>
                <w:sz w:val="20"/>
                <w:szCs w:val="20"/>
                <w:color w:val="auto"/>
              </w:rPr>
            </w:pPr>
            <w:r>
              <w:rPr>
                <w:rFonts w:ascii="Times New Roman" w:cs="Times New Roman" w:eastAsia="Times New Roman" w:hAnsi="Times New Roman"/>
                <w:sz w:val="18"/>
                <w:szCs w:val="18"/>
                <w:color w:val="auto"/>
              </w:rPr>
              <w:t>Treasury stock at cost, 36,045,995 shares and 35,817,764 shares at September 30, 2017 and</w:t>
            </w:r>
          </w:p>
        </w:tc>
        <w:tc>
          <w:tcPr>
            <w:tcW w:w="6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220" w:type="dxa"/>
            <w:vAlign w:val="bottom"/>
            <w:gridSpan w:val="3"/>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December 31, 2016, respectively</w:t>
            </w:r>
          </w:p>
        </w:tc>
        <w:tc>
          <w:tcPr>
            <w:tcW w:w="94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320" w:type="dxa"/>
            <w:vAlign w:val="bottom"/>
            <w:shd w:val="clear" w:color="auto" w:fill="CCEEFF"/>
          </w:tcPr>
          <w:p>
            <w:pPr>
              <w:jc w:val="right"/>
              <w:ind w:right="490"/>
              <w:spacing w:after="0"/>
              <w:rPr>
                <w:sz w:val="20"/>
                <w:szCs w:val="20"/>
                <w:color w:val="auto"/>
              </w:rPr>
            </w:pPr>
            <w:r>
              <w:rPr>
                <w:rFonts w:ascii="Times New Roman" w:cs="Times New Roman" w:eastAsia="Times New Roman" w:hAnsi="Times New Roman"/>
                <w:sz w:val="18"/>
                <w:szCs w:val="18"/>
                <w:color w:val="auto"/>
              </w:rPr>
              <w:t>(1,838.0)</w:t>
            </w:r>
          </w:p>
        </w:tc>
        <w:tc>
          <w:tcPr>
            <w:tcW w:w="800" w:type="dxa"/>
            <w:vAlign w:val="bottom"/>
            <w:shd w:val="clear" w:color="auto" w:fill="CCEEFF"/>
          </w:tcPr>
          <w:p>
            <w:pPr>
              <w:spacing w:after="0"/>
              <w:rPr>
                <w:sz w:val="20"/>
                <w:szCs w:val="20"/>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(1,772.0)</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tcBorders>
              <w:bottom w:val="single" w:sz="8" w:color="auto"/>
            </w:tcBorders>
            <w:gridSpan w:val="3"/>
          </w:tcPr>
          <w:p>
            <w:pPr>
              <w:ind w:left="160"/>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9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color w:val="auto"/>
              </w:rPr>
              <w:t>(699.1)</w:t>
            </w:r>
          </w:p>
        </w:tc>
        <w:tc>
          <w:tcPr>
            <w:tcW w:w="80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(751.9)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220" w:type="dxa"/>
            <w:vAlign w:val="bottom"/>
            <w:tcBorders>
              <w:bottom w:val="single" w:sz="8" w:color="auto"/>
            </w:tcBorders>
            <w:gridSpan w:val="3"/>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shareholders’ equity</w:t>
            </w:r>
          </w:p>
        </w:tc>
        <w:tc>
          <w:tcPr>
            <w:tcW w:w="94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ind w:right="550"/>
              <w:spacing w:after="0"/>
              <w:rPr>
                <w:sz w:val="20"/>
                <w:szCs w:val="20"/>
                <w:color w:val="auto"/>
              </w:rPr>
            </w:pPr>
            <w:r>
              <w:rPr>
                <w:rFonts w:ascii="Times New Roman" w:cs="Times New Roman" w:eastAsia="Times New Roman" w:hAnsi="Times New Roman"/>
                <w:sz w:val="18"/>
                <w:szCs w:val="18"/>
                <w:color w:val="auto"/>
              </w:rPr>
              <w:t>1,134.9</w:t>
            </w:r>
          </w:p>
        </w:tc>
        <w:tc>
          <w:tcPr>
            <w:tcW w:w="80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925.5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1260" w:type="dxa"/>
            <w:vAlign w:val="bottom"/>
            <w:tcBorders>
              <w:bottom w:val="single" w:sz="8" w:color="auto"/>
            </w:tcBorders>
          </w:tcPr>
          <w:p>
            <w:pPr>
              <w:spacing w:after="0"/>
              <w:rPr>
                <w:sz w:val="18"/>
                <w:szCs w:val="18"/>
                <w:color w:val="auto"/>
              </w:rPr>
            </w:pPr>
          </w:p>
        </w:tc>
        <w:tc>
          <w:tcPr>
            <w:tcW w:w="264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color w:val="auto"/>
              </w:rPr>
              <w:t>5,270.0</w:t>
            </w:r>
          </w:p>
        </w:tc>
        <w:tc>
          <w:tcPr>
            <w:tcW w:w="80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4,396.4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518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See Notes to Unaudited Condensed Consolidated Financial Statements</w:t>
            </w:r>
          </w:p>
        </w:tc>
        <w:tc>
          <w:tcPr>
            <w:tcW w:w="10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6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9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132"/>
        </w:trPr>
        <w:tc>
          <w:tcPr>
            <w:tcW w:w="1280" w:type="dxa"/>
            <w:vAlign w:val="bottom"/>
            <w:tcBorders>
              <w:bottom w:val="single" w:sz="8" w:color="808080"/>
            </w:tcBorders>
            <w:gridSpan w:val="2"/>
          </w:tcPr>
          <w:p>
            <w:pPr>
              <w:spacing w:after="0"/>
              <w:rPr>
                <w:sz w:val="11"/>
                <w:szCs w:val="11"/>
                <w:color w:val="auto"/>
              </w:rPr>
            </w:pPr>
          </w:p>
        </w:tc>
        <w:tc>
          <w:tcPr>
            <w:tcW w:w="2640" w:type="dxa"/>
            <w:vAlign w:val="bottom"/>
            <w:tcBorders>
              <w:bottom w:val="single" w:sz="8" w:color="808080"/>
            </w:tcBorders>
          </w:tcPr>
          <w:p>
            <w:pPr>
              <w:spacing w:after="0"/>
              <w:rPr>
                <w:sz w:val="11"/>
                <w:szCs w:val="11"/>
                <w:color w:val="auto"/>
              </w:rPr>
            </w:pPr>
          </w:p>
        </w:tc>
        <w:tc>
          <w:tcPr>
            <w:tcW w:w="320" w:type="dxa"/>
            <w:vAlign w:val="bottom"/>
            <w:tcBorders>
              <w:bottom w:val="single" w:sz="8" w:color="808080"/>
            </w:tcBorders>
          </w:tcPr>
          <w:p>
            <w:pPr>
              <w:spacing w:after="0"/>
              <w:rPr>
                <w:sz w:val="11"/>
                <w:szCs w:val="11"/>
                <w:color w:val="auto"/>
              </w:rPr>
            </w:pPr>
          </w:p>
        </w:tc>
        <w:tc>
          <w:tcPr>
            <w:tcW w:w="940" w:type="dxa"/>
            <w:vAlign w:val="bottom"/>
            <w:tcBorders>
              <w:bottom w:val="single" w:sz="8" w:color="808080"/>
            </w:tcBorders>
          </w:tcPr>
          <w:p>
            <w:pPr>
              <w:spacing w:after="0"/>
              <w:rPr>
                <w:sz w:val="11"/>
                <w:szCs w:val="11"/>
                <w:color w:val="auto"/>
              </w:rPr>
            </w:pPr>
          </w:p>
        </w:tc>
        <w:tc>
          <w:tcPr>
            <w:tcW w:w="1020" w:type="dxa"/>
            <w:vAlign w:val="bottom"/>
            <w:tcBorders>
              <w:bottom w:val="single" w:sz="8" w:color="808080"/>
            </w:tcBorders>
          </w:tcPr>
          <w:p>
            <w:pPr>
              <w:spacing w:after="0"/>
              <w:rPr>
                <w:sz w:val="11"/>
                <w:szCs w:val="11"/>
                <w:color w:val="auto"/>
              </w:rPr>
            </w:pPr>
          </w:p>
        </w:tc>
        <w:tc>
          <w:tcPr>
            <w:tcW w:w="720" w:type="dxa"/>
            <w:vAlign w:val="bottom"/>
            <w:tcBorders>
              <w:bottom w:val="single" w:sz="8" w:color="808080"/>
            </w:tcBorders>
          </w:tcPr>
          <w:p>
            <w:pPr>
              <w:spacing w:after="0"/>
              <w:rPr>
                <w:sz w:val="11"/>
                <w:szCs w:val="11"/>
                <w:color w:val="auto"/>
              </w:rPr>
            </w:pPr>
          </w:p>
        </w:tc>
        <w:tc>
          <w:tcPr>
            <w:tcW w:w="680" w:type="dxa"/>
            <w:vAlign w:val="bottom"/>
            <w:tcBorders>
              <w:bottom w:val="single" w:sz="8" w:color="808080"/>
            </w:tcBorders>
          </w:tcPr>
          <w:p>
            <w:pPr>
              <w:spacing w:after="0"/>
              <w:rPr>
                <w:sz w:val="11"/>
                <w:szCs w:val="11"/>
                <w:color w:val="auto"/>
              </w:rPr>
            </w:pPr>
          </w:p>
        </w:tc>
        <w:tc>
          <w:tcPr>
            <w:tcW w:w="240" w:type="dxa"/>
            <w:vAlign w:val="bottom"/>
            <w:tcBorders>
              <w:bottom w:val="single" w:sz="8" w:color="808080"/>
            </w:tcBorders>
          </w:tcPr>
          <w:p>
            <w:pPr>
              <w:spacing w:after="0"/>
              <w:rPr>
                <w:sz w:val="11"/>
                <w:szCs w:val="11"/>
                <w:color w:val="auto"/>
              </w:rPr>
            </w:pPr>
          </w:p>
        </w:tc>
        <w:tc>
          <w:tcPr>
            <w:tcW w:w="320" w:type="dxa"/>
            <w:vAlign w:val="bottom"/>
            <w:tcBorders>
              <w:bottom w:val="single" w:sz="8" w:color="808080"/>
            </w:tcBorders>
          </w:tcPr>
          <w:p>
            <w:pPr>
              <w:spacing w:after="0"/>
              <w:rPr>
                <w:sz w:val="11"/>
                <w:szCs w:val="11"/>
                <w:color w:val="auto"/>
              </w:rPr>
            </w:pPr>
          </w:p>
        </w:tc>
        <w:tc>
          <w:tcPr>
            <w:tcW w:w="280" w:type="dxa"/>
            <w:vAlign w:val="bottom"/>
            <w:tcBorders>
              <w:bottom w:val="single" w:sz="8" w:color="808080"/>
            </w:tcBorders>
          </w:tcPr>
          <w:p>
            <w:pPr>
              <w:spacing w:after="0"/>
              <w:rPr>
                <w:sz w:val="11"/>
                <w:szCs w:val="11"/>
                <w:color w:val="auto"/>
              </w:rPr>
            </w:pPr>
          </w:p>
        </w:tc>
        <w:tc>
          <w:tcPr>
            <w:tcW w:w="1320" w:type="dxa"/>
            <w:vAlign w:val="bottom"/>
            <w:tcBorders>
              <w:bottom w:val="single" w:sz="8" w:color="808080"/>
            </w:tcBorders>
          </w:tcPr>
          <w:p>
            <w:pPr>
              <w:spacing w:after="0"/>
              <w:rPr>
                <w:sz w:val="11"/>
                <w:szCs w:val="11"/>
                <w:color w:val="auto"/>
              </w:rPr>
            </w:pPr>
          </w:p>
        </w:tc>
        <w:tc>
          <w:tcPr>
            <w:tcW w:w="800" w:type="dxa"/>
            <w:vAlign w:val="bottom"/>
            <w:tcBorders>
              <w:bottom w:val="single" w:sz="8" w:color="808080"/>
            </w:tcBorders>
          </w:tcPr>
          <w:p>
            <w:pPr>
              <w:spacing w:after="0"/>
              <w:rPr>
                <w:sz w:val="11"/>
                <w:szCs w:val="11"/>
                <w:color w:val="auto"/>
              </w:rPr>
            </w:pPr>
          </w:p>
        </w:tc>
        <w:tc>
          <w:tcPr>
            <w:tcW w:w="86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0" w:type="dxa"/>
            <w:vAlign w:val="bottom"/>
          </w:tcPr>
          <w:p>
            <w:pPr>
              <w:spacing w:after="0"/>
              <w:rPr>
                <w:sz w:val="1"/>
                <w:szCs w:val="1"/>
                <w:color w:val="auto"/>
              </w:rPr>
            </w:pPr>
          </w:p>
        </w:tc>
      </w:tr>
      <w:tr>
        <w:trPr>
          <w:trHeight w:val="523"/>
        </w:trPr>
        <w:tc>
          <w:tcPr>
            <w:tcW w:w="4240" w:type="dxa"/>
            <w:vAlign w:val="bottom"/>
            <w:gridSpan w:val="4"/>
          </w:tcPr>
          <w:p>
            <w:pPr>
              <w:spacing w:after="0"/>
              <w:rPr>
                <w:rFonts w:ascii="Times New Roman" w:cs="Times New Roman" w:eastAsia="Times New Roman" w:hAnsi="Times New Roman"/>
                <w:sz w:val="18"/>
                <w:szCs w:val="18"/>
                <w:color w:val="0000EE"/>
              </w:rPr>
            </w:pPr>
            <w:hyperlink w:anchor="page1">
              <w:r>
                <w:rPr>
                  <w:rFonts w:ascii="Times New Roman" w:cs="Times New Roman" w:eastAsia="Times New Roman" w:hAnsi="Times New Roman"/>
                  <w:sz w:val="18"/>
                  <w:szCs w:val="18"/>
                  <w:color w:val="0000EE"/>
                </w:rPr>
                <w:t>Table of Contents</w:t>
              </w:r>
            </w:hyperlink>
          </w:p>
        </w:tc>
        <w:tc>
          <w:tcPr>
            <w:tcW w:w="9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3"/>
        </w:trPr>
        <w:tc>
          <w:tcPr>
            <w:tcW w:w="20" w:type="dxa"/>
            <w:vAlign w:val="bottom"/>
          </w:tcPr>
          <w:p>
            <w:pPr>
              <w:spacing w:after="0"/>
              <w:rPr>
                <w:sz w:val="24"/>
                <w:szCs w:val="24"/>
                <w:color w:val="auto"/>
              </w:rPr>
            </w:pPr>
          </w:p>
        </w:tc>
        <w:tc>
          <w:tcPr>
            <w:tcW w:w="1260" w:type="dxa"/>
            <w:vAlign w:val="bottom"/>
            <w:tcBorders>
              <w:top w:val="single" w:sz="8" w:color="0000EE"/>
            </w:tcBorders>
          </w:tcPr>
          <w:p>
            <w:pPr>
              <w:spacing w:after="0"/>
              <w:rPr>
                <w:sz w:val="24"/>
                <w:szCs w:val="24"/>
                <w:color w:val="auto"/>
              </w:rPr>
            </w:pPr>
          </w:p>
        </w:tc>
        <w:tc>
          <w:tcPr>
            <w:tcW w:w="26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020" w:type="dxa"/>
            <w:vAlign w:val="bottom"/>
            <w:gridSpan w:val="4"/>
          </w:tcPr>
          <w:p>
            <w:pPr>
              <w:jc w:val="right"/>
              <w:ind w:right="40"/>
              <w:spacing w:after="0"/>
              <w:rPr>
                <w:sz w:val="20"/>
                <w:szCs w:val="20"/>
                <w:color w:val="auto"/>
              </w:rPr>
            </w:pPr>
            <w:r>
              <w:rPr>
                <w:rFonts w:ascii="Times New Roman" w:cs="Times New Roman" w:eastAsia="Times New Roman" w:hAnsi="Times New Roman"/>
                <w:sz w:val="18"/>
                <w:szCs w:val="18"/>
                <w:color w:val="auto"/>
              </w:rPr>
              <w:t>Avery Dennison Corporation</w:t>
            </w:r>
          </w:p>
        </w:tc>
        <w:tc>
          <w:tcPr>
            <w:tcW w:w="0" w:type="dxa"/>
            <w:vAlign w:val="bottom"/>
          </w:tcPr>
          <w:p>
            <w:pPr>
              <w:spacing w:after="0"/>
              <w:rPr>
                <w:sz w:val="1"/>
                <w:szCs w:val="1"/>
                <w:color w:val="auto"/>
              </w:rPr>
            </w:pPr>
          </w:p>
        </w:tc>
      </w:tr>
      <w:tr>
        <w:trPr>
          <w:trHeight w:val="410"/>
        </w:trPr>
        <w:tc>
          <w:tcPr>
            <w:tcW w:w="5180" w:type="dxa"/>
            <w:vAlign w:val="bottom"/>
            <w:gridSpan w:val="5"/>
          </w:tcPr>
          <w:p>
            <w:pP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INCOME</w:t>
            </w:r>
          </w:p>
        </w:tc>
        <w:tc>
          <w:tcPr>
            <w:tcW w:w="10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8"/>
        </w:trPr>
        <w:tc>
          <w:tcPr>
            <w:tcW w:w="424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Unaudited</w:t>
            </w:r>
            <w:r>
              <w:rPr>
                <w:rFonts w:ascii="Times New Roman" w:cs="Times New Roman" w:eastAsia="Times New Roman" w:hAnsi="Times New Roman"/>
                <w:sz w:val="18"/>
                <w:szCs w:val="18"/>
                <w:b w:val="1"/>
                <w:bCs w:val="1"/>
                <w:color w:val="auto"/>
              </w:rPr>
              <w:t>)</w:t>
            </w:r>
          </w:p>
        </w:tc>
        <w:tc>
          <w:tcPr>
            <w:tcW w:w="9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64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2680" w:type="dxa"/>
            <w:vAlign w:val="bottom"/>
            <w:tcBorders>
              <w:bottom w:val="single" w:sz="8" w:color="auto"/>
            </w:tcBorders>
            <w:gridSpan w:val="3"/>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680" w:type="dxa"/>
            <w:vAlign w:val="bottom"/>
            <w:tcBorders>
              <w:bottom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2120" w:type="dxa"/>
            <w:vAlign w:val="bottom"/>
            <w:tcBorders>
              <w:bottom w:val="single" w:sz="8" w:color="auto"/>
            </w:tcBorders>
            <w:gridSpan w:val="2"/>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Nine Months Ended</w:t>
            </w:r>
          </w:p>
        </w:tc>
        <w:tc>
          <w:tcPr>
            <w:tcW w:w="860" w:type="dxa"/>
            <w:vAlign w:val="bottom"/>
            <w:tcBorders>
              <w:bottom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4240" w:type="dxa"/>
            <w:vAlign w:val="bottom"/>
            <w:gridSpan w:val="4"/>
          </w:tcPr>
          <w:p>
            <w:pPr>
              <w:spacing w:after="0"/>
              <w:rPr>
                <w:sz w:val="20"/>
                <w:szCs w:val="20"/>
                <w:color w:val="auto"/>
              </w:rPr>
            </w:pPr>
            <w:r>
              <w:rPr>
                <w:rFonts w:ascii="Times New Roman" w:cs="Times New Roman" w:eastAsia="Times New Roman" w:hAnsi="Times New Roman"/>
                <w:sz w:val="14"/>
                <w:szCs w:val="14"/>
                <w:color w:val="auto"/>
              </w:rPr>
              <w:t>(In millions, except per share amounts)</w:t>
            </w:r>
          </w:p>
        </w:tc>
        <w:tc>
          <w:tcPr>
            <w:tcW w:w="1960" w:type="dxa"/>
            <w:vAlign w:val="bottom"/>
            <w:gridSpan w:val="2"/>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September 30, 2017</w:t>
            </w:r>
          </w:p>
        </w:tc>
        <w:tc>
          <w:tcPr>
            <w:tcW w:w="140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October 1, 2016</w:t>
            </w: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w w:val="99"/>
              </w:rPr>
              <w:t>September 30, 2017</w:t>
            </w:r>
          </w:p>
        </w:tc>
        <w:tc>
          <w:tcPr>
            <w:tcW w:w="166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October 1, 2016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220" w:type="dxa"/>
            <w:vAlign w:val="bottom"/>
            <w:tcBorders>
              <w:top w:val="single" w:sz="8" w:color="auto"/>
            </w:tcBorders>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sales</w:t>
            </w:r>
          </w:p>
        </w:tc>
        <w:tc>
          <w:tcPr>
            <w:tcW w:w="940" w:type="dxa"/>
            <w:vAlign w:val="bottom"/>
            <w:tcBorders>
              <w:top w:val="single" w:sz="8" w:color="auto"/>
            </w:tcBorders>
            <w:shd w:val="clear" w:color="auto" w:fill="CCEEFF"/>
          </w:tcPr>
          <w:p>
            <w:pPr>
              <w:jc w:val="right"/>
              <w:ind w:right="63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top w:val="single" w:sz="8" w:color="auto"/>
            </w:tcBorders>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1,679.5</w:t>
            </w:r>
          </w:p>
        </w:tc>
        <w:tc>
          <w:tcPr>
            <w:tcW w:w="720" w:type="dxa"/>
            <w:vAlign w:val="bottom"/>
            <w:tcBorders>
              <w:top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tcBorders>
            <w:gridSpan w:val="2"/>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1,508.7</w:t>
            </w:r>
          </w:p>
        </w:tc>
        <w:tc>
          <w:tcPr>
            <w:tcW w:w="32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4,878.5</w:t>
            </w:r>
          </w:p>
        </w:tc>
        <w:tc>
          <w:tcPr>
            <w:tcW w:w="800" w:type="dxa"/>
            <w:vAlign w:val="bottom"/>
            <w:tcBorders>
              <w:top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4,535.7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8"/>
                <w:szCs w:val="18"/>
                <w:color w:val="auto"/>
              </w:rPr>
              <w:t>Cost of products sold</w:t>
            </w:r>
          </w:p>
        </w:tc>
        <w:tc>
          <w:tcPr>
            <w:tcW w:w="9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rPr>
              <w:t>1,227.9</w:t>
            </w:r>
          </w:p>
        </w:tc>
        <w:tc>
          <w:tcPr>
            <w:tcW w:w="7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1,091.1</w:t>
            </w:r>
          </w:p>
        </w:tc>
        <w:tc>
          <w:tcPr>
            <w:tcW w:w="32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3,531.9</w:t>
            </w:r>
          </w:p>
        </w:tc>
        <w:tc>
          <w:tcPr>
            <w:tcW w:w="80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3,261.4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220" w:type="dxa"/>
            <w:vAlign w:val="bottom"/>
            <w:gridSpan w:val="3"/>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Gross profit</w:t>
            </w:r>
          </w:p>
        </w:tc>
        <w:tc>
          <w:tcPr>
            <w:tcW w:w="94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451.6</w:t>
            </w:r>
          </w:p>
        </w:tc>
        <w:tc>
          <w:tcPr>
            <w:tcW w:w="7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417.6</w:t>
            </w: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1,346.6</w:t>
            </w:r>
          </w:p>
        </w:tc>
        <w:tc>
          <w:tcPr>
            <w:tcW w:w="80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1,274.3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Marketing, general and administrative expense</w:t>
            </w:r>
          </w:p>
        </w:tc>
        <w:tc>
          <w:tcPr>
            <w:tcW w:w="940" w:type="dxa"/>
            <w:vAlign w:val="bottom"/>
          </w:tcPr>
          <w:p>
            <w:pPr>
              <w:spacing w:after="0"/>
              <w:rPr>
                <w:sz w:val="18"/>
                <w:szCs w:val="18"/>
                <w:color w:val="auto"/>
              </w:rPr>
            </w:pPr>
          </w:p>
        </w:tc>
        <w:tc>
          <w:tcPr>
            <w:tcW w:w="102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277.2</w:t>
            </w:r>
          </w:p>
        </w:tc>
        <w:tc>
          <w:tcPr>
            <w:tcW w:w="720" w:type="dxa"/>
            <w:vAlign w:val="bottom"/>
          </w:tcPr>
          <w:p>
            <w:pPr>
              <w:spacing w:after="0"/>
              <w:rPr>
                <w:sz w:val="18"/>
                <w:szCs w:val="18"/>
                <w:color w:val="auto"/>
              </w:rPr>
            </w:pPr>
          </w:p>
        </w:tc>
        <w:tc>
          <w:tcPr>
            <w:tcW w:w="92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270.3</w:t>
            </w: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837.2</w:t>
            </w:r>
          </w:p>
        </w:tc>
        <w:tc>
          <w:tcPr>
            <w:tcW w:w="800" w:type="dxa"/>
            <w:vAlign w:val="bottom"/>
          </w:tcPr>
          <w:p>
            <w:pPr>
              <w:spacing w:after="0"/>
              <w:rPr>
                <w:sz w:val="18"/>
                <w:szCs w:val="18"/>
                <w:color w:val="auto"/>
              </w:rPr>
            </w:pPr>
          </w:p>
        </w:tc>
        <w:tc>
          <w:tcPr>
            <w:tcW w:w="8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817.7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94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16.8</w:t>
            </w:r>
          </w:p>
        </w:tc>
        <w:tc>
          <w:tcPr>
            <w:tcW w:w="7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14.7</w:t>
            </w: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49.7</w:t>
            </w:r>
          </w:p>
        </w:tc>
        <w:tc>
          <w:tcPr>
            <w:tcW w:w="80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45.4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8"/>
                <w:szCs w:val="18"/>
                <w:color w:val="auto"/>
              </w:rPr>
              <w:t>Other expense, net</w:t>
            </w:r>
          </w:p>
        </w:tc>
        <w:tc>
          <w:tcPr>
            <w:tcW w:w="9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rPr>
              <w:t>10.8</w:t>
            </w:r>
          </w:p>
        </w:tc>
        <w:tc>
          <w:tcPr>
            <w:tcW w:w="7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4.6</w:t>
            </w:r>
          </w:p>
        </w:tc>
        <w:tc>
          <w:tcPr>
            <w:tcW w:w="32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27.5</w:t>
            </w:r>
          </w:p>
        </w:tc>
        <w:tc>
          <w:tcPr>
            <w:tcW w:w="80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60.4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220" w:type="dxa"/>
            <w:vAlign w:val="bottom"/>
            <w:gridSpan w:val="3"/>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Income before taxes</w:t>
            </w:r>
          </w:p>
        </w:tc>
        <w:tc>
          <w:tcPr>
            <w:tcW w:w="94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146.8</w:t>
            </w:r>
          </w:p>
        </w:tc>
        <w:tc>
          <w:tcPr>
            <w:tcW w:w="7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128.0</w:t>
            </w: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432.2</w:t>
            </w:r>
          </w:p>
        </w:tc>
        <w:tc>
          <w:tcPr>
            <w:tcW w:w="80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350.8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9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rPr>
              <w:t>38.5</w:t>
            </w:r>
          </w:p>
        </w:tc>
        <w:tc>
          <w:tcPr>
            <w:tcW w:w="7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38.9</w:t>
            </w:r>
          </w:p>
        </w:tc>
        <w:tc>
          <w:tcPr>
            <w:tcW w:w="32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90.8</w:t>
            </w:r>
          </w:p>
        </w:tc>
        <w:tc>
          <w:tcPr>
            <w:tcW w:w="80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92.1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220" w:type="dxa"/>
            <w:vAlign w:val="bottom"/>
            <w:tcBorders>
              <w:bottom w:val="single" w:sz="8" w:color="auto"/>
            </w:tcBorders>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w:t>
            </w:r>
          </w:p>
        </w:tc>
        <w:tc>
          <w:tcPr>
            <w:tcW w:w="940" w:type="dxa"/>
            <w:vAlign w:val="bottom"/>
            <w:tcBorders>
              <w:bottom w:val="single" w:sz="8" w:color="auto"/>
            </w:tcBorders>
            <w:shd w:val="clear" w:color="auto" w:fill="CCEEFF"/>
          </w:tcPr>
          <w:p>
            <w:pPr>
              <w:jc w:val="right"/>
              <w:ind w:right="63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108.3</w:t>
            </w:r>
          </w:p>
        </w:tc>
        <w:tc>
          <w:tcPr>
            <w:tcW w:w="720" w:type="dxa"/>
            <w:vAlign w:val="bottom"/>
            <w:tcBorders>
              <w:bottom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gridSpan w:val="2"/>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89.1</w:t>
            </w:r>
          </w:p>
        </w:tc>
        <w:tc>
          <w:tcPr>
            <w:tcW w:w="320" w:type="dxa"/>
            <w:vAlign w:val="bottom"/>
            <w:tcBorders>
              <w:bottom w:val="single" w:sz="8" w:color="auto"/>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341.4</w:t>
            </w:r>
          </w:p>
        </w:tc>
        <w:tc>
          <w:tcPr>
            <w:tcW w:w="8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258.7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260" w:type="dxa"/>
            <w:vAlign w:val="bottom"/>
          </w:tcPr>
          <w:p>
            <w:pPr>
              <w:spacing w:after="0"/>
              <w:rPr>
                <w:sz w:val="18"/>
                <w:szCs w:val="18"/>
                <w:color w:val="auto"/>
              </w:rPr>
            </w:pPr>
          </w:p>
        </w:tc>
        <w:tc>
          <w:tcPr>
            <w:tcW w:w="26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Per share amounts:</w:t>
            </w:r>
          </w:p>
        </w:tc>
        <w:tc>
          <w:tcPr>
            <w:tcW w:w="9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9"/>
        </w:trPr>
        <w:tc>
          <w:tcPr>
            <w:tcW w:w="20" w:type="dxa"/>
            <w:vAlign w:val="bottom"/>
            <w:tcBorders>
              <w:bottom w:val="single" w:sz="8" w:color="CCEEFF"/>
            </w:tcBorders>
          </w:tcPr>
          <w:p>
            <w:pPr>
              <w:spacing w:after="0"/>
              <w:rPr>
                <w:sz w:val="20"/>
                <w:szCs w:val="20"/>
                <w:color w:val="auto"/>
              </w:rPr>
            </w:pPr>
          </w:p>
        </w:tc>
        <w:tc>
          <w:tcPr>
            <w:tcW w:w="422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8"/>
                <w:szCs w:val="18"/>
                <w:color w:val="auto"/>
              </w:rPr>
              <w:t>Net income per common share</w:t>
            </w:r>
          </w:p>
        </w:tc>
        <w:tc>
          <w:tcPr>
            <w:tcW w:w="940" w:type="dxa"/>
            <w:vAlign w:val="bottom"/>
            <w:tcBorders>
              <w:bottom w:val="single" w:sz="8" w:color="auto"/>
            </w:tcBorders>
          </w:tcPr>
          <w:p>
            <w:pPr>
              <w:jc w:val="right"/>
              <w:ind w:right="63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rPr>
              <w:t>1.23</w:t>
            </w:r>
          </w:p>
        </w:tc>
        <w:tc>
          <w:tcPr>
            <w:tcW w:w="72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1.00</w:t>
            </w:r>
          </w:p>
        </w:tc>
        <w:tc>
          <w:tcPr>
            <w:tcW w:w="32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3.86</w:t>
            </w:r>
          </w:p>
        </w:tc>
        <w:tc>
          <w:tcPr>
            <w:tcW w:w="8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2.90</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-3218815</wp:posOffset>
            </wp:positionV>
            <wp:extent cx="12700" cy="298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-3218815</wp:posOffset>
            </wp:positionV>
            <wp:extent cx="12700" cy="298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900" w:orient="portrait"/>
          <w:cols w:equalWidth="0" w:num="1">
            <w:col w:w="11460"/>
          </w:cols>
          <w:pgMar w:left="240" w:top="333" w:right="199" w:bottom="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23"/>
        </w:trPr>
        <w:tc>
          <w:tcPr>
            <w:tcW w:w="20" w:type="dxa"/>
            <w:vAlign w:val="bottom"/>
          </w:tcPr>
          <w:p>
            <w:pPr>
              <w:spacing w:after="0"/>
              <w:rPr>
                <w:sz w:val="19"/>
                <w:szCs w:val="19"/>
                <w:color w:val="auto"/>
              </w:rPr>
            </w:pPr>
          </w:p>
        </w:tc>
        <w:tc>
          <w:tcPr>
            <w:tcW w:w="396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 per common share, assuming dilution</w:t>
            </w:r>
          </w:p>
        </w:tc>
        <w:tc>
          <w:tcPr>
            <w:tcW w:w="1000" w:type="dxa"/>
            <w:vAlign w:val="bottom"/>
            <w:tcBorders>
              <w:bottom w:val="single" w:sz="8" w:color="auto"/>
            </w:tcBorders>
            <w:shd w:val="clear" w:color="auto" w:fill="CCEEFF"/>
          </w:tcPr>
          <w:p>
            <w:pPr>
              <w:jc w:val="right"/>
              <w:ind w:right="43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1.20</w:t>
            </w:r>
          </w:p>
        </w:tc>
        <w:tc>
          <w:tcPr>
            <w:tcW w:w="780" w:type="dxa"/>
            <w:vAlign w:val="bottom"/>
            <w:tcBorders>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.98</w:t>
            </w:r>
          </w:p>
        </w:tc>
        <w:tc>
          <w:tcPr>
            <w:tcW w:w="920" w:type="dxa"/>
            <w:vAlign w:val="bottom"/>
            <w:tcBorders>
              <w:bottom w:val="single" w:sz="8" w:color="auto"/>
            </w:tcBorders>
            <w:shd w:val="clear" w:color="auto" w:fill="CCEEFF"/>
          </w:tcPr>
          <w:p>
            <w:pPr>
              <w:jc w:val="right"/>
              <w:ind w:right="4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3.79</w:t>
            </w:r>
          </w:p>
        </w:tc>
        <w:tc>
          <w:tcPr>
            <w:tcW w:w="700" w:type="dxa"/>
            <w:vAlign w:val="bottom"/>
            <w:tcBorders>
              <w:bottom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2.85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9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Dividends per common share</w:t>
            </w:r>
          </w:p>
        </w:tc>
        <w:tc>
          <w:tcPr>
            <w:tcW w:w="100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.45</w:t>
            </w:r>
          </w:p>
        </w:tc>
        <w:tc>
          <w:tcPr>
            <w:tcW w:w="78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.41</w:t>
            </w:r>
          </w:p>
        </w:tc>
        <w:tc>
          <w:tcPr>
            <w:tcW w:w="92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rPr>
              <w:t>1.31</w:t>
            </w:r>
          </w:p>
        </w:tc>
        <w:tc>
          <w:tcPr>
            <w:tcW w:w="70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1.19</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9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960" w:type="dxa"/>
            <w:vAlign w:val="bottom"/>
          </w:tcPr>
          <w:p>
            <w:pPr>
              <w:spacing w:after="0"/>
              <w:rPr>
                <w:sz w:val="20"/>
                <w:szCs w:val="20"/>
                <w:color w:val="auto"/>
              </w:rPr>
            </w:pPr>
            <w:r>
              <w:rPr>
                <w:rFonts w:ascii="Times New Roman" w:cs="Times New Roman" w:eastAsia="Times New Roman" w:hAnsi="Times New Roman"/>
                <w:sz w:val="18"/>
                <w:szCs w:val="18"/>
                <w:color w:val="auto"/>
              </w:rPr>
              <w:t>Weighted average number of shares outstanding:</w:t>
            </w:r>
          </w:p>
        </w:tc>
        <w:tc>
          <w:tcPr>
            <w:tcW w:w="10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Common shares</w:t>
            </w:r>
          </w:p>
        </w:tc>
        <w:tc>
          <w:tcPr>
            <w:tcW w:w="100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88.3</w:t>
            </w:r>
          </w:p>
        </w:tc>
        <w:tc>
          <w:tcPr>
            <w:tcW w:w="78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89.1</w:t>
            </w:r>
          </w:p>
        </w:tc>
        <w:tc>
          <w:tcPr>
            <w:tcW w:w="92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88.4</w:t>
            </w:r>
          </w:p>
        </w:tc>
        <w:tc>
          <w:tcPr>
            <w:tcW w:w="70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89.2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960" w:type="dxa"/>
            <w:vAlign w:val="bottom"/>
            <w:tcBorders>
              <w:bottom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Common shares, assuming dilution</w:t>
            </w:r>
          </w:p>
        </w:tc>
        <w:tc>
          <w:tcPr>
            <w:tcW w:w="10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89.9</w:t>
            </w:r>
          </w:p>
        </w:tc>
        <w:tc>
          <w:tcPr>
            <w:tcW w:w="7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90.6</w:t>
            </w:r>
          </w:p>
        </w:tc>
        <w:tc>
          <w:tcPr>
            <w:tcW w:w="9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rPr>
              <w:t>90.1</w:t>
            </w:r>
          </w:p>
        </w:tc>
        <w:tc>
          <w:tcPr>
            <w:tcW w:w="7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90.9</w:t>
            </w:r>
          </w:p>
        </w:tc>
        <w:tc>
          <w:tcPr>
            <w:tcW w:w="0" w:type="dxa"/>
            <w:vAlign w:val="bottom"/>
          </w:tcPr>
          <w:p>
            <w:pPr>
              <w:spacing w:after="0"/>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Notes to Unaudited Condensed Consolidated Financial Statements</w:t>
      </w:r>
    </w:p>
    <w:p>
      <w:pPr>
        <w:spacing w:after="0" w:line="22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w:anchor="page1">
        <w:r>
          <w:rPr>
            <w:rFonts w:ascii="Times New Roman" w:cs="Times New Roman" w:eastAsia="Times New Roman" w:hAnsi="Times New Roman"/>
            <w:sz w:val="18"/>
            <w:szCs w:val="18"/>
            <w:u w:val="single" w:color="auto"/>
            <w:color w:val="0000EE"/>
          </w:rPr>
          <w:t>Table of Contents</w:t>
        </w:r>
      </w:hyperlink>
    </w:p>
    <w:p>
      <w:pPr>
        <w:spacing w:after="0" w:line="22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Avery Dennison Corporation</w:t>
      </w:r>
    </w:p>
    <w:p>
      <w:pPr>
        <w:spacing w:after="0" w:line="221" w:lineRule="exact"/>
        <w:rPr>
          <w:sz w:val="20"/>
          <w:szCs w:val="20"/>
          <w:color w:val="auto"/>
        </w:rPr>
      </w:pPr>
    </w:p>
    <w:p>
      <w:pPr>
        <w:ind w:right="4780"/>
        <w:spacing w:after="0" w:line="286" w:lineRule="auto"/>
        <w:rPr>
          <w:sz w:val="20"/>
          <w:szCs w:val="20"/>
          <w:color w:val="auto"/>
        </w:rPr>
      </w:pPr>
      <w:r>
        <w:rPr>
          <w:rFonts w:ascii="Times New Roman" w:cs="Times New Roman" w:eastAsia="Times New Roman" w:hAnsi="Times New Roman"/>
          <w:sz w:val="18"/>
          <w:szCs w:val="18"/>
          <w:b w:val="1"/>
          <w:bCs w:val="1"/>
          <w:color w:val="auto"/>
        </w:rPr>
        <w:t>CONDENSED CONSOLIDATED STATEMENTS OF COMPREHENSIVE INCOME (</w:t>
      </w:r>
      <w:r>
        <w:rPr>
          <w:rFonts w:ascii="Times New Roman" w:cs="Times New Roman" w:eastAsia="Times New Roman" w:hAnsi="Times New Roman"/>
          <w:sz w:val="18"/>
          <w:szCs w:val="18"/>
          <w:b w:val="1"/>
          <w:bCs w:val="1"/>
          <w:i w:val="1"/>
          <w:iCs w:val="1"/>
          <w:color w:val="auto"/>
        </w:rPr>
        <w:t>Unaudited</w:t>
      </w:r>
      <w:r>
        <w:rPr>
          <w:rFonts w:ascii="Times New Roman" w:cs="Times New Roman" w:eastAsia="Times New Roman" w:hAnsi="Times New Roman"/>
          <w:sz w:val="18"/>
          <w:szCs w:val="18"/>
          <w:b w:val="1"/>
          <w:bCs w:val="1"/>
          <w:color w:val="auto"/>
        </w:rPr>
        <w:t>)</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920" w:type="dxa"/>
            <w:vAlign w:val="bottom"/>
          </w:tcPr>
          <w:p>
            <w:pPr>
              <w:spacing w:after="0"/>
              <w:rPr>
                <w:sz w:val="20"/>
                <w:szCs w:val="20"/>
                <w:color w:val="auto"/>
              </w:rPr>
            </w:pPr>
          </w:p>
        </w:tc>
        <w:tc>
          <w:tcPr>
            <w:tcW w:w="780" w:type="dxa"/>
            <w:vAlign w:val="bottom"/>
            <w:tcBorders>
              <w:bottom w:val="single" w:sz="8" w:color="auto"/>
            </w:tcBorders>
          </w:tcPr>
          <w:p>
            <w:pPr>
              <w:spacing w:after="0"/>
              <w:rPr>
                <w:sz w:val="20"/>
                <w:szCs w:val="20"/>
                <w:color w:val="auto"/>
              </w:rPr>
            </w:pPr>
          </w:p>
        </w:tc>
        <w:tc>
          <w:tcPr>
            <w:tcW w:w="2200" w:type="dxa"/>
            <w:vAlign w:val="bottom"/>
            <w:tcBorders>
              <w:bottom w:val="single" w:sz="8" w:color="auto"/>
            </w:tcBorders>
            <w:gridSpan w:val="2"/>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680" w:type="dxa"/>
            <w:vAlign w:val="bottom"/>
            <w:tcBorders>
              <w:bottom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760" w:type="dxa"/>
            <w:vAlign w:val="bottom"/>
            <w:tcBorders>
              <w:bottom w:val="single" w:sz="8" w:color="auto"/>
            </w:tcBorders>
          </w:tcPr>
          <w:p>
            <w:pPr>
              <w:spacing w:after="0"/>
              <w:rPr>
                <w:sz w:val="20"/>
                <w:szCs w:val="20"/>
                <w:color w:val="auto"/>
              </w:rPr>
            </w:pPr>
          </w:p>
        </w:tc>
        <w:tc>
          <w:tcPr>
            <w:tcW w:w="2060" w:type="dxa"/>
            <w:vAlign w:val="bottom"/>
            <w:tcBorders>
              <w:bottom w:val="single" w:sz="8" w:color="auto"/>
            </w:tcBorders>
            <w:gridSpan w:val="2"/>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Nine Months Ended</w:t>
            </w:r>
          </w:p>
        </w:tc>
        <w:tc>
          <w:tcPr>
            <w:tcW w:w="780" w:type="dxa"/>
            <w:vAlign w:val="bottom"/>
            <w:tcBorders>
              <w:bottom w:val="single" w:sz="8" w:color="auto"/>
            </w:tcBorders>
          </w:tcPr>
          <w:p>
            <w:pPr>
              <w:spacing w:after="0"/>
              <w:rPr>
                <w:sz w:val="20"/>
                <w:szCs w:val="20"/>
                <w:color w:val="auto"/>
              </w:rPr>
            </w:pPr>
          </w:p>
        </w:tc>
      </w:tr>
      <w:tr>
        <w:trPr>
          <w:trHeight w:val="210"/>
        </w:trPr>
        <w:tc>
          <w:tcPr>
            <w:tcW w:w="39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(In millions)</w:t>
            </w:r>
          </w:p>
        </w:tc>
        <w:tc>
          <w:tcPr>
            <w:tcW w:w="2180" w:type="dxa"/>
            <w:vAlign w:val="bottom"/>
            <w:tcBorders>
              <w:bottom w:val="single" w:sz="8" w:color="auto"/>
            </w:tcBorders>
            <w:gridSpan w:val="2"/>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September 30, 2017</w:t>
            </w:r>
          </w:p>
        </w:tc>
        <w:tc>
          <w:tcPr>
            <w:tcW w:w="1480" w:type="dxa"/>
            <w:vAlign w:val="bottom"/>
            <w:tcBorders>
              <w:bottom w:val="single" w:sz="8" w:color="auto"/>
            </w:tcBorders>
            <w:gridSpan w:val="2"/>
          </w:tcPr>
          <w:p>
            <w:pPr>
              <w:ind w:left="280"/>
              <w:spacing w:after="0"/>
              <w:rPr>
                <w:sz w:val="20"/>
                <w:szCs w:val="20"/>
                <w:color w:val="auto"/>
              </w:rPr>
            </w:pPr>
            <w:r>
              <w:rPr>
                <w:rFonts w:ascii="Times New Roman" w:cs="Times New Roman" w:eastAsia="Times New Roman" w:hAnsi="Times New Roman"/>
                <w:sz w:val="18"/>
                <w:szCs w:val="18"/>
                <w:b w:val="1"/>
                <w:bCs w:val="1"/>
                <w:color w:val="auto"/>
                <w:w w:val="97"/>
              </w:rPr>
              <w:t>October 1, 2016</w:t>
            </w:r>
          </w:p>
        </w:tc>
        <w:tc>
          <w:tcPr>
            <w:tcW w:w="240" w:type="dxa"/>
            <w:vAlign w:val="bottom"/>
            <w:tcBorders>
              <w:bottom w:val="single" w:sz="8" w:color="auto"/>
            </w:tcBorders>
          </w:tcPr>
          <w:p>
            <w:pPr>
              <w:spacing w:after="0"/>
              <w:rPr>
                <w:sz w:val="18"/>
                <w:szCs w:val="18"/>
                <w:color w:val="auto"/>
              </w:rPr>
            </w:pPr>
          </w:p>
        </w:tc>
        <w:tc>
          <w:tcPr>
            <w:tcW w:w="2080" w:type="dxa"/>
            <w:vAlign w:val="bottom"/>
            <w:tcBorders>
              <w:bottom w:val="single" w:sz="8" w:color="auto"/>
            </w:tcBorders>
            <w:gridSpan w:val="2"/>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September 30, 2017</w:t>
            </w:r>
          </w:p>
        </w:tc>
        <w:tc>
          <w:tcPr>
            <w:tcW w:w="1520" w:type="dxa"/>
            <w:vAlign w:val="bottom"/>
            <w:tcBorders>
              <w:bottom w:val="single" w:sz="8" w:color="auto"/>
            </w:tcBorders>
            <w:gridSpan w:val="2"/>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October 1, 2016</w:t>
            </w:r>
          </w:p>
        </w:tc>
      </w:tr>
      <w:tr>
        <w:trPr>
          <w:trHeight w:val="210"/>
        </w:trPr>
        <w:tc>
          <w:tcPr>
            <w:tcW w:w="3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w:t>
            </w:r>
          </w:p>
        </w:tc>
        <w:tc>
          <w:tcPr>
            <w:tcW w:w="78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108.3</w:t>
            </w:r>
          </w:p>
        </w:tc>
        <w:tc>
          <w:tcPr>
            <w:tcW w:w="80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89.1</w:t>
            </w:r>
          </w:p>
        </w:tc>
        <w:tc>
          <w:tcPr>
            <w:tcW w:w="7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341.4</w:t>
            </w:r>
          </w:p>
        </w:tc>
        <w:tc>
          <w:tcPr>
            <w:tcW w:w="74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258.7</w:t>
            </w:r>
          </w:p>
        </w:tc>
      </w:tr>
      <w:tr>
        <w:trPr>
          <w:trHeight w:val="216"/>
        </w:trPr>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Other comprehensive income (loss), net of tax:</w:t>
            </w:r>
          </w:p>
        </w:tc>
        <w:tc>
          <w:tcPr>
            <w:tcW w:w="7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780" w:type="dxa"/>
            <w:vAlign w:val="bottom"/>
          </w:tcPr>
          <w:p>
            <w:pPr>
              <w:spacing w:after="0"/>
              <w:rPr>
                <w:sz w:val="18"/>
                <w:szCs w:val="18"/>
                <w:color w:val="auto"/>
              </w:rPr>
            </w:pPr>
          </w:p>
        </w:tc>
      </w:tr>
      <w:tr>
        <w:trPr>
          <w:trHeight w:val="216"/>
        </w:trPr>
        <w:tc>
          <w:tcPr>
            <w:tcW w:w="39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Foreign currency translation</w:t>
            </w:r>
          </w:p>
        </w:tc>
        <w:tc>
          <w:tcPr>
            <w:tcW w:w="780" w:type="dxa"/>
            <w:vAlign w:val="bottom"/>
            <w:shd w:val="clear" w:color="auto" w:fill="CCEEFF"/>
          </w:tcPr>
          <w:p>
            <w:pPr>
              <w:spacing w:after="0"/>
              <w:rPr>
                <w:sz w:val="18"/>
                <w:szCs w:val="18"/>
                <w:color w:val="auto"/>
              </w:rPr>
            </w:pPr>
          </w:p>
        </w:tc>
        <w:tc>
          <w:tcPr>
            <w:tcW w:w="140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12.1</w:t>
            </w:r>
          </w:p>
        </w:tc>
        <w:tc>
          <w:tcPr>
            <w:tcW w:w="8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15.5</w:t>
            </w:r>
          </w:p>
        </w:tc>
        <w:tc>
          <w:tcPr>
            <w:tcW w:w="760" w:type="dxa"/>
            <w:vAlign w:val="bottom"/>
            <w:shd w:val="clear" w:color="auto" w:fill="CCEEFF"/>
          </w:tcPr>
          <w:p>
            <w:pPr>
              <w:spacing w:after="0"/>
              <w:rPr>
                <w:sz w:val="18"/>
                <w:szCs w:val="18"/>
                <w:color w:val="auto"/>
              </w:rPr>
            </w:pPr>
          </w:p>
        </w:tc>
        <w:tc>
          <w:tcPr>
            <w:tcW w:w="132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39.3</w:t>
            </w:r>
          </w:p>
        </w:tc>
        <w:tc>
          <w:tcPr>
            <w:tcW w:w="74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21.1</w:t>
            </w:r>
          </w:p>
        </w:tc>
      </w:tr>
      <w:tr>
        <w:trPr>
          <w:trHeight w:val="216"/>
        </w:trPr>
        <w:tc>
          <w:tcPr>
            <w:tcW w:w="39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Pension and other postretirement benefits</w:t>
            </w:r>
          </w:p>
        </w:tc>
        <w:tc>
          <w:tcPr>
            <w:tcW w:w="780" w:type="dxa"/>
            <w:vAlign w:val="bottom"/>
          </w:tcPr>
          <w:p>
            <w:pPr>
              <w:spacing w:after="0"/>
              <w:rPr>
                <w:sz w:val="18"/>
                <w:szCs w:val="18"/>
                <w:color w:val="auto"/>
              </w:rPr>
            </w:pPr>
          </w:p>
        </w:tc>
        <w:tc>
          <w:tcPr>
            <w:tcW w:w="140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5.0</w:t>
            </w:r>
          </w:p>
        </w:tc>
        <w:tc>
          <w:tcPr>
            <w:tcW w:w="800" w:type="dxa"/>
            <w:vAlign w:val="bottom"/>
          </w:tcPr>
          <w:p>
            <w:pPr>
              <w:spacing w:after="0"/>
              <w:rPr>
                <w:sz w:val="18"/>
                <w:szCs w:val="18"/>
                <w:color w:val="auto"/>
              </w:rPr>
            </w:pPr>
          </w:p>
        </w:tc>
        <w:tc>
          <w:tcPr>
            <w:tcW w:w="9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4.4</w:t>
            </w:r>
          </w:p>
        </w:tc>
        <w:tc>
          <w:tcPr>
            <w:tcW w:w="760" w:type="dxa"/>
            <w:vAlign w:val="bottom"/>
          </w:tcPr>
          <w:p>
            <w:pPr>
              <w:spacing w:after="0"/>
              <w:rPr>
                <w:sz w:val="18"/>
                <w:szCs w:val="18"/>
                <w:color w:val="auto"/>
              </w:rPr>
            </w:pPr>
          </w:p>
        </w:tc>
        <w:tc>
          <w:tcPr>
            <w:tcW w:w="132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14.6</w:t>
            </w:r>
          </w:p>
        </w:tc>
        <w:tc>
          <w:tcPr>
            <w:tcW w:w="7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w:t>
            </w:r>
          </w:p>
        </w:tc>
      </w:tr>
      <w:tr>
        <w:trPr>
          <w:trHeight w:val="216"/>
        </w:trPr>
        <w:tc>
          <w:tcPr>
            <w:tcW w:w="3920" w:type="dxa"/>
            <w:vAlign w:val="bottom"/>
            <w:tcBorders>
              <w:bottom w:val="single" w:sz="8" w:color="auto"/>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Cash flow hedges</w:t>
            </w:r>
          </w:p>
        </w:tc>
        <w:tc>
          <w:tcPr>
            <w:tcW w:w="780" w:type="dxa"/>
            <w:vAlign w:val="bottom"/>
            <w:tcBorders>
              <w:bottom w:val="single" w:sz="8" w:color="auto"/>
            </w:tcBorders>
            <w:shd w:val="clear" w:color="auto" w:fill="CCEEFF"/>
          </w:tcPr>
          <w:p>
            <w:pPr>
              <w:spacing w:after="0"/>
              <w:rPr>
                <w:sz w:val="18"/>
                <w:szCs w:val="18"/>
                <w:color w:val="auto"/>
              </w:rPr>
            </w:pPr>
          </w:p>
        </w:tc>
        <w:tc>
          <w:tcPr>
            <w:tcW w:w="140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.2</w:t>
            </w:r>
          </w:p>
        </w:tc>
        <w:tc>
          <w:tcPr>
            <w:tcW w:w="80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w:t>
            </w:r>
          </w:p>
        </w:tc>
        <w:tc>
          <w:tcPr>
            <w:tcW w:w="76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(1.1)</w:t>
            </w:r>
          </w:p>
        </w:tc>
        <w:tc>
          <w:tcPr>
            <w:tcW w:w="74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10"/>
        </w:trPr>
        <w:tc>
          <w:tcPr>
            <w:tcW w:w="39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Other comprehensive income, net of tax</w:t>
            </w:r>
          </w:p>
        </w:tc>
        <w:tc>
          <w:tcPr>
            <w:tcW w:w="78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17.3</w:t>
            </w:r>
          </w:p>
        </w:tc>
        <w:tc>
          <w:tcPr>
            <w:tcW w:w="8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19.8</w:t>
            </w:r>
          </w:p>
        </w:tc>
        <w:tc>
          <w:tcPr>
            <w:tcW w:w="76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52.8</w:t>
            </w:r>
          </w:p>
        </w:tc>
        <w:tc>
          <w:tcPr>
            <w:tcW w:w="74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14.0</w:t>
            </w:r>
          </w:p>
        </w:tc>
      </w:tr>
      <w:tr>
        <w:trPr>
          <w:trHeight w:val="217"/>
        </w:trPr>
        <w:tc>
          <w:tcPr>
            <w:tcW w:w="392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comprehensive income, net of tax</w:t>
            </w:r>
          </w:p>
        </w:tc>
        <w:tc>
          <w:tcPr>
            <w:tcW w:w="78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125.6</w:t>
            </w:r>
          </w:p>
        </w:tc>
        <w:tc>
          <w:tcPr>
            <w:tcW w:w="80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108.9</w:t>
            </w:r>
          </w:p>
        </w:tc>
        <w:tc>
          <w:tcPr>
            <w:tcW w:w="7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394.2</w:t>
            </w:r>
          </w:p>
        </w:tc>
        <w:tc>
          <w:tcPr>
            <w:tcW w:w="74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272.7</w:t>
            </w: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Notes to Unaudited Condensed Consolidated Financial Statements</w:t>
      </w:r>
    </w:p>
    <w:p>
      <w:pPr>
        <w:spacing w:after="0" w:line="22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w:anchor="page1">
        <w:r>
          <w:rPr>
            <w:rFonts w:ascii="Times New Roman" w:cs="Times New Roman" w:eastAsia="Times New Roman" w:hAnsi="Times New Roman"/>
            <w:sz w:val="18"/>
            <w:szCs w:val="18"/>
            <w:u w:val="single" w:color="auto"/>
            <w:color w:val="0000EE"/>
          </w:rPr>
          <w:t>Table of Contents</w:t>
        </w:r>
      </w:hyperlink>
    </w:p>
    <w:p>
      <w:pPr>
        <w:spacing w:after="0" w:line="22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Avery Dennison Corporation</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Unaudited</w:t>
      </w:r>
      <w:r>
        <w:rPr>
          <w:rFonts w:ascii="Times New Roman" w:cs="Times New Roman" w:eastAsia="Times New Roman" w:hAnsi="Times New Roman"/>
          <w:sz w:val="18"/>
          <w:szCs w:val="18"/>
          <w:b w:val="1"/>
          <w:bCs w:val="1"/>
          <w:color w:val="auto"/>
        </w:rPr>
        <w:t>)</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6920" w:type="dxa"/>
            <w:vAlign w:val="bottom"/>
          </w:tcPr>
          <w:p>
            <w:pPr>
              <w:spacing w:after="0"/>
              <w:rPr>
                <w:sz w:val="20"/>
                <w:szCs w:val="20"/>
                <w:color w:val="auto"/>
              </w:rPr>
            </w:pPr>
          </w:p>
        </w:tc>
        <w:tc>
          <w:tcPr>
            <w:tcW w:w="1260" w:type="dxa"/>
            <w:vAlign w:val="bottom"/>
            <w:tcBorders>
              <w:bottom w:val="single" w:sz="8" w:color="auto"/>
            </w:tcBorders>
          </w:tcPr>
          <w:p>
            <w:pPr>
              <w:spacing w:after="0"/>
              <w:rPr>
                <w:sz w:val="20"/>
                <w:szCs w:val="20"/>
                <w:color w:val="auto"/>
              </w:rPr>
            </w:pPr>
          </w:p>
        </w:tc>
        <w:tc>
          <w:tcPr>
            <w:tcW w:w="1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Nine Months Ended</w:t>
            </w:r>
          </w:p>
        </w:tc>
        <w:tc>
          <w:tcPr>
            <w:tcW w:w="58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69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(In millions)</w:t>
            </w:r>
          </w:p>
        </w:tc>
        <w:tc>
          <w:tcPr>
            <w:tcW w:w="3080" w:type="dxa"/>
            <w:vAlign w:val="bottom"/>
            <w:gridSpan w:val="2"/>
          </w:tcPr>
          <w:p>
            <w:pPr>
              <w:jc w:val="right"/>
              <w:ind w:right="950"/>
              <w:spacing w:after="0"/>
              <w:rPr>
                <w:sz w:val="20"/>
                <w:szCs w:val="20"/>
                <w:color w:val="auto"/>
              </w:rPr>
            </w:pPr>
            <w:r>
              <w:rPr>
                <w:rFonts w:ascii="Times New Roman" w:cs="Times New Roman" w:eastAsia="Times New Roman" w:hAnsi="Times New Roman"/>
                <w:sz w:val="18"/>
                <w:szCs w:val="18"/>
                <w:b w:val="1"/>
                <w:bCs w:val="1"/>
                <w:color w:val="auto"/>
              </w:rPr>
              <w:t>September 30, 2017</w:t>
            </w:r>
          </w:p>
        </w:tc>
        <w:tc>
          <w:tcPr>
            <w:tcW w:w="140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October 1, 2016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9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Operating Activities</w:t>
            </w:r>
          </w:p>
        </w:tc>
        <w:tc>
          <w:tcPr>
            <w:tcW w:w="1260" w:type="dxa"/>
            <w:vAlign w:val="bottom"/>
            <w:tcBorders>
              <w:top w:val="single" w:sz="8" w:color="auto"/>
            </w:tcBorders>
            <w:shd w:val="clear" w:color="auto" w:fill="CCEEFF"/>
          </w:tcPr>
          <w:p>
            <w:pPr>
              <w:spacing w:after="0"/>
              <w:rPr>
                <w:sz w:val="18"/>
                <w:szCs w:val="18"/>
                <w:color w:val="auto"/>
              </w:rPr>
            </w:pPr>
          </w:p>
        </w:tc>
        <w:tc>
          <w:tcPr>
            <w:tcW w:w="182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20" w:type="dxa"/>
            <w:vAlign w:val="bottom"/>
          </w:tcPr>
          <w:p>
            <w:pPr>
              <w:spacing w:after="0"/>
              <w:rPr>
                <w:sz w:val="20"/>
                <w:szCs w:val="20"/>
                <w:color w:val="auto"/>
              </w:rPr>
            </w:pPr>
            <w:r>
              <w:rPr>
                <w:rFonts w:ascii="Times New Roman" w:cs="Times New Roman" w:eastAsia="Times New Roman" w:hAnsi="Times New Roman"/>
                <w:sz w:val="18"/>
                <w:szCs w:val="18"/>
                <w:color w:val="auto"/>
              </w:rPr>
              <w:t>Net income</w:t>
            </w:r>
          </w:p>
        </w:tc>
        <w:tc>
          <w:tcPr>
            <w:tcW w:w="12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820" w:type="dxa"/>
            <w:vAlign w:val="bottom"/>
          </w:tcPr>
          <w:p>
            <w:pPr>
              <w:jc w:val="right"/>
              <w:ind w:right="950"/>
              <w:spacing w:after="0"/>
              <w:rPr>
                <w:sz w:val="20"/>
                <w:szCs w:val="20"/>
                <w:color w:val="auto"/>
              </w:rPr>
            </w:pPr>
            <w:r>
              <w:rPr>
                <w:rFonts w:ascii="Times New Roman" w:cs="Times New Roman" w:eastAsia="Times New Roman" w:hAnsi="Times New Roman"/>
                <w:sz w:val="18"/>
                <w:szCs w:val="18"/>
                <w:color w:val="auto"/>
              </w:rPr>
              <w:t>341.4</w:t>
            </w:r>
          </w:p>
        </w:tc>
        <w:tc>
          <w:tcPr>
            <w:tcW w:w="58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258.7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Adjustments to reconcile net income to net cash provided by operating activities:</w:t>
            </w:r>
          </w:p>
        </w:tc>
        <w:tc>
          <w:tcPr>
            <w:tcW w:w="1260" w:type="dxa"/>
            <w:vAlign w:val="bottom"/>
            <w:shd w:val="clear" w:color="auto" w:fill="CCEEFF"/>
          </w:tcPr>
          <w:p>
            <w:pPr>
              <w:spacing w:after="0"/>
              <w:rPr>
                <w:sz w:val="18"/>
                <w:szCs w:val="18"/>
                <w:color w:val="auto"/>
              </w:rPr>
            </w:pPr>
          </w:p>
        </w:tc>
        <w:tc>
          <w:tcPr>
            <w:tcW w:w="18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Depreciation</w:t>
            </w:r>
          </w:p>
        </w:tc>
        <w:tc>
          <w:tcPr>
            <w:tcW w:w="1260" w:type="dxa"/>
            <w:vAlign w:val="bottom"/>
          </w:tcPr>
          <w:p>
            <w:pPr>
              <w:spacing w:after="0"/>
              <w:rPr>
                <w:sz w:val="18"/>
                <w:szCs w:val="18"/>
                <w:color w:val="auto"/>
              </w:rPr>
            </w:pPr>
          </w:p>
        </w:tc>
        <w:tc>
          <w:tcPr>
            <w:tcW w:w="1820" w:type="dxa"/>
            <w:vAlign w:val="bottom"/>
          </w:tcPr>
          <w:p>
            <w:pPr>
              <w:jc w:val="right"/>
              <w:ind w:right="950"/>
              <w:spacing w:after="0"/>
              <w:rPr>
                <w:sz w:val="20"/>
                <w:szCs w:val="20"/>
                <w:color w:val="auto"/>
              </w:rPr>
            </w:pPr>
            <w:r>
              <w:rPr>
                <w:rFonts w:ascii="Times New Roman" w:cs="Times New Roman" w:eastAsia="Times New Roman" w:hAnsi="Times New Roman"/>
                <w:sz w:val="18"/>
                <w:szCs w:val="18"/>
                <w:color w:val="auto"/>
              </w:rPr>
              <w:t>92.6</w:t>
            </w:r>
          </w:p>
        </w:tc>
        <w:tc>
          <w:tcPr>
            <w:tcW w:w="580" w:type="dxa"/>
            <w:vAlign w:val="bottom"/>
          </w:tcPr>
          <w:p>
            <w:pPr>
              <w:spacing w:after="0"/>
              <w:rPr>
                <w:sz w:val="18"/>
                <w:szCs w:val="18"/>
                <w:color w:val="auto"/>
              </w:rPr>
            </w:pPr>
          </w:p>
        </w:tc>
        <w:tc>
          <w:tcPr>
            <w:tcW w:w="8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88.8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Amortization</w:t>
            </w:r>
          </w:p>
        </w:tc>
        <w:tc>
          <w:tcPr>
            <w:tcW w:w="1260" w:type="dxa"/>
            <w:vAlign w:val="bottom"/>
            <w:shd w:val="clear" w:color="auto" w:fill="CCEEFF"/>
          </w:tcPr>
          <w:p>
            <w:pPr>
              <w:spacing w:after="0"/>
              <w:rPr>
                <w:sz w:val="18"/>
                <w:szCs w:val="18"/>
                <w:color w:val="auto"/>
              </w:rPr>
            </w:pPr>
          </w:p>
        </w:tc>
        <w:tc>
          <w:tcPr>
            <w:tcW w:w="1820" w:type="dxa"/>
            <w:vAlign w:val="bottom"/>
            <w:shd w:val="clear" w:color="auto" w:fill="CCEEFF"/>
          </w:tcPr>
          <w:p>
            <w:pPr>
              <w:jc w:val="right"/>
              <w:ind w:right="950"/>
              <w:spacing w:after="0"/>
              <w:rPr>
                <w:sz w:val="20"/>
                <w:szCs w:val="20"/>
                <w:color w:val="auto"/>
              </w:rPr>
            </w:pPr>
            <w:r>
              <w:rPr>
                <w:rFonts w:ascii="Times New Roman" w:cs="Times New Roman" w:eastAsia="Times New Roman" w:hAnsi="Times New Roman"/>
                <w:sz w:val="18"/>
                <w:szCs w:val="18"/>
                <w:color w:val="auto"/>
              </w:rPr>
              <w:t>42.2</w:t>
            </w:r>
          </w:p>
        </w:tc>
        <w:tc>
          <w:tcPr>
            <w:tcW w:w="58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Provision for doubtful accounts and sales returns</w:t>
            </w:r>
          </w:p>
        </w:tc>
        <w:tc>
          <w:tcPr>
            <w:tcW w:w="1260" w:type="dxa"/>
            <w:vAlign w:val="bottom"/>
          </w:tcPr>
          <w:p>
            <w:pPr>
              <w:spacing w:after="0"/>
              <w:rPr>
                <w:sz w:val="18"/>
                <w:szCs w:val="18"/>
                <w:color w:val="auto"/>
              </w:rPr>
            </w:pPr>
          </w:p>
        </w:tc>
        <w:tc>
          <w:tcPr>
            <w:tcW w:w="1820" w:type="dxa"/>
            <w:vAlign w:val="bottom"/>
          </w:tcPr>
          <w:p>
            <w:pPr>
              <w:jc w:val="right"/>
              <w:ind w:right="950"/>
              <w:spacing w:after="0"/>
              <w:rPr>
                <w:sz w:val="20"/>
                <w:szCs w:val="20"/>
                <w:color w:val="auto"/>
              </w:rPr>
            </w:pPr>
            <w:r>
              <w:rPr>
                <w:rFonts w:ascii="Times New Roman" w:cs="Times New Roman" w:eastAsia="Times New Roman" w:hAnsi="Times New Roman"/>
                <w:sz w:val="18"/>
                <w:szCs w:val="18"/>
                <w:color w:val="auto"/>
              </w:rPr>
              <w:t>28.1</w:t>
            </w:r>
          </w:p>
        </w:tc>
        <w:tc>
          <w:tcPr>
            <w:tcW w:w="580" w:type="dxa"/>
            <w:vAlign w:val="bottom"/>
          </w:tcPr>
          <w:p>
            <w:pPr>
              <w:spacing w:after="0"/>
              <w:rPr>
                <w:sz w:val="18"/>
                <w:szCs w:val="18"/>
                <w:color w:val="auto"/>
              </w:rPr>
            </w:pPr>
          </w:p>
        </w:tc>
        <w:tc>
          <w:tcPr>
            <w:tcW w:w="8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Net losses from asset impairments and sales/disposals of assets</w:t>
            </w:r>
          </w:p>
        </w:tc>
        <w:tc>
          <w:tcPr>
            <w:tcW w:w="1260" w:type="dxa"/>
            <w:vAlign w:val="bottom"/>
            <w:shd w:val="clear" w:color="auto" w:fill="CCEEFF"/>
          </w:tcPr>
          <w:p>
            <w:pPr>
              <w:spacing w:after="0"/>
              <w:rPr>
                <w:sz w:val="18"/>
                <w:szCs w:val="18"/>
                <w:color w:val="auto"/>
              </w:rPr>
            </w:pPr>
          </w:p>
        </w:tc>
        <w:tc>
          <w:tcPr>
            <w:tcW w:w="1820" w:type="dxa"/>
            <w:vAlign w:val="bottom"/>
            <w:shd w:val="clear" w:color="auto" w:fill="CCEEFF"/>
          </w:tcPr>
          <w:p>
            <w:pPr>
              <w:jc w:val="right"/>
              <w:ind w:right="950"/>
              <w:spacing w:after="0"/>
              <w:rPr>
                <w:sz w:val="20"/>
                <w:szCs w:val="20"/>
                <w:color w:val="auto"/>
              </w:rPr>
            </w:pPr>
            <w:r>
              <w:rPr>
                <w:rFonts w:ascii="Times New Roman" w:cs="Times New Roman" w:eastAsia="Times New Roman" w:hAnsi="Times New Roman"/>
                <w:sz w:val="18"/>
                <w:szCs w:val="18"/>
                <w:color w:val="auto"/>
              </w:rPr>
              <w:t>2.4</w:t>
            </w:r>
          </w:p>
        </w:tc>
        <w:tc>
          <w:tcPr>
            <w:tcW w:w="58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Stock-based compensation</w:t>
            </w:r>
          </w:p>
        </w:tc>
        <w:tc>
          <w:tcPr>
            <w:tcW w:w="1260" w:type="dxa"/>
            <w:vAlign w:val="bottom"/>
          </w:tcPr>
          <w:p>
            <w:pPr>
              <w:spacing w:after="0"/>
              <w:rPr>
                <w:sz w:val="18"/>
                <w:szCs w:val="18"/>
                <w:color w:val="auto"/>
              </w:rPr>
            </w:pPr>
          </w:p>
        </w:tc>
        <w:tc>
          <w:tcPr>
            <w:tcW w:w="1820" w:type="dxa"/>
            <w:vAlign w:val="bottom"/>
          </w:tcPr>
          <w:p>
            <w:pPr>
              <w:jc w:val="right"/>
              <w:ind w:right="950"/>
              <w:spacing w:after="0"/>
              <w:rPr>
                <w:sz w:val="20"/>
                <w:szCs w:val="20"/>
                <w:color w:val="auto"/>
              </w:rPr>
            </w:pPr>
            <w:r>
              <w:rPr>
                <w:rFonts w:ascii="Times New Roman" w:cs="Times New Roman" w:eastAsia="Times New Roman" w:hAnsi="Times New Roman"/>
                <w:sz w:val="18"/>
                <w:szCs w:val="18"/>
                <w:color w:val="auto"/>
              </w:rPr>
              <w:t>22.2</w:t>
            </w:r>
          </w:p>
        </w:tc>
        <w:tc>
          <w:tcPr>
            <w:tcW w:w="580" w:type="dxa"/>
            <w:vAlign w:val="bottom"/>
          </w:tcPr>
          <w:p>
            <w:pPr>
              <w:spacing w:after="0"/>
              <w:rPr>
                <w:sz w:val="18"/>
                <w:szCs w:val="18"/>
                <w:color w:val="auto"/>
              </w:rPr>
            </w:pPr>
          </w:p>
        </w:tc>
        <w:tc>
          <w:tcPr>
            <w:tcW w:w="8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Loss from settlement of pension obligations</w:t>
            </w:r>
          </w:p>
        </w:tc>
        <w:tc>
          <w:tcPr>
            <w:tcW w:w="1260" w:type="dxa"/>
            <w:vAlign w:val="bottom"/>
            <w:shd w:val="clear" w:color="auto" w:fill="CCEEFF"/>
          </w:tcPr>
          <w:p>
            <w:pPr>
              <w:spacing w:after="0"/>
              <w:rPr>
                <w:sz w:val="18"/>
                <w:szCs w:val="18"/>
                <w:color w:val="auto"/>
              </w:rPr>
            </w:pPr>
          </w:p>
        </w:tc>
        <w:tc>
          <w:tcPr>
            <w:tcW w:w="1820" w:type="dxa"/>
            <w:vAlign w:val="bottom"/>
            <w:shd w:val="clear" w:color="auto" w:fill="CCEEFF"/>
          </w:tcPr>
          <w:p>
            <w:pPr>
              <w:jc w:val="right"/>
              <w:ind w:right="95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Other non-cash expense and loss</w:t>
            </w:r>
          </w:p>
        </w:tc>
        <w:tc>
          <w:tcPr>
            <w:tcW w:w="1260" w:type="dxa"/>
            <w:vAlign w:val="bottom"/>
          </w:tcPr>
          <w:p>
            <w:pPr>
              <w:spacing w:after="0"/>
              <w:rPr>
                <w:sz w:val="18"/>
                <w:szCs w:val="18"/>
                <w:color w:val="auto"/>
              </w:rPr>
            </w:pPr>
          </w:p>
        </w:tc>
        <w:tc>
          <w:tcPr>
            <w:tcW w:w="1820" w:type="dxa"/>
            <w:vAlign w:val="bottom"/>
          </w:tcPr>
          <w:p>
            <w:pPr>
              <w:jc w:val="right"/>
              <w:ind w:right="950"/>
              <w:spacing w:after="0"/>
              <w:rPr>
                <w:sz w:val="20"/>
                <w:szCs w:val="20"/>
                <w:color w:val="auto"/>
              </w:rPr>
            </w:pPr>
            <w:r>
              <w:rPr>
                <w:rFonts w:ascii="Times New Roman" w:cs="Times New Roman" w:eastAsia="Times New Roman" w:hAnsi="Times New Roman"/>
                <w:sz w:val="18"/>
                <w:szCs w:val="18"/>
                <w:color w:val="auto"/>
              </w:rPr>
              <w:t>41.0</w:t>
            </w:r>
          </w:p>
        </w:tc>
        <w:tc>
          <w:tcPr>
            <w:tcW w:w="580" w:type="dxa"/>
            <w:vAlign w:val="bottom"/>
          </w:tcPr>
          <w:p>
            <w:pPr>
              <w:spacing w:after="0"/>
              <w:rPr>
                <w:sz w:val="18"/>
                <w:szCs w:val="18"/>
                <w:color w:val="auto"/>
              </w:rPr>
            </w:pPr>
          </w:p>
        </w:tc>
        <w:tc>
          <w:tcPr>
            <w:tcW w:w="8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2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Changes in assets and liabilities and other adjustments</w:t>
            </w:r>
          </w:p>
        </w:tc>
        <w:tc>
          <w:tcPr>
            <w:tcW w:w="1260" w:type="dxa"/>
            <w:vAlign w:val="bottom"/>
            <w:tcBorders>
              <w:bottom w:val="single" w:sz="8" w:color="auto"/>
            </w:tcBorders>
            <w:shd w:val="clear" w:color="auto" w:fill="CCEEFF"/>
          </w:tcPr>
          <w:p>
            <w:pPr>
              <w:spacing w:after="0"/>
              <w:rPr>
                <w:sz w:val="18"/>
                <w:szCs w:val="18"/>
                <w:color w:val="auto"/>
              </w:rPr>
            </w:pPr>
          </w:p>
        </w:tc>
        <w:tc>
          <w:tcPr>
            <w:tcW w:w="1820" w:type="dxa"/>
            <w:vAlign w:val="bottom"/>
            <w:tcBorders>
              <w:bottom w:val="single" w:sz="8" w:color="auto"/>
            </w:tcBorders>
            <w:shd w:val="clear" w:color="auto" w:fill="CCEEFF"/>
          </w:tcPr>
          <w:p>
            <w:pPr>
              <w:jc w:val="right"/>
              <w:ind w:right="890"/>
              <w:spacing w:after="0"/>
              <w:rPr>
                <w:sz w:val="20"/>
                <w:szCs w:val="20"/>
                <w:color w:val="auto"/>
              </w:rPr>
            </w:pPr>
            <w:r>
              <w:rPr>
                <w:rFonts w:ascii="Times New Roman" w:cs="Times New Roman" w:eastAsia="Times New Roman" w:hAnsi="Times New Roman"/>
                <w:sz w:val="18"/>
                <w:szCs w:val="18"/>
                <w:color w:val="auto"/>
              </w:rPr>
              <w:t>(177.3)</w:t>
            </w:r>
          </w:p>
        </w:tc>
        <w:tc>
          <w:tcPr>
            <w:tcW w:w="58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9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1260" w:type="dxa"/>
            <w:vAlign w:val="bottom"/>
            <w:tcBorders>
              <w:bottom w:val="single" w:sz="8" w:color="auto"/>
            </w:tcBorders>
          </w:tcPr>
          <w:p>
            <w:pPr>
              <w:spacing w:after="0"/>
              <w:rPr>
                <w:sz w:val="18"/>
                <w:szCs w:val="18"/>
                <w:color w:val="auto"/>
              </w:rPr>
            </w:pPr>
          </w:p>
        </w:tc>
        <w:tc>
          <w:tcPr>
            <w:tcW w:w="1820" w:type="dxa"/>
            <w:vAlign w:val="bottom"/>
            <w:tcBorders>
              <w:bottom w:val="single" w:sz="8" w:color="auto"/>
            </w:tcBorders>
          </w:tcPr>
          <w:p>
            <w:pPr>
              <w:jc w:val="right"/>
              <w:ind w:right="950"/>
              <w:spacing w:after="0"/>
              <w:rPr>
                <w:sz w:val="20"/>
                <w:szCs w:val="20"/>
                <w:color w:val="auto"/>
              </w:rPr>
            </w:pPr>
            <w:r>
              <w:rPr>
                <w:rFonts w:ascii="Times New Roman" w:cs="Times New Roman" w:eastAsia="Times New Roman" w:hAnsi="Times New Roman"/>
                <w:sz w:val="18"/>
                <w:szCs w:val="18"/>
                <w:color w:val="auto"/>
              </w:rPr>
              <w:t>392.6</w:t>
            </w:r>
          </w:p>
        </w:tc>
        <w:tc>
          <w:tcPr>
            <w:tcW w:w="58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365.7</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9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8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9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Investing Activities</w:t>
            </w:r>
          </w:p>
        </w:tc>
        <w:tc>
          <w:tcPr>
            <w:tcW w:w="126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Purchases of property, plant and equipment</w:t>
            </w:r>
          </w:p>
        </w:tc>
        <w:tc>
          <w:tcPr>
            <w:tcW w:w="1260" w:type="dxa"/>
            <w:vAlign w:val="bottom"/>
            <w:shd w:val="clear" w:color="auto" w:fill="CCEEFF"/>
          </w:tcPr>
          <w:p>
            <w:pPr>
              <w:spacing w:after="0"/>
              <w:rPr>
                <w:sz w:val="18"/>
                <w:szCs w:val="18"/>
                <w:color w:val="auto"/>
              </w:rPr>
            </w:pPr>
          </w:p>
        </w:tc>
        <w:tc>
          <w:tcPr>
            <w:tcW w:w="1820" w:type="dxa"/>
            <w:vAlign w:val="bottom"/>
            <w:shd w:val="clear" w:color="auto" w:fill="CCEEFF"/>
          </w:tcPr>
          <w:p>
            <w:pPr>
              <w:jc w:val="right"/>
              <w:ind w:right="890"/>
              <w:spacing w:after="0"/>
              <w:rPr>
                <w:sz w:val="20"/>
                <w:szCs w:val="20"/>
                <w:color w:val="auto"/>
              </w:rPr>
            </w:pPr>
            <w:r>
              <w:rPr>
                <w:rFonts w:ascii="Times New Roman" w:cs="Times New Roman" w:eastAsia="Times New Roman" w:hAnsi="Times New Roman"/>
                <w:sz w:val="18"/>
                <w:szCs w:val="18"/>
                <w:color w:val="auto"/>
              </w:rPr>
              <w:t>(111.4)</w:t>
            </w:r>
          </w:p>
        </w:tc>
        <w:tc>
          <w:tcPr>
            <w:tcW w:w="5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20" w:type="dxa"/>
            <w:vAlign w:val="bottom"/>
          </w:tcPr>
          <w:p>
            <w:pPr>
              <w:spacing w:after="0"/>
              <w:rPr>
                <w:sz w:val="20"/>
                <w:szCs w:val="20"/>
                <w:color w:val="auto"/>
              </w:rPr>
            </w:pPr>
            <w:r>
              <w:rPr>
                <w:rFonts w:ascii="Times New Roman" w:cs="Times New Roman" w:eastAsia="Times New Roman" w:hAnsi="Times New Roman"/>
                <w:sz w:val="18"/>
                <w:szCs w:val="18"/>
                <w:color w:val="auto"/>
              </w:rPr>
              <w:t>Purchases of software and other deferred charges</w:t>
            </w:r>
          </w:p>
        </w:tc>
        <w:tc>
          <w:tcPr>
            <w:tcW w:w="1260" w:type="dxa"/>
            <w:vAlign w:val="bottom"/>
          </w:tcPr>
          <w:p>
            <w:pPr>
              <w:spacing w:after="0"/>
              <w:rPr>
                <w:sz w:val="18"/>
                <w:szCs w:val="18"/>
                <w:color w:val="auto"/>
              </w:rPr>
            </w:pPr>
          </w:p>
        </w:tc>
        <w:tc>
          <w:tcPr>
            <w:tcW w:w="1820" w:type="dxa"/>
            <w:vAlign w:val="bottom"/>
          </w:tcPr>
          <w:p>
            <w:pPr>
              <w:jc w:val="right"/>
              <w:ind w:right="890"/>
              <w:spacing w:after="0"/>
              <w:rPr>
                <w:sz w:val="20"/>
                <w:szCs w:val="20"/>
                <w:color w:val="auto"/>
              </w:rPr>
            </w:pPr>
            <w:r>
              <w:rPr>
                <w:rFonts w:ascii="Times New Roman" w:cs="Times New Roman" w:eastAsia="Times New Roman" w:hAnsi="Times New Roman"/>
                <w:sz w:val="18"/>
                <w:szCs w:val="18"/>
                <w:color w:val="auto"/>
              </w:rPr>
              <w:t>(23.5)</w:t>
            </w:r>
          </w:p>
        </w:tc>
        <w:tc>
          <w:tcPr>
            <w:tcW w:w="5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Proceeds from sales of property, plant and equipment</w:t>
            </w:r>
          </w:p>
        </w:tc>
        <w:tc>
          <w:tcPr>
            <w:tcW w:w="1260" w:type="dxa"/>
            <w:vAlign w:val="bottom"/>
            <w:shd w:val="clear" w:color="auto" w:fill="CCEEFF"/>
          </w:tcPr>
          <w:p>
            <w:pPr>
              <w:spacing w:after="0"/>
              <w:rPr>
                <w:sz w:val="18"/>
                <w:szCs w:val="18"/>
                <w:color w:val="auto"/>
              </w:rPr>
            </w:pPr>
          </w:p>
        </w:tc>
        <w:tc>
          <w:tcPr>
            <w:tcW w:w="1820" w:type="dxa"/>
            <w:vAlign w:val="bottom"/>
            <w:shd w:val="clear" w:color="auto" w:fill="CCEEFF"/>
          </w:tcPr>
          <w:p>
            <w:pPr>
              <w:jc w:val="right"/>
              <w:ind w:right="950"/>
              <w:spacing w:after="0"/>
              <w:rPr>
                <w:sz w:val="20"/>
                <w:szCs w:val="20"/>
                <w:color w:val="auto"/>
              </w:rPr>
            </w:pPr>
            <w:r>
              <w:rPr>
                <w:rFonts w:ascii="Times New Roman" w:cs="Times New Roman" w:eastAsia="Times New Roman" w:hAnsi="Times New Roman"/>
                <w:sz w:val="18"/>
                <w:szCs w:val="18"/>
                <w:color w:val="auto"/>
              </w:rPr>
              <w:t>3.0</w:t>
            </w:r>
          </w:p>
        </w:tc>
        <w:tc>
          <w:tcPr>
            <w:tcW w:w="58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20" w:type="dxa"/>
            <w:vAlign w:val="bottom"/>
          </w:tcPr>
          <w:p>
            <w:pPr>
              <w:spacing w:after="0"/>
              <w:rPr>
                <w:sz w:val="20"/>
                <w:szCs w:val="20"/>
                <w:color w:val="auto"/>
              </w:rPr>
            </w:pPr>
            <w:r>
              <w:rPr>
                <w:rFonts w:ascii="Times New Roman" w:cs="Times New Roman" w:eastAsia="Times New Roman" w:hAnsi="Times New Roman"/>
                <w:sz w:val="18"/>
                <w:szCs w:val="18"/>
                <w:color w:val="auto"/>
              </w:rPr>
              <w:t>Purchases of investments, net</w:t>
            </w:r>
          </w:p>
        </w:tc>
        <w:tc>
          <w:tcPr>
            <w:tcW w:w="1260" w:type="dxa"/>
            <w:vAlign w:val="bottom"/>
          </w:tcPr>
          <w:p>
            <w:pPr>
              <w:spacing w:after="0"/>
              <w:rPr>
                <w:sz w:val="18"/>
                <w:szCs w:val="18"/>
                <w:color w:val="auto"/>
              </w:rPr>
            </w:pPr>
          </w:p>
        </w:tc>
        <w:tc>
          <w:tcPr>
            <w:tcW w:w="1820" w:type="dxa"/>
            <w:vAlign w:val="bottom"/>
          </w:tcPr>
          <w:p>
            <w:pPr>
              <w:jc w:val="right"/>
              <w:ind w:right="890"/>
              <w:spacing w:after="0"/>
              <w:rPr>
                <w:sz w:val="20"/>
                <w:szCs w:val="20"/>
                <w:color w:val="auto"/>
              </w:rPr>
            </w:pPr>
            <w:r>
              <w:rPr>
                <w:rFonts w:ascii="Times New Roman" w:cs="Times New Roman" w:eastAsia="Times New Roman" w:hAnsi="Times New Roman"/>
                <w:sz w:val="18"/>
                <w:szCs w:val="18"/>
                <w:color w:val="auto"/>
              </w:rPr>
              <w:t>(4.7)</w:t>
            </w:r>
          </w:p>
        </w:tc>
        <w:tc>
          <w:tcPr>
            <w:tcW w:w="5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2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Payments for acquisitions, net of cash acquired, and investments in businesses</w:t>
            </w:r>
          </w:p>
        </w:tc>
        <w:tc>
          <w:tcPr>
            <w:tcW w:w="1260" w:type="dxa"/>
            <w:vAlign w:val="bottom"/>
            <w:tcBorders>
              <w:bottom w:val="single" w:sz="8" w:color="auto"/>
            </w:tcBorders>
            <w:shd w:val="clear" w:color="auto" w:fill="CCEEFF"/>
          </w:tcPr>
          <w:p>
            <w:pPr>
              <w:spacing w:after="0"/>
              <w:rPr>
                <w:sz w:val="18"/>
                <w:szCs w:val="18"/>
                <w:color w:val="auto"/>
              </w:rPr>
            </w:pPr>
          </w:p>
        </w:tc>
        <w:tc>
          <w:tcPr>
            <w:tcW w:w="1820" w:type="dxa"/>
            <w:vAlign w:val="bottom"/>
            <w:tcBorders>
              <w:bottom w:val="single" w:sz="8" w:color="auto"/>
            </w:tcBorders>
            <w:shd w:val="clear" w:color="auto" w:fill="CCEEFF"/>
          </w:tcPr>
          <w:p>
            <w:pPr>
              <w:jc w:val="right"/>
              <w:ind w:right="890"/>
              <w:spacing w:after="0"/>
              <w:rPr>
                <w:sz w:val="20"/>
                <w:szCs w:val="20"/>
                <w:color w:val="auto"/>
              </w:rPr>
            </w:pPr>
            <w:r>
              <w:rPr>
                <w:rFonts w:ascii="Times New Roman" w:cs="Times New Roman" w:eastAsia="Times New Roman" w:hAnsi="Times New Roman"/>
                <w:sz w:val="18"/>
                <w:szCs w:val="18"/>
                <w:color w:val="auto"/>
              </w:rPr>
              <w:t>(309.5)</w:t>
            </w:r>
          </w:p>
        </w:tc>
        <w:tc>
          <w:tcPr>
            <w:tcW w:w="58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(227.5)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9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1260" w:type="dxa"/>
            <w:vAlign w:val="bottom"/>
            <w:tcBorders>
              <w:bottom w:val="single" w:sz="8" w:color="auto"/>
            </w:tcBorders>
          </w:tcPr>
          <w:p>
            <w:pPr>
              <w:spacing w:after="0"/>
              <w:rPr>
                <w:sz w:val="18"/>
                <w:szCs w:val="18"/>
                <w:color w:val="auto"/>
              </w:rPr>
            </w:pPr>
          </w:p>
        </w:tc>
        <w:tc>
          <w:tcPr>
            <w:tcW w:w="1820" w:type="dxa"/>
            <w:vAlign w:val="bottom"/>
            <w:tcBorders>
              <w:bottom w:val="single" w:sz="8" w:color="auto"/>
            </w:tcBorders>
          </w:tcPr>
          <w:p>
            <w:pPr>
              <w:jc w:val="right"/>
              <w:ind w:right="890"/>
              <w:spacing w:after="0"/>
              <w:rPr>
                <w:sz w:val="20"/>
                <w:szCs w:val="20"/>
                <w:color w:val="auto"/>
              </w:rPr>
            </w:pPr>
            <w:r>
              <w:rPr>
                <w:rFonts w:ascii="Times New Roman" w:cs="Times New Roman" w:eastAsia="Times New Roman" w:hAnsi="Times New Roman"/>
                <w:sz w:val="18"/>
                <w:szCs w:val="18"/>
                <w:color w:val="auto"/>
              </w:rPr>
              <w:t>(446.1)</w:t>
            </w:r>
          </w:p>
        </w:tc>
        <w:tc>
          <w:tcPr>
            <w:tcW w:w="58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(345.5)</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9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8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9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Financing Activities</w:t>
            </w:r>
          </w:p>
        </w:tc>
        <w:tc>
          <w:tcPr>
            <w:tcW w:w="126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(decrease) increase in borrowings (maturities of three months or less)</w:t>
            </w:r>
          </w:p>
        </w:tc>
        <w:tc>
          <w:tcPr>
            <w:tcW w:w="1260" w:type="dxa"/>
            <w:vAlign w:val="bottom"/>
            <w:shd w:val="clear" w:color="auto" w:fill="CCEEFF"/>
          </w:tcPr>
          <w:p>
            <w:pPr>
              <w:spacing w:after="0"/>
              <w:rPr>
                <w:sz w:val="18"/>
                <w:szCs w:val="18"/>
                <w:color w:val="auto"/>
              </w:rPr>
            </w:pPr>
          </w:p>
        </w:tc>
        <w:tc>
          <w:tcPr>
            <w:tcW w:w="1820" w:type="dxa"/>
            <w:vAlign w:val="bottom"/>
            <w:shd w:val="clear" w:color="auto" w:fill="CCEEFF"/>
          </w:tcPr>
          <w:p>
            <w:pPr>
              <w:jc w:val="right"/>
              <w:ind w:right="890"/>
              <w:spacing w:after="0"/>
              <w:rPr>
                <w:sz w:val="20"/>
                <w:szCs w:val="20"/>
                <w:color w:val="auto"/>
              </w:rPr>
            </w:pPr>
            <w:r>
              <w:rPr>
                <w:rFonts w:ascii="Times New Roman" w:cs="Times New Roman" w:eastAsia="Times New Roman" w:hAnsi="Times New Roman"/>
                <w:sz w:val="18"/>
                <w:szCs w:val="18"/>
                <w:color w:val="auto"/>
              </w:rPr>
              <w:t>(220.1)</w:t>
            </w:r>
          </w:p>
        </w:tc>
        <w:tc>
          <w:tcPr>
            <w:tcW w:w="58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242.0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20" w:type="dxa"/>
            <w:vAlign w:val="bottom"/>
          </w:tcPr>
          <w:p>
            <w:pPr>
              <w:spacing w:after="0"/>
              <w:rPr>
                <w:sz w:val="20"/>
                <w:szCs w:val="20"/>
                <w:color w:val="auto"/>
              </w:rPr>
            </w:pPr>
            <w:r>
              <w:rPr>
                <w:rFonts w:ascii="Times New Roman" w:cs="Times New Roman" w:eastAsia="Times New Roman" w:hAnsi="Times New Roman"/>
                <w:sz w:val="18"/>
                <w:szCs w:val="18"/>
                <w:color w:val="auto"/>
              </w:rPr>
              <w:t>Additional long-term borrowings</w:t>
            </w:r>
          </w:p>
        </w:tc>
        <w:tc>
          <w:tcPr>
            <w:tcW w:w="1260" w:type="dxa"/>
            <w:vAlign w:val="bottom"/>
          </w:tcPr>
          <w:p>
            <w:pPr>
              <w:spacing w:after="0"/>
              <w:rPr>
                <w:sz w:val="18"/>
                <w:szCs w:val="18"/>
                <w:color w:val="auto"/>
              </w:rPr>
            </w:pPr>
          </w:p>
        </w:tc>
        <w:tc>
          <w:tcPr>
            <w:tcW w:w="1820" w:type="dxa"/>
            <w:vAlign w:val="bottom"/>
          </w:tcPr>
          <w:p>
            <w:pPr>
              <w:jc w:val="right"/>
              <w:ind w:right="950"/>
              <w:spacing w:after="0"/>
              <w:rPr>
                <w:sz w:val="20"/>
                <w:szCs w:val="20"/>
                <w:color w:val="auto"/>
              </w:rPr>
            </w:pPr>
            <w:r>
              <w:rPr>
                <w:rFonts w:ascii="Times New Roman" w:cs="Times New Roman" w:eastAsia="Times New Roman" w:hAnsi="Times New Roman"/>
                <w:sz w:val="18"/>
                <w:szCs w:val="18"/>
                <w:color w:val="auto"/>
              </w:rPr>
              <w:t>526.6</w:t>
            </w:r>
          </w:p>
        </w:tc>
        <w:tc>
          <w:tcPr>
            <w:tcW w:w="580" w:type="dxa"/>
            <w:vAlign w:val="bottom"/>
          </w:tcPr>
          <w:p>
            <w:pPr>
              <w:spacing w:after="0"/>
              <w:rPr>
                <w:sz w:val="18"/>
                <w:szCs w:val="18"/>
                <w:color w:val="auto"/>
              </w:rPr>
            </w:pPr>
          </w:p>
        </w:tc>
        <w:tc>
          <w:tcPr>
            <w:tcW w:w="8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Repayments of long-term debt</w:t>
            </w:r>
          </w:p>
        </w:tc>
        <w:tc>
          <w:tcPr>
            <w:tcW w:w="1260" w:type="dxa"/>
            <w:vAlign w:val="bottom"/>
            <w:shd w:val="clear" w:color="auto" w:fill="CCEEFF"/>
          </w:tcPr>
          <w:p>
            <w:pPr>
              <w:spacing w:after="0"/>
              <w:rPr>
                <w:sz w:val="18"/>
                <w:szCs w:val="18"/>
                <w:color w:val="auto"/>
              </w:rPr>
            </w:pPr>
          </w:p>
        </w:tc>
        <w:tc>
          <w:tcPr>
            <w:tcW w:w="1820" w:type="dxa"/>
            <w:vAlign w:val="bottom"/>
            <w:shd w:val="clear" w:color="auto" w:fill="CCEEFF"/>
          </w:tcPr>
          <w:p>
            <w:pPr>
              <w:jc w:val="right"/>
              <w:ind w:right="890"/>
              <w:spacing w:after="0"/>
              <w:rPr>
                <w:sz w:val="20"/>
                <w:szCs w:val="20"/>
                <w:color w:val="auto"/>
              </w:rPr>
            </w:pPr>
            <w:r>
              <w:rPr>
                <w:rFonts w:ascii="Times New Roman" w:cs="Times New Roman" w:eastAsia="Times New Roman" w:hAnsi="Times New Roman"/>
                <w:sz w:val="18"/>
                <w:szCs w:val="18"/>
                <w:color w:val="auto"/>
              </w:rPr>
              <w:t>(2.5)</w:t>
            </w:r>
          </w:p>
        </w:tc>
        <w:tc>
          <w:tcPr>
            <w:tcW w:w="5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20" w:type="dxa"/>
            <w:vAlign w:val="bottom"/>
          </w:tcPr>
          <w:p>
            <w:pPr>
              <w:spacing w:after="0"/>
              <w:rPr>
                <w:sz w:val="20"/>
                <w:szCs w:val="20"/>
                <w:color w:val="auto"/>
              </w:rPr>
            </w:pPr>
            <w:r>
              <w:rPr>
                <w:rFonts w:ascii="Times New Roman" w:cs="Times New Roman" w:eastAsia="Times New Roman" w:hAnsi="Times New Roman"/>
                <w:sz w:val="18"/>
                <w:szCs w:val="18"/>
                <w:color w:val="auto"/>
              </w:rPr>
              <w:t>Dividends paid</w:t>
            </w:r>
          </w:p>
        </w:tc>
        <w:tc>
          <w:tcPr>
            <w:tcW w:w="1260" w:type="dxa"/>
            <w:vAlign w:val="bottom"/>
          </w:tcPr>
          <w:p>
            <w:pPr>
              <w:spacing w:after="0"/>
              <w:rPr>
                <w:sz w:val="18"/>
                <w:szCs w:val="18"/>
                <w:color w:val="auto"/>
              </w:rPr>
            </w:pPr>
          </w:p>
        </w:tc>
        <w:tc>
          <w:tcPr>
            <w:tcW w:w="1820" w:type="dxa"/>
            <w:vAlign w:val="bottom"/>
          </w:tcPr>
          <w:p>
            <w:pPr>
              <w:jc w:val="right"/>
              <w:ind w:right="890"/>
              <w:spacing w:after="0"/>
              <w:rPr>
                <w:sz w:val="20"/>
                <w:szCs w:val="20"/>
                <w:color w:val="auto"/>
              </w:rPr>
            </w:pPr>
            <w:r>
              <w:rPr>
                <w:rFonts w:ascii="Times New Roman" w:cs="Times New Roman" w:eastAsia="Times New Roman" w:hAnsi="Times New Roman"/>
                <w:sz w:val="18"/>
                <w:szCs w:val="18"/>
                <w:color w:val="auto"/>
              </w:rPr>
              <w:t>(115.8)</w:t>
            </w:r>
          </w:p>
        </w:tc>
        <w:tc>
          <w:tcPr>
            <w:tcW w:w="5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 repurchases</w:t>
            </w:r>
          </w:p>
        </w:tc>
        <w:tc>
          <w:tcPr>
            <w:tcW w:w="1260" w:type="dxa"/>
            <w:vAlign w:val="bottom"/>
            <w:shd w:val="clear" w:color="auto" w:fill="CCEEFF"/>
          </w:tcPr>
          <w:p>
            <w:pPr>
              <w:spacing w:after="0"/>
              <w:rPr>
                <w:sz w:val="18"/>
                <w:szCs w:val="18"/>
                <w:color w:val="auto"/>
              </w:rPr>
            </w:pPr>
          </w:p>
        </w:tc>
        <w:tc>
          <w:tcPr>
            <w:tcW w:w="1820" w:type="dxa"/>
            <w:vAlign w:val="bottom"/>
            <w:shd w:val="clear" w:color="auto" w:fill="CCEEFF"/>
          </w:tcPr>
          <w:p>
            <w:pPr>
              <w:jc w:val="right"/>
              <w:ind w:right="890"/>
              <w:spacing w:after="0"/>
              <w:rPr>
                <w:sz w:val="20"/>
                <w:szCs w:val="20"/>
                <w:color w:val="auto"/>
              </w:rPr>
            </w:pPr>
            <w:r>
              <w:rPr>
                <w:rFonts w:ascii="Times New Roman" w:cs="Times New Roman" w:eastAsia="Times New Roman" w:hAnsi="Times New Roman"/>
                <w:sz w:val="18"/>
                <w:szCs w:val="18"/>
                <w:color w:val="auto"/>
              </w:rPr>
              <w:t>(104.8)</w:t>
            </w:r>
          </w:p>
        </w:tc>
        <w:tc>
          <w:tcPr>
            <w:tcW w:w="5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20" w:type="dxa"/>
            <w:vAlign w:val="bottom"/>
          </w:tcPr>
          <w:p>
            <w:pPr>
              <w:spacing w:after="0"/>
              <w:rPr>
                <w:sz w:val="20"/>
                <w:szCs w:val="20"/>
                <w:color w:val="auto"/>
              </w:rPr>
            </w:pPr>
            <w:r>
              <w:rPr>
                <w:rFonts w:ascii="Times New Roman" w:cs="Times New Roman" w:eastAsia="Times New Roman" w:hAnsi="Times New Roman"/>
                <w:sz w:val="18"/>
                <w:szCs w:val="18"/>
                <w:color w:val="auto"/>
              </w:rPr>
              <w:t>Proceeds from exercises of stock options, net</w:t>
            </w:r>
          </w:p>
        </w:tc>
        <w:tc>
          <w:tcPr>
            <w:tcW w:w="1260" w:type="dxa"/>
            <w:vAlign w:val="bottom"/>
          </w:tcPr>
          <w:p>
            <w:pPr>
              <w:spacing w:after="0"/>
              <w:rPr>
                <w:sz w:val="18"/>
                <w:szCs w:val="18"/>
                <w:color w:val="auto"/>
              </w:rPr>
            </w:pPr>
          </w:p>
        </w:tc>
        <w:tc>
          <w:tcPr>
            <w:tcW w:w="1820" w:type="dxa"/>
            <w:vAlign w:val="bottom"/>
          </w:tcPr>
          <w:p>
            <w:pPr>
              <w:jc w:val="right"/>
              <w:ind w:right="950"/>
              <w:spacing w:after="0"/>
              <w:rPr>
                <w:sz w:val="20"/>
                <w:szCs w:val="20"/>
                <w:color w:val="auto"/>
              </w:rPr>
            </w:pPr>
            <w:r>
              <w:rPr>
                <w:rFonts w:ascii="Times New Roman" w:cs="Times New Roman" w:eastAsia="Times New Roman" w:hAnsi="Times New Roman"/>
                <w:sz w:val="18"/>
                <w:szCs w:val="18"/>
                <w:color w:val="auto"/>
              </w:rPr>
              <w:t>17.7</w:t>
            </w:r>
          </w:p>
        </w:tc>
        <w:tc>
          <w:tcPr>
            <w:tcW w:w="580" w:type="dxa"/>
            <w:vAlign w:val="bottom"/>
          </w:tcPr>
          <w:p>
            <w:pPr>
              <w:spacing w:after="0"/>
              <w:rPr>
                <w:sz w:val="18"/>
                <w:szCs w:val="18"/>
                <w:color w:val="auto"/>
              </w:rPr>
            </w:pPr>
          </w:p>
        </w:tc>
        <w:tc>
          <w:tcPr>
            <w:tcW w:w="8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2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Tax withholding for and excess tax benefit from stock-based compensation, net</w:t>
            </w:r>
          </w:p>
        </w:tc>
        <w:tc>
          <w:tcPr>
            <w:tcW w:w="1260" w:type="dxa"/>
            <w:vAlign w:val="bottom"/>
            <w:tcBorders>
              <w:bottom w:val="single" w:sz="8" w:color="auto"/>
            </w:tcBorders>
            <w:shd w:val="clear" w:color="auto" w:fill="CCEEFF"/>
          </w:tcPr>
          <w:p>
            <w:pPr>
              <w:spacing w:after="0"/>
              <w:rPr>
                <w:sz w:val="18"/>
                <w:szCs w:val="18"/>
                <w:color w:val="auto"/>
              </w:rPr>
            </w:pPr>
          </w:p>
        </w:tc>
        <w:tc>
          <w:tcPr>
            <w:tcW w:w="1820" w:type="dxa"/>
            <w:vAlign w:val="bottom"/>
            <w:tcBorders>
              <w:bottom w:val="single" w:sz="8" w:color="auto"/>
            </w:tcBorders>
            <w:shd w:val="clear" w:color="auto" w:fill="CCEEFF"/>
          </w:tcPr>
          <w:p>
            <w:pPr>
              <w:jc w:val="right"/>
              <w:ind w:right="890"/>
              <w:spacing w:after="0"/>
              <w:rPr>
                <w:sz w:val="20"/>
                <w:szCs w:val="20"/>
                <w:color w:val="auto"/>
              </w:rPr>
            </w:pPr>
            <w:r>
              <w:rPr>
                <w:rFonts w:ascii="Times New Roman" w:cs="Times New Roman" w:eastAsia="Times New Roman" w:hAnsi="Times New Roman"/>
                <w:sz w:val="18"/>
                <w:szCs w:val="18"/>
                <w:color w:val="auto"/>
              </w:rPr>
              <w:t>(20.3)</w:t>
            </w:r>
          </w:p>
        </w:tc>
        <w:tc>
          <w:tcPr>
            <w:tcW w:w="58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9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Net cash provided by financing activities</w:t>
            </w:r>
          </w:p>
        </w:tc>
        <w:tc>
          <w:tcPr>
            <w:tcW w:w="1260" w:type="dxa"/>
            <w:vAlign w:val="bottom"/>
            <w:tcBorders>
              <w:bottom w:val="single" w:sz="8" w:color="auto"/>
            </w:tcBorders>
          </w:tcPr>
          <w:p>
            <w:pPr>
              <w:spacing w:after="0"/>
              <w:rPr>
                <w:sz w:val="18"/>
                <w:szCs w:val="18"/>
                <w:color w:val="auto"/>
              </w:rPr>
            </w:pPr>
          </w:p>
        </w:tc>
        <w:tc>
          <w:tcPr>
            <w:tcW w:w="1820" w:type="dxa"/>
            <w:vAlign w:val="bottom"/>
            <w:tcBorders>
              <w:bottom w:val="single" w:sz="8" w:color="auto"/>
            </w:tcBorders>
          </w:tcPr>
          <w:p>
            <w:pPr>
              <w:jc w:val="right"/>
              <w:ind w:right="950"/>
              <w:spacing w:after="0"/>
              <w:rPr>
                <w:sz w:val="20"/>
                <w:szCs w:val="20"/>
                <w:color w:val="auto"/>
              </w:rPr>
            </w:pPr>
            <w:r>
              <w:rPr>
                <w:rFonts w:ascii="Times New Roman" w:cs="Times New Roman" w:eastAsia="Times New Roman" w:hAnsi="Times New Roman"/>
                <w:sz w:val="18"/>
                <w:szCs w:val="18"/>
                <w:color w:val="auto"/>
              </w:rPr>
              <w:t>80.8</w:t>
            </w:r>
          </w:p>
        </w:tc>
        <w:tc>
          <w:tcPr>
            <w:tcW w:w="58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11.4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9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8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40" w:right="239" w:bottom="0" w:gutter="0" w:footer="0" w:header="0"/>
        </w:sectPr>
      </w:pPr>
    </w:p>
    <w:bookmarkStart w:id="4" w:name="page5"/>
    <w:bookmarkEnd w:id="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9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Effect of foreign currency translation on cash balances</w:t>
            </w:r>
          </w:p>
        </w:tc>
        <w:tc>
          <w:tcPr>
            <w:tcW w:w="236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color w:val="auto"/>
              </w:rPr>
              <w:t>9.9</w:t>
            </w:r>
          </w:p>
        </w:tc>
        <w:tc>
          <w:tcPr>
            <w:tcW w:w="100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w:t>
            </w:r>
          </w:p>
        </w:tc>
      </w:tr>
      <w:tr>
        <w:trPr>
          <w:trHeight w:val="210"/>
        </w:trPr>
        <w:tc>
          <w:tcPr>
            <w:tcW w:w="5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Increase in cash and cash equivalents</w:t>
            </w:r>
          </w:p>
        </w:tc>
        <w:tc>
          <w:tcPr>
            <w:tcW w:w="2360" w:type="dxa"/>
            <w:vAlign w:val="bottom"/>
            <w:shd w:val="clear" w:color="auto" w:fill="CCEEFF"/>
          </w:tcPr>
          <w:p>
            <w:pPr>
              <w:spacing w:after="0"/>
              <w:rPr>
                <w:sz w:val="18"/>
                <w:szCs w:val="18"/>
                <w:color w:val="auto"/>
              </w:rPr>
            </w:pPr>
          </w:p>
        </w:tc>
        <w:tc>
          <w:tcPr>
            <w:tcW w:w="1360" w:type="dxa"/>
            <w:vAlign w:val="bottom"/>
            <w:shd w:val="clear" w:color="auto" w:fill="CCEEFF"/>
          </w:tcPr>
          <w:p>
            <w:pPr>
              <w:jc w:val="right"/>
              <w:ind w:right="570"/>
              <w:spacing w:after="0"/>
              <w:rPr>
                <w:sz w:val="20"/>
                <w:szCs w:val="20"/>
                <w:color w:val="auto"/>
              </w:rPr>
            </w:pPr>
            <w:r>
              <w:rPr>
                <w:rFonts w:ascii="Times New Roman" w:cs="Times New Roman" w:eastAsia="Times New Roman" w:hAnsi="Times New Roman"/>
                <w:sz w:val="18"/>
                <w:szCs w:val="18"/>
                <w:color w:val="auto"/>
              </w:rPr>
              <w:t>37.2</w:t>
            </w:r>
          </w:p>
        </w:tc>
        <w:tc>
          <w:tcPr>
            <w:tcW w:w="100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30.6</w:t>
            </w:r>
          </w:p>
        </w:tc>
      </w:tr>
      <w:tr>
        <w:trPr>
          <w:trHeight w:val="216"/>
        </w:trPr>
        <w:tc>
          <w:tcPr>
            <w:tcW w:w="59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Cash and cash equivalents, beginning of year</w:t>
            </w:r>
          </w:p>
        </w:tc>
        <w:tc>
          <w:tcPr>
            <w:tcW w:w="236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color w:val="auto"/>
              </w:rPr>
              <w:t>195.1</w:t>
            </w:r>
          </w:p>
        </w:tc>
        <w:tc>
          <w:tcPr>
            <w:tcW w:w="10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158.8</w:t>
            </w:r>
          </w:p>
        </w:tc>
      </w:tr>
      <w:tr>
        <w:trPr>
          <w:trHeight w:val="217"/>
        </w:trPr>
        <w:tc>
          <w:tcPr>
            <w:tcW w:w="592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 end of period</w:t>
            </w:r>
          </w:p>
        </w:tc>
        <w:tc>
          <w:tcPr>
            <w:tcW w:w="236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bottom w:val="single" w:sz="8" w:color="auto"/>
            </w:tcBorders>
            <w:shd w:val="clear" w:color="auto" w:fill="CCEEFF"/>
          </w:tcPr>
          <w:p>
            <w:pPr>
              <w:jc w:val="right"/>
              <w:ind w:right="570"/>
              <w:spacing w:after="0"/>
              <w:rPr>
                <w:sz w:val="20"/>
                <w:szCs w:val="20"/>
                <w:color w:val="auto"/>
              </w:rPr>
            </w:pPr>
            <w:r>
              <w:rPr>
                <w:rFonts w:ascii="Times New Roman" w:cs="Times New Roman" w:eastAsia="Times New Roman" w:hAnsi="Times New Roman"/>
                <w:sz w:val="18"/>
                <w:szCs w:val="18"/>
                <w:color w:val="auto"/>
              </w:rPr>
              <w:t>232.3</w:t>
            </w:r>
          </w:p>
        </w:tc>
        <w:tc>
          <w:tcPr>
            <w:tcW w:w="100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189.4</w:t>
            </w: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Notes to Unaudited Condensed Consolidated Financial Statements</w:t>
      </w:r>
    </w:p>
    <w:p>
      <w:pPr>
        <w:spacing w:after="0" w:line="22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w:anchor="page1">
        <w:r>
          <w:rPr>
            <w:rFonts w:ascii="Times New Roman" w:cs="Times New Roman" w:eastAsia="Times New Roman" w:hAnsi="Times New Roman"/>
            <w:sz w:val="18"/>
            <w:szCs w:val="18"/>
            <w:u w:val="single" w:color="auto"/>
            <w:color w:val="0000EE"/>
          </w:rPr>
          <w:t>Table of Contents</w:t>
        </w:r>
      </w:hyperlink>
    </w:p>
    <w:p>
      <w:pPr>
        <w:spacing w:after="0" w:line="22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Avery Dennison Corporation</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NOTES TO UNAUDITED CONDENSED CONSOLIDATED FINANCIAL STATEMENTS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 General</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unaudited Condensed Consolidated Financial Statements and notes in this Quarterly Report on Form 10-Q are presented as permitted by Article 10 of Regulation S-X and do not contain certain information included in the audited Consolidated Financial Statements and notes thereto in our 2016 Annual Report on Form 10-K, which should be read in conjunction with this Quarterly Report on Form 10-Q. The accompanying unaudited Condensed Consolidated Financial Statements include normal recurring adjustments necessary for a fair statement of our interim results. Interim results of operations are not necessarily indicative of future results.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Fiscal Periods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three and nine months ended September 30, 2017 and October 1, 2016 each consisted of thirteen-week and thirty-nine-week periods, respectively.</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Accounting Guidance Update</w:t>
      </w:r>
    </w:p>
    <w:p>
      <w:pPr>
        <w:spacing w:after="0" w:line="31"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In the first quarter of 2017, we adopted an accounting guidance update that simplifies several aspects of the accounting for stock-based payment transactions. As a result of adopting this update, beginning in the first quarter of 2017, (i) the tax effects related to stock-based payments at settlement or expiration were recognized through the income statement, a change from the previous requirement that certain tax effects be recognized in capital in excess of par value, and, as required by this guidance, this change was applied prospectively, and (ii) all tax-related cash flows resulting from stock-based payments were reported as operating activities on the statements of cash flows, a change from the previous requirement to present excess tax benefits as an inflow from financing activities and an outflow from operating activities, and, as permitted by this update, prior periods were not retrospectively adjusted. Refer to Note 8, “Long-Term Incentive Compensation and Supplemental Equity Information,” and Note 11, “Taxes Based on Income,” for further information.</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 Acquisitions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On June 23, 2017, we completed the stock acquisition of Yongle Tape Ltd. (“Yongle Tape”), a China-based manufacturer of specialty tapes and related products used in a variety of industrial markets, from Yongle Tape’s management and Shaw Kwei &amp; Partners.</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On May 19, 2017, we completed the stock acquisition of Finesse Medical Limited (“Finesse Medical”), an Ireland-based manufacturer of healthcare products used in the management of wound care and skin conditions, from Finesse Medical’s management.</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March 1, 2017, we completed the net asset acquisition of Hanita Coatings Rural Cooperative Association Limited and stock acquisition of certain of its subsidiaries (“Hanita”), an Israel-based pressure-sensitive manufacturer of specialty films and laminates, from Kibbutz Hanita Coatings and Tene Investment Funds.</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expect the acquisitions of Yongle Tape, Finesse Medical, and Hanita (collectively, the “2017 Acquisitions”) to expand our product portfolio and provide new growth opportunities.</w:t>
      </w:r>
    </w:p>
    <w:p>
      <w:pPr>
        <w:spacing w:after="0" w:line="16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aggregate purchase consideration for these acquisitions, which is subject to customary post-closing adjustments, was approximately $344 million. This included $15 million of payments based on Yongle Tape’s achievement of certain pre-acquisition performance targets. The payments for the 2017 Acquisitions were funded through cash and existing credit facilities. In addition to the cash paid at the closing of the 2017 Acquisitions, certain sellers are eligible for earn-out payments of up to approximately $45 million related to the achievement of certain performance targets for 2017 and 2018. Based on our current estimates, we have accrued approximately $38 million for these additional earn-out payments, which has been included in the $344 million of aggregate purchase consideration.</w:t>
      </w:r>
    </w:p>
    <w:p>
      <w:pPr>
        <w:spacing w:after="0" w:line="18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Consistent with the allowable time to complete our assessment, the valuations of certain acquired assets and liabilities, including tangible and intangible assets, environmental liabilities and income taxes, are currently pending.</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2017 Acquisitions were not material, individually or in the aggregate, to our unaudited Condensed Consolidated Financial Statements.</w:t>
      </w:r>
    </w:p>
    <w:p>
      <w:pPr>
        <w:spacing w:after="0" w:line="22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w:anchor="page1">
        <w:r>
          <w:rPr>
            <w:rFonts w:ascii="Times New Roman" w:cs="Times New Roman" w:eastAsia="Times New Roman" w:hAnsi="Times New Roman"/>
            <w:sz w:val="18"/>
            <w:szCs w:val="18"/>
            <w:u w:val="single" w:color="auto"/>
            <w:color w:val="0000EE"/>
          </w:rPr>
          <w:t>Table of Contents</w:t>
        </w:r>
      </w:hyperlink>
    </w:p>
    <w:p>
      <w:pPr>
        <w:spacing w:after="0" w:line="22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Avery Dennison Corporation</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3. Inventories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Net inventories consisted of:</w:t>
      </w:r>
    </w:p>
    <w:p>
      <w:pPr>
        <w:spacing w:after="0" w:line="96" w:lineRule="exact"/>
        <w:rPr>
          <w:sz w:val="20"/>
          <w:szCs w:val="20"/>
          <w:color w:val="auto"/>
        </w:rPr>
      </w:pPr>
    </w:p>
    <w:p>
      <w:pPr>
        <w:spacing w:after="0"/>
        <w:tabs>
          <w:tab w:leader="none" w:pos="7460" w:val="left"/>
          <w:tab w:leader="none" w:pos="9840" w:val="left"/>
        </w:tabs>
        <w:rPr>
          <w:sz w:val="20"/>
          <w:szCs w:val="20"/>
          <w:color w:val="auto"/>
        </w:rPr>
      </w:pPr>
      <w:r>
        <w:rPr>
          <w:rFonts w:ascii="Times New Roman" w:cs="Times New Roman" w:eastAsia="Times New Roman" w:hAnsi="Times New Roman"/>
          <w:sz w:val="28"/>
          <w:szCs w:val="28"/>
          <w:color w:val="auto"/>
          <w:vertAlign w:val="subscript"/>
        </w:rPr>
        <w:t>(In millions)</w:t>
      </w:r>
      <w:r>
        <w:rPr>
          <w:sz w:val="20"/>
          <w:szCs w:val="20"/>
          <w:color w:val="auto"/>
        </w:rPr>
        <w:tab/>
      </w:r>
      <w:r>
        <w:rPr>
          <w:rFonts w:ascii="Times New Roman" w:cs="Times New Roman" w:eastAsia="Times New Roman" w:hAnsi="Times New Roman"/>
          <w:sz w:val="18"/>
          <w:szCs w:val="18"/>
          <w:b w:val="1"/>
          <w:bCs w:val="1"/>
          <w:color w:val="auto"/>
        </w:rPr>
        <w:t>September 30, 2017</w:t>
      </w:r>
      <w:r>
        <w:rPr>
          <w:sz w:val="20"/>
          <w:szCs w:val="20"/>
          <w:color w:val="auto"/>
        </w:rPr>
        <w:tab/>
      </w:r>
      <w:r>
        <w:rPr>
          <w:rFonts w:ascii="Times New Roman" w:cs="Times New Roman" w:eastAsia="Times New Roman" w:hAnsi="Times New Roman"/>
          <w:sz w:val="18"/>
          <w:szCs w:val="18"/>
          <w:b w:val="1"/>
          <w:bCs w:val="1"/>
          <w:color w:val="auto"/>
        </w:rPr>
        <w:t>December 31, 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26670</wp:posOffset>
            </wp:positionV>
            <wp:extent cx="7246620" cy="10477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104775"/>
                    </a:xfrm>
                    <a:prstGeom prst="rect">
                      <a:avLst/>
                    </a:prstGeom>
                    <a:noFill/>
                  </pic:spPr>
                </pic:pic>
              </a:graphicData>
            </a:graphic>
          </wp:anchor>
        </w:drawing>
      </w:r>
    </w:p>
    <w:p>
      <w:pPr>
        <w:sectPr>
          <w:pgSz w:w="11900" w:h="16838" w:orient="portrait"/>
          <w:cols w:equalWidth="0" w:num="1">
            <w:col w:w="11420"/>
          </w:cols>
          <w:pgMar w:left="240" w:top="121" w:right="239" w:bottom="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216"/>
        </w:trPr>
        <w:tc>
          <w:tcPr>
            <w:tcW w:w="4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Raw materials</w:t>
            </w:r>
          </w:p>
        </w:tc>
        <w:tc>
          <w:tcPr>
            <w:tcW w:w="370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rPr>
              <w:t>222.1</w:t>
            </w:r>
          </w:p>
        </w:tc>
        <w:tc>
          <w:tcPr>
            <w:tcW w:w="1000" w:type="dxa"/>
            <w:vAlign w:val="bottom"/>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185.0</w:t>
            </w:r>
          </w:p>
        </w:tc>
      </w:tr>
      <w:tr>
        <w:trPr>
          <w:trHeight w:val="216"/>
        </w:trPr>
        <w:tc>
          <w:tcPr>
            <w:tcW w:w="4480" w:type="dxa"/>
            <w:vAlign w:val="bottom"/>
          </w:tcPr>
          <w:p>
            <w:pPr>
              <w:spacing w:after="0"/>
              <w:rPr>
                <w:sz w:val="20"/>
                <w:szCs w:val="20"/>
                <w:color w:val="auto"/>
              </w:rPr>
            </w:pPr>
            <w:r>
              <w:rPr>
                <w:rFonts w:ascii="Times New Roman" w:cs="Times New Roman" w:eastAsia="Times New Roman" w:hAnsi="Times New Roman"/>
                <w:sz w:val="18"/>
                <w:szCs w:val="18"/>
                <w:color w:val="auto"/>
              </w:rPr>
              <w:t>Work-in-progress</w:t>
            </w:r>
          </w:p>
        </w:tc>
        <w:tc>
          <w:tcPr>
            <w:tcW w:w="3700" w:type="dxa"/>
            <w:vAlign w:val="bottom"/>
          </w:tcPr>
          <w:p>
            <w:pPr>
              <w:spacing w:after="0"/>
              <w:rPr>
                <w:sz w:val="18"/>
                <w:szCs w:val="18"/>
                <w:color w:val="auto"/>
              </w:rPr>
            </w:pPr>
          </w:p>
        </w:tc>
        <w:tc>
          <w:tcPr>
            <w:tcW w:w="128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rPr>
              <w:t>182.6</w:t>
            </w:r>
          </w:p>
        </w:tc>
        <w:tc>
          <w:tcPr>
            <w:tcW w:w="1000" w:type="dxa"/>
            <w:vAlign w:val="bottom"/>
          </w:tcPr>
          <w:p>
            <w:pPr>
              <w:spacing w:after="0"/>
              <w:rPr>
                <w:sz w:val="18"/>
                <w:szCs w:val="18"/>
                <w:color w:val="auto"/>
              </w:rPr>
            </w:pPr>
          </w:p>
        </w:tc>
        <w:tc>
          <w:tcPr>
            <w:tcW w:w="9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156.8</w:t>
            </w:r>
          </w:p>
        </w:tc>
      </w:tr>
      <w:tr>
        <w:trPr>
          <w:trHeight w:val="216"/>
        </w:trPr>
        <w:tc>
          <w:tcPr>
            <w:tcW w:w="448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Finished goods</w:t>
            </w:r>
          </w:p>
        </w:tc>
        <w:tc>
          <w:tcPr>
            <w:tcW w:w="370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rPr>
              <w:t>215.3</w:t>
            </w:r>
          </w:p>
        </w:tc>
        <w:tc>
          <w:tcPr>
            <w:tcW w:w="100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177.3</w:t>
            </w:r>
          </w:p>
        </w:tc>
      </w:tr>
      <w:tr>
        <w:trPr>
          <w:trHeight w:val="217"/>
        </w:trPr>
        <w:tc>
          <w:tcPr>
            <w:tcW w:w="44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Inventories, net</w:t>
            </w:r>
          </w:p>
        </w:tc>
        <w:tc>
          <w:tcPr>
            <w:tcW w:w="370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color w:val="auto"/>
              </w:rPr>
              <w:t>620.0</w:t>
            </w:r>
          </w:p>
        </w:tc>
        <w:tc>
          <w:tcPr>
            <w:tcW w:w="100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519.1</w:t>
            </w:r>
          </w:p>
        </w:tc>
      </w:tr>
    </w:tbl>
    <w:p>
      <w:pPr>
        <w:spacing w:after="0" w:line="19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Note 4. Goodwill and Other Intangibles Resulting from Business Acquisitions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Goodwill</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Changes in the net carrying amount of goodwill for the nine months ended September 30, 2017, by reportable segment, were as follows: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6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160" w:type="dxa"/>
            <w:vAlign w:val="bottom"/>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Label and</w:t>
            </w:r>
          </w:p>
        </w:tc>
        <w:tc>
          <w:tcPr>
            <w:tcW w:w="1900" w:type="dxa"/>
            <w:vAlign w:val="bottom"/>
            <w:gridSpan w:val="2"/>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Retail Branding</w:t>
            </w:r>
          </w:p>
        </w:tc>
        <w:tc>
          <w:tcPr>
            <w:tcW w:w="1800" w:type="dxa"/>
            <w:vAlign w:val="bottom"/>
            <w:gridSpan w:val="2"/>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Industrial and</w:t>
            </w:r>
          </w:p>
        </w:tc>
        <w:tc>
          <w:tcPr>
            <w:tcW w:w="740" w:type="dxa"/>
            <w:vAlign w:val="bottom"/>
          </w:tcPr>
          <w:p>
            <w:pPr>
              <w:spacing w:after="0"/>
              <w:rPr>
                <w:sz w:val="18"/>
                <w:szCs w:val="18"/>
                <w:color w:val="auto"/>
              </w:rPr>
            </w:pPr>
          </w:p>
        </w:tc>
        <w:tc>
          <w:tcPr>
            <w:tcW w:w="840" w:type="dxa"/>
            <w:vAlign w:val="bottom"/>
          </w:tcPr>
          <w:p>
            <w:pPr>
              <w:spacing w:after="0"/>
              <w:rPr>
                <w:sz w:val="18"/>
                <w:szCs w:val="18"/>
                <w:color w:val="auto"/>
              </w:rPr>
            </w:pPr>
          </w:p>
        </w:tc>
      </w:tr>
      <w:tr>
        <w:trPr>
          <w:trHeight w:val="216"/>
        </w:trPr>
        <w:tc>
          <w:tcPr>
            <w:tcW w:w="36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160" w:type="dxa"/>
            <w:vAlign w:val="bottom"/>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Graphic</w:t>
            </w:r>
          </w:p>
        </w:tc>
        <w:tc>
          <w:tcPr>
            <w:tcW w:w="1900" w:type="dxa"/>
            <w:vAlign w:val="bottom"/>
            <w:gridSpan w:val="2"/>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and Information</w:t>
            </w:r>
          </w:p>
        </w:tc>
        <w:tc>
          <w:tcPr>
            <w:tcW w:w="520" w:type="dxa"/>
            <w:vAlign w:val="bottom"/>
          </w:tcPr>
          <w:p>
            <w:pPr>
              <w:spacing w:after="0"/>
              <w:rPr>
                <w:sz w:val="18"/>
                <w:szCs w:val="18"/>
                <w:color w:val="auto"/>
              </w:rPr>
            </w:pPr>
          </w:p>
        </w:tc>
        <w:tc>
          <w:tcPr>
            <w:tcW w:w="1280" w:type="dxa"/>
            <w:vAlign w:val="bottom"/>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Healthcare</w:t>
            </w:r>
          </w:p>
        </w:tc>
        <w:tc>
          <w:tcPr>
            <w:tcW w:w="740" w:type="dxa"/>
            <w:vAlign w:val="bottom"/>
          </w:tcPr>
          <w:p>
            <w:pPr>
              <w:spacing w:after="0"/>
              <w:rPr>
                <w:sz w:val="18"/>
                <w:szCs w:val="18"/>
                <w:color w:val="auto"/>
              </w:rPr>
            </w:pPr>
          </w:p>
        </w:tc>
        <w:tc>
          <w:tcPr>
            <w:tcW w:w="840" w:type="dxa"/>
            <w:vAlign w:val="bottom"/>
          </w:tcPr>
          <w:p>
            <w:pPr>
              <w:spacing w:after="0"/>
              <w:rPr>
                <w:sz w:val="18"/>
                <w:szCs w:val="18"/>
                <w:color w:val="auto"/>
              </w:rPr>
            </w:pPr>
          </w:p>
        </w:tc>
      </w:tr>
      <w:tr>
        <w:trPr>
          <w:trHeight w:val="238"/>
        </w:trPr>
        <w:tc>
          <w:tcPr>
            <w:tcW w:w="36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(In millions)</w:t>
            </w:r>
          </w:p>
        </w:tc>
        <w:tc>
          <w:tcPr>
            <w:tcW w:w="130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Materials</w:t>
            </w:r>
          </w:p>
        </w:tc>
        <w:tc>
          <w:tcPr>
            <w:tcW w:w="74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Solutions</w:t>
            </w:r>
          </w:p>
        </w:tc>
        <w:tc>
          <w:tcPr>
            <w:tcW w:w="52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Materials</w:t>
            </w:r>
          </w:p>
        </w:tc>
        <w:tc>
          <w:tcPr>
            <w:tcW w:w="74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10"/>
        </w:trPr>
        <w:tc>
          <w:tcPr>
            <w:tcW w:w="3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Goodwill as of December 31, 2016</w:t>
            </w:r>
          </w:p>
        </w:tc>
        <w:tc>
          <w:tcPr>
            <w:tcW w:w="13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373.3</w:t>
            </w:r>
          </w:p>
        </w:tc>
        <w:tc>
          <w:tcPr>
            <w:tcW w:w="7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353.9</w:t>
            </w:r>
          </w:p>
        </w:tc>
        <w:tc>
          <w:tcPr>
            <w:tcW w:w="5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66.4</w:t>
            </w:r>
          </w:p>
        </w:tc>
        <w:tc>
          <w:tcPr>
            <w:tcW w:w="74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793.6</w:t>
            </w:r>
          </w:p>
        </w:tc>
      </w:tr>
      <w:tr>
        <w:trPr>
          <w:trHeight w:val="216"/>
        </w:trPr>
        <w:tc>
          <w:tcPr>
            <w:tcW w:w="3680" w:type="dxa"/>
            <w:vAlign w:val="bottom"/>
          </w:tcPr>
          <w:p>
            <w:pPr>
              <w:spacing w:after="0" w:line="216" w:lineRule="exact"/>
              <w:rPr>
                <w:sz w:val="20"/>
                <w:szCs w:val="20"/>
                <w:color w:val="auto"/>
              </w:rPr>
            </w:pPr>
            <w:r>
              <w:rPr>
                <w:rFonts w:ascii="Times New Roman" w:cs="Times New Roman" w:eastAsia="Times New Roman" w:hAnsi="Times New Roman"/>
                <w:sz w:val="18"/>
                <w:szCs w:val="18"/>
                <w:color w:val="auto"/>
              </w:rPr>
              <w:t>2017 Acquisitions</w:t>
            </w:r>
            <w:r>
              <w:rPr>
                <w:rFonts w:ascii="Times New Roman" w:cs="Times New Roman" w:eastAsia="Times New Roman" w:hAnsi="Times New Roman"/>
                <w:sz w:val="23"/>
                <w:szCs w:val="23"/>
                <w:color w:val="auto"/>
                <w:vertAlign w:val="superscript"/>
              </w:rPr>
              <w:t>(1)</w:t>
            </w:r>
          </w:p>
        </w:tc>
        <w:tc>
          <w:tcPr>
            <w:tcW w:w="1300" w:type="dxa"/>
            <w:vAlign w:val="bottom"/>
          </w:tcPr>
          <w:p>
            <w:pPr>
              <w:spacing w:after="0"/>
              <w:rPr>
                <w:sz w:val="18"/>
                <w:szCs w:val="18"/>
                <w:color w:val="auto"/>
              </w:rPr>
            </w:pPr>
          </w:p>
        </w:tc>
        <w:tc>
          <w:tcPr>
            <w:tcW w:w="116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20.8</w:t>
            </w:r>
          </w:p>
        </w:tc>
        <w:tc>
          <w:tcPr>
            <w:tcW w:w="740" w:type="dxa"/>
            <w:vAlign w:val="bottom"/>
          </w:tcPr>
          <w:p>
            <w:pPr>
              <w:spacing w:after="0"/>
              <w:rPr>
                <w:sz w:val="18"/>
                <w:szCs w:val="18"/>
                <w:color w:val="auto"/>
              </w:rPr>
            </w:pPr>
          </w:p>
        </w:tc>
        <w:tc>
          <w:tcPr>
            <w:tcW w:w="116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spacing w:after="0"/>
              <w:rPr>
                <w:sz w:val="18"/>
                <w:szCs w:val="18"/>
                <w:color w:val="auto"/>
              </w:rPr>
            </w:pPr>
          </w:p>
        </w:tc>
        <w:tc>
          <w:tcPr>
            <w:tcW w:w="128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114.8</w:t>
            </w:r>
          </w:p>
        </w:tc>
        <w:tc>
          <w:tcPr>
            <w:tcW w:w="740" w:type="dxa"/>
            <w:vAlign w:val="bottom"/>
          </w:tcPr>
          <w:p>
            <w:pPr>
              <w:spacing w:after="0"/>
              <w:rPr>
                <w:sz w:val="18"/>
                <w:szCs w:val="18"/>
                <w:color w:val="auto"/>
              </w:rPr>
            </w:pPr>
          </w:p>
        </w:tc>
        <w:tc>
          <w:tcPr>
            <w:tcW w:w="8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135.6</w:t>
            </w:r>
          </w:p>
        </w:tc>
      </w:tr>
      <w:tr>
        <w:trPr>
          <w:trHeight w:val="216"/>
        </w:trPr>
        <w:tc>
          <w:tcPr>
            <w:tcW w:w="3680" w:type="dxa"/>
            <w:vAlign w:val="bottom"/>
            <w:shd w:val="clear" w:color="auto" w:fill="CCEEFF"/>
          </w:tcPr>
          <w:p>
            <w:pPr>
              <w:spacing w:after="0" w:line="216" w:lineRule="exact"/>
              <w:rPr>
                <w:sz w:val="20"/>
                <w:szCs w:val="20"/>
                <w:color w:val="auto"/>
              </w:rPr>
            </w:pPr>
            <w:r>
              <w:rPr>
                <w:rFonts w:ascii="Times New Roman" w:cs="Times New Roman" w:eastAsia="Times New Roman" w:hAnsi="Times New Roman"/>
                <w:sz w:val="18"/>
                <w:szCs w:val="18"/>
                <w:color w:val="auto"/>
              </w:rPr>
              <w:t>Acquisition adjustments</w:t>
            </w:r>
            <w:r>
              <w:rPr>
                <w:rFonts w:ascii="Times New Roman" w:cs="Times New Roman" w:eastAsia="Times New Roman" w:hAnsi="Times New Roman"/>
                <w:sz w:val="23"/>
                <w:szCs w:val="23"/>
                <w:color w:val="auto"/>
                <w:vertAlign w:val="superscript"/>
              </w:rPr>
              <w:t>(2)</w:t>
            </w:r>
          </w:p>
        </w:tc>
        <w:tc>
          <w:tcPr>
            <w:tcW w:w="130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5.0</w:t>
            </w:r>
          </w:p>
        </w:tc>
        <w:tc>
          <w:tcPr>
            <w:tcW w:w="74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.7</w:t>
            </w:r>
          </w:p>
        </w:tc>
        <w:tc>
          <w:tcPr>
            <w:tcW w:w="74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5.7</w:t>
            </w:r>
          </w:p>
        </w:tc>
      </w:tr>
      <w:tr>
        <w:trPr>
          <w:trHeight w:val="216"/>
        </w:trPr>
        <w:tc>
          <w:tcPr>
            <w:tcW w:w="36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Translation adjustments</w:t>
            </w:r>
          </w:p>
        </w:tc>
        <w:tc>
          <w:tcPr>
            <w:tcW w:w="130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rPr>
              <w:t>35.6</w:t>
            </w:r>
          </w:p>
        </w:tc>
        <w:tc>
          <w:tcPr>
            <w:tcW w:w="7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2.7</w:t>
            </w:r>
          </w:p>
        </w:tc>
        <w:tc>
          <w:tcPr>
            <w:tcW w:w="52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rPr>
              <w:t>3.9</w:t>
            </w:r>
          </w:p>
        </w:tc>
        <w:tc>
          <w:tcPr>
            <w:tcW w:w="7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42.2</w:t>
            </w:r>
          </w:p>
        </w:tc>
      </w:tr>
      <w:tr>
        <w:trPr>
          <w:trHeight w:val="217"/>
        </w:trPr>
        <w:tc>
          <w:tcPr>
            <w:tcW w:w="368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Goodwill as of September 30, 2017</w:t>
            </w:r>
          </w:p>
        </w:tc>
        <w:tc>
          <w:tcPr>
            <w:tcW w:w="13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434.7</w:t>
            </w:r>
          </w:p>
        </w:tc>
        <w:tc>
          <w:tcPr>
            <w:tcW w:w="7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356.6</w:t>
            </w:r>
          </w:p>
        </w:tc>
        <w:tc>
          <w:tcPr>
            <w:tcW w:w="5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185.8</w:t>
            </w:r>
          </w:p>
        </w:tc>
        <w:tc>
          <w:tcPr>
            <w:tcW w:w="74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977.1</w:t>
            </w:r>
          </w:p>
        </w:tc>
      </w:tr>
    </w:tbl>
    <w:p>
      <w:pPr>
        <w:spacing w:after="0" w:line="13" w:lineRule="exact"/>
        <w:rPr>
          <w:sz w:val="20"/>
          <w:szCs w:val="20"/>
          <w:color w:val="auto"/>
        </w:rPr>
      </w:pPr>
    </w:p>
    <w:p>
      <w:pPr>
        <w:ind w:left="180" w:right="20" w:hanging="172"/>
        <w:spacing w:after="0" w:line="221" w:lineRule="auto"/>
        <w:tabs>
          <w:tab w:leader="none" w:pos="199" w:val="left"/>
        </w:tabs>
        <w:numPr>
          <w:ilvl w:val="0"/>
          <w:numId w:val="3"/>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6"/>
          <w:szCs w:val="16"/>
          <w:color w:val="auto"/>
        </w:rPr>
        <w:t>Goodwill acquired related to the acquisitions of Hanita, which is included in the Label and Graphic Materials reportable segment, and Finesse Medical and Yongle Tape, which are included in the Industrial and Healthcare Materials reportable segment.</w:t>
      </w:r>
    </w:p>
    <w:p>
      <w:pPr>
        <w:ind w:left="180" w:hanging="172"/>
        <w:spacing w:after="0" w:line="204" w:lineRule="auto"/>
        <w:tabs>
          <w:tab w:leader="none" w:pos="180" w:val="left"/>
        </w:tabs>
        <w:numPr>
          <w:ilvl w:val="0"/>
          <w:numId w:val="3"/>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6"/>
          <w:szCs w:val="16"/>
          <w:color w:val="auto"/>
        </w:rPr>
        <w:t>Goodwill purchase price allocation adjustments related to the acquisition of the European business of Mactac completed in August 2016.</w:t>
      </w:r>
    </w:p>
    <w:p>
      <w:pPr>
        <w:spacing w:after="0" w:line="205" w:lineRule="exact"/>
        <w:rPr>
          <w:sz w:val="20"/>
          <w:szCs w:val="20"/>
          <w:color w:val="auto"/>
        </w:rPr>
      </w:pPr>
    </w:p>
    <w:p>
      <w:pPr>
        <w:ind w:left="40"/>
        <w:spacing w:after="0" w:line="282" w:lineRule="auto"/>
        <w:rPr>
          <w:sz w:val="20"/>
          <w:szCs w:val="20"/>
          <w:color w:val="auto"/>
        </w:rPr>
      </w:pPr>
      <w:r>
        <w:rPr>
          <w:rFonts w:ascii="Times New Roman" w:cs="Times New Roman" w:eastAsia="Times New Roman" w:hAnsi="Times New Roman"/>
          <w:sz w:val="18"/>
          <w:szCs w:val="18"/>
          <w:color w:val="auto"/>
        </w:rPr>
        <w:t>The carrying amounts of goodwill at September 30, 2017 and December 31, 2016 were net of cumulative impairment losses of $820 million recognized in fiscal year 2009 by our Retail Branding and Information Solutions reportable segment.</w:t>
      </w:r>
    </w:p>
    <w:p>
      <w:pPr>
        <w:spacing w:after="0" w:line="16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In connection with the 2017 Acquisitions, we recognized goodwill based on our expectation of synergies and other benefits from acquiring these businesses.</w:t>
      </w:r>
    </w:p>
    <w:p>
      <w:pPr>
        <w:spacing w:after="0" w:line="2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We expect the majority of the recognized goodwill related to the Hanita acquisition to be deductible for income tax purposes.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Finite-Lived Intangible Assets</w:t>
      </w:r>
    </w:p>
    <w:p>
      <w:pPr>
        <w:spacing w:after="0" w:line="3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connection with the 2017 Acquisitions, we acquired approximately $111 million of identifiable intangible assets, which consisted of customer relationships, trade names and trademarks, and patents and other acquired technology. We utilized the income approach to estimate the fair values of the identifiable intangibles associated with the 2017 Acquisitions, using primarily Level 3 inputs. The discount rates we used to value these assets were between 10% and 16%.</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8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The table below summarizes the preliminary amounts and weighted useful lives of these intangible assets:</w:t>
            </w:r>
          </w:p>
        </w:tc>
        <w:tc>
          <w:tcPr>
            <w:tcW w:w="38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2040" w:type="dxa"/>
            <w:vAlign w:val="bottom"/>
          </w:tcPr>
          <w:p>
            <w:pPr>
              <w:spacing w:after="0"/>
              <w:rPr>
                <w:sz w:val="20"/>
                <w:szCs w:val="20"/>
                <w:color w:val="auto"/>
              </w:rPr>
            </w:pPr>
          </w:p>
        </w:tc>
      </w:tr>
      <w:tr>
        <w:trPr>
          <w:trHeight w:val="410"/>
        </w:trPr>
        <w:tc>
          <w:tcPr>
            <w:tcW w:w="78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04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Weighted-average</w:t>
            </w:r>
          </w:p>
        </w:tc>
      </w:tr>
      <w:tr>
        <w:trPr>
          <w:trHeight w:val="216"/>
        </w:trPr>
        <w:tc>
          <w:tcPr>
            <w:tcW w:w="78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60" w:type="dxa"/>
            <w:vAlign w:val="bottom"/>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204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amortization period</w:t>
            </w:r>
          </w:p>
        </w:tc>
      </w:tr>
      <w:tr>
        <w:trPr>
          <w:trHeight w:val="238"/>
        </w:trPr>
        <w:tc>
          <w:tcPr>
            <w:tcW w:w="7840" w:type="dxa"/>
            <w:vAlign w:val="bottom"/>
            <w:tcBorders>
              <w:bottom w:val="single" w:sz="8" w:color="auto"/>
            </w:tcBorders>
          </w:tcPr>
          <w:p>
            <w:pPr>
              <w:spacing w:after="0"/>
              <w:rPr>
                <w:sz w:val="20"/>
                <w:szCs w:val="20"/>
                <w:color w:val="auto"/>
              </w:rPr>
            </w:pPr>
          </w:p>
        </w:tc>
        <w:tc>
          <w:tcPr>
            <w:tcW w:w="1540" w:type="dxa"/>
            <w:vAlign w:val="bottom"/>
            <w:tcBorders>
              <w:bottom w:val="single" w:sz="8" w:color="auto"/>
            </w:tcBorders>
            <w:gridSpan w:val="2"/>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(in millions)</w:t>
            </w:r>
          </w:p>
        </w:tc>
        <w:tc>
          <w:tcPr>
            <w:tcW w:w="20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(in years)</w:t>
            </w:r>
          </w:p>
        </w:tc>
      </w:tr>
      <w:tr>
        <w:trPr>
          <w:trHeight w:val="210"/>
        </w:trPr>
        <w:tc>
          <w:tcPr>
            <w:tcW w:w="7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Customer relationships</w:t>
            </w:r>
          </w:p>
        </w:tc>
        <w:tc>
          <w:tcPr>
            <w:tcW w:w="38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74.3</w:t>
            </w:r>
          </w:p>
        </w:tc>
        <w:tc>
          <w:tcPr>
            <w:tcW w:w="20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15</w:t>
            </w:r>
          </w:p>
        </w:tc>
      </w:tr>
      <w:tr>
        <w:trPr>
          <w:trHeight w:val="216"/>
        </w:trPr>
        <w:tc>
          <w:tcPr>
            <w:tcW w:w="7840" w:type="dxa"/>
            <w:vAlign w:val="bottom"/>
          </w:tcPr>
          <w:p>
            <w:pPr>
              <w:spacing w:after="0"/>
              <w:rPr>
                <w:sz w:val="20"/>
                <w:szCs w:val="20"/>
                <w:color w:val="auto"/>
              </w:rPr>
            </w:pPr>
            <w:r>
              <w:rPr>
                <w:rFonts w:ascii="Times New Roman" w:cs="Times New Roman" w:eastAsia="Times New Roman" w:hAnsi="Times New Roman"/>
                <w:sz w:val="18"/>
                <w:szCs w:val="18"/>
                <w:color w:val="auto"/>
              </w:rPr>
              <w:t>Patents and other acquired technology</w:t>
            </w:r>
          </w:p>
        </w:tc>
        <w:tc>
          <w:tcPr>
            <w:tcW w:w="380" w:type="dxa"/>
            <w:vAlign w:val="bottom"/>
          </w:tcPr>
          <w:p>
            <w:pPr>
              <w:spacing w:after="0"/>
              <w:rPr>
                <w:sz w:val="18"/>
                <w:szCs w:val="18"/>
                <w:color w:val="auto"/>
              </w:rPr>
            </w:pPr>
          </w:p>
        </w:tc>
        <w:tc>
          <w:tcPr>
            <w:tcW w:w="116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32.2</w:t>
            </w:r>
          </w:p>
        </w:tc>
        <w:tc>
          <w:tcPr>
            <w:tcW w:w="20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9</w:t>
            </w:r>
          </w:p>
        </w:tc>
      </w:tr>
      <w:tr>
        <w:trPr>
          <w:trHeight w:val="223"/>
        </w:trPr>
        <w:tc>
          <w:tcPr>
            <w:tcW w:w="784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Trade names and trademarks</w:t>
            </w:r>
          </w:p>
        </w:tc>
        <w:tc>
          <w:tcPr>
            <w:tcW w:w="38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4.2</w:t>
            </w:r>
          </w:p>
        </w:tc>
        <w:tc>
          <w:tcPr>
            <w:tcW w:w="20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w:t>
            </w:r>
          </w:p>
        </w:tc>
      </w:tr>
    </w:tbl>
    <w:p>
      <w:pPr>
        <w:spacing w:after="0" w:line="19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Refer to Note 2, “Acquisitions,” for more information.</w:t>
      </w:r>
    </w:p>
    <w:p>
      <w:pPr>
        <w:spacing w:after="0" w:line="22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w:anchor="page1">
        <w:r>
          <w:rPr>
            <w:rFonts w:ascii="Times New Roman" w:cs="Times New Roman" w:eastAsia="Times New Roman" w:hAnsi="Times New Roman"/>
            <w:sz w:val="18"/>
            <w:szCs w:val="18"/>
            <w:u w:val="single" w:color="auto"/>
            <w:color w:val="0000EE"/>
          </w:rPr>
          <w:t>Table of Contents</w:t>
        </w:r>
      </w:hyperlink>
    </w:p>
    <w:p>
      <w:pPr>
        <w:spacing w:after="0" w:line="22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Avery Dennison Corporation</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5. Debt</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March 2017, we issued €500 million of senior notes, due March 2025. The senior notes bear an interest rate of 1.25% per year, payable annually in arrears. The net proceeds from the offering, after deducting underwriting discounts and estimated offering expenses, were $526.6 million (€495.5 million), a portion of which was used to repay commercial paper borrowings that we used to finance a portion of our acquisition of the European business of Mactac (“Mactac”) in August 2016 and the remainder of which was used for general corporate purposes, including acquisitions. We designated the senior notes as a net investment hedge of our investment in foreign operations. Refer to Note 10, “Financial Instruments,” for more information.</w:t>
      </w:r>
    </w:p>
    <w:p>
      <w:pPr>
        <w:spacing w:after="0" w:line="18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estimated fair value of our long-term debt is primarily based on the credit spread above U.S. Treasury or euro government bond securities, as applicable, on notes with similar rates, credit ratings, and remaining maturities. The fair value of short-term borrowings, which include commercial paper issuances and short-term lines of credit, approximates carrying value given the short duration of these obligations. The fair value of our total debt was $1.7 billion at September 30, 2017 and $1.31 billion at December 31, 2016. Fair value amounts were determined based primarily on Level 2 inputs, which are inputs other than quoted prices in active markets that are either directly or indirectly observable.</w:t>
      </w:r>
    </w:p>
    <w:p>
      <w:pPr>
        <w:spacing w:after="0" w:line="184"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Our $700 million revolving credit facility (the “Revolver”) contains financial covenants requiring that we maintain specified ratios of total debt and interest expense in relation to certain measures of income. As of September 30, 2017 and December 31, 2016, we were in compliance with our financial covenants.</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On October 2, 2017, subsequent to the end of the third quarter of 2017, we repaid $250 million of senior notes at maturity using commercial paper borrowings.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6. Pension and Other Postretirement Benefits</w:t>
      </w:r>
    </w:p>
    <w:p>
      <w:pPr>
        <w:sectPr>
          <w:pgSz w:w="11900" w:h="16838" w:orient="portrait"/>
          <w:cols w:equalWidth="0" w:num="1">
            <w:col w:w="11420"/>
          </w:cols>
          <w:pgMar w:left="240" w:top="140" w:right="239" w:bottom="0" w:gutter="0" w:footer="0" w:header="0"/>
        </w:sectPr>
      </w:pP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Defined Benefit Plans</w:t>
      </w:r>
    </w:p>
    <w:p>
      <w:pPr>
        <w:sectPr>
          <w:pgSz w:w="11900" w:h="16838" w:orient="portrait"/>
          <w:cols w:equalWidth="0" w:num="1">
            <w:col w:w="11420"/>
          </w:cols>
          <w:pgMar w:left="240" w:top="140" w:right="239" w:bottom="0" w:gutter="0" w:footer="0" w:header="0"/>
          <w:type w:val="continuous"/>
        </w:sectPr>
      </w:pPr>
    </w:p>
    <w:bookmarkStart w:id="6" w:name="page7"/>
    <w:bookmarkEnd w:id="6"/>
    <w:p>
      <w:pPr>
        <w:jc w:val="both"/>
        <w:ind w:right="60"/>
        <w:spacing w:after="0" w:line="266" w:lineRule="auto"/>
        <w:rPr>
          <w:sz w:val="20"/>
          <w:szCs w:val="20"/>
          <w:color w:val="auto"/>
        </w:rPr>
      </w:pPr>
      <w:r>
        <w:rPr>
          <w:rFonts w:ascii="Times New Roman" w:cs="Times New Roman" w:eastAsia="Times New Roman" w:hAnsi="Times New Roman"/>
          <w:sz w:val="18"/>
          <w:szCs w:val="18"/>
          <w:color w:val="auto"/>
        </w:rPr>
        <w:t>We sponsor a number of defined benefit plans, the accrual of benefits under some of which has been frozen, covering eligible employees in the U.S. and certain other countries. Benefits payable to an employee are based primarily on years of service and the employee’s compensation during the course of his or her employment with us.</w:t>
      </w:r>
    </w:p>
    <w:p>
      <w:pPr>
        <w:spacing w:after="0" w:line="176" w:lineRule="exact"/>
        <w:rPr>
          <w:sz w:val="20"/>
          <w:szCs w:val="20"/>
          <w:color w:val="auto"/>
        </w:rPr>
      </w:pPr>
    </w:p>
    <w:p>
      <w:pPr>
        <w:jc w:val="both"/>
        <w:ind w:right="40"/>
        <w:spacing w:after="0" w:line="282" w:lineRule="auto"/>
        <w:rPr>
          <w:sz w:val="20"/>
          <w:szCs w:val="20"/>
          <w:color w:val="auto"/>
        </w:rPr>
      </w:pPr>
      <w:r>
        <w:rPr>
          <w:rFonts w:ascii="Times New Roman" w:cs="Times New Roman" w:eastAsia="Times New Roman" w:hAnsi="Times New Roman"/>
          <w:sz w:val="18"/>
          <w:szCs w:val="18"/>
          <w:color w:val="auto"/>
        </w:rPr>
        <w:t>We are also obligated to pay unfunded termination indemnity benefits to certain employees outside of the U.S., which are subject to applicable agreements, laws and regulations. We have not incurred significant costs related to these benefits, and, therefore, no related costs are included in the disclosures below.</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sets forth the components of net periodic benefit cost (credit), which are recorded in income, for our defined benefit plans: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88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spacing w:after="0"/>
              <w:rPr>
                <w:sz w:val="20"/>
                <w:szCs w:val="20"/>
                <w:color w:val="auto"/>
              </w:rPr>
            </w:pPr>
          </w:p>
        </w:tc>
        <w:tc>
          <w:tcPr>
            <w:tcW w:w="154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8"/>
                <w:szCs w:val="18"/>
                <w:b w:val="1"/>
                <w:bCs w:val="1"/>
                <w:color w:val="auto"/>
              </w:rPr>
              <w:t>Pension Benefits</w:t>
            </w:r>
          </w:p>
        </w:tc>
        <w:tc>
          <w:tcPr>
            <w:tcW w:w="620" w:type="dxa"/>
            <w:vAlign w:val="bottom"/>
            <w:tcBorders>
              <w:bottom w:val="single" w:sz="8" w:color="auto"/>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spacing w:after="0"/>
              <w:rPr>
                <w:sz w:val="20"/>
                <w:szCs w:val="20"/>
                <w:color w:val="auto"/>
              </w:rPr>
            </w:pPr>
          </w:p>
        </w:tc>
      </w:tr>
      <w:tr>
        <w:trPr>
          <w:trHeight w:val="210"/>
        </w:trPr>
        <w:tc>
          <w:tcPr>
            <w:tcW w:w="288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c>
          <w:tcPr>
            <w:tcW w:w="2240" w:type="dxa"/>
            <w:vAlign w:val="bottom"/>
            <w:tcBorders>
              <w:bottom w:val="single" w:sz="8" w:color="auto"/>
            </w:tcBorders>
            <w:gridSpan w:val="4"/>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48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spacing w:after="0"/>
              <w:rPr>
                <w:sz w:val="18"/>
                <w:szCs w:val="18"/>
                <w:color w:val="auto"/>
              </w:rPr>
            </w:pPr>
          </w:p>
        </w:tc>
        <w:tc>
          <w:tcPr>
            <w:tcW w:w="2120" w:type="dxa"/>
            <w:vAlign w:val="bottom"/>
            <w:tcBorders>
              <w:bottom w:val="single" w:sz="8" w:color="auto"/>
            </w:tcBorders>
            <w:gridSpan w:val="4"/>
          </w:tcPr>
          <w:p>
            <w:pPr>
              <w:ind w:left="160"/>
              <w:spacing w:after="0"/>
              <w:rPr>
                <w:sz w:val="20"/>
                <w:szCs w:val="20"/>
                <w:color w:val="auto"/>
              </w:rPr>
            </w:pPr>
            <w:r>
              <w:rPr>
                <w:rFonts w:ascii="Times New Roman" w:cs="Times New Roman" w:eastAsia="Times New Roman" w:hAnsi="Times New Roman"/>
                <w:sz w:val="18"/>
                <w:szCs w:val="18"/>
                <w:b w:val="1"/>
                <w:bCs w:val="1"/>
                <w:color w:val="auto"/>
              </w:rPr>
              <w:t>Nine Months Ended</w:t>
            </w:r>
          </w:p>
        </w:tc>
        <w:tc>
          <w:tcPr>
            <w:tcW w:w="36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r>
      <w:tr>
        <w:trPr>
          <w:trHeight w:val="210"/>
        </w:trPr>
        <w:tc>
          <w:tcPr>
            <w:tcW w:w="2880" w:type="dxa"/>
            <w:vAlign w:val="bottom"/>
          </w:tcPr>
          <w:p>
            <w:pPr>
              <w:spacing w:after="0"/>
              <w:rPr>
                <w:sz w:val="18"/>
                <w:szCs w:val="18"/>
                <w:color w:val="auto"/>
              </w:rPr>
            </w:pPr>
          </w:p>
        </w:tc>
        <w:tc>
          <w:tcPr>
            <w:tcW w:w="2220" w:type="dxa"/>
            <w:vAlign w:val="bottom"/>
            <w:tcBorders>
              <w:bottom w:val="single" w:sz="8" w:color="auto"/>
            </w:tcBorders>
            <w:gridSpan w:val="4"/>
          </w:tcPr>
          <w:p>
            <w:pPr>
              <w:ind w:left="220"/>
              <w:spacing w:after="0"/>
              <w:rPr>
                <w:sz w:val="20"/>
                <w:szCs w:val="20"/>
                <w:color w:val="auto"/>
              </w:rPr>
            </w:pPr>
            <w:r>
              <w:rPr>
                <w:rFonts w:ascii="Times New Roman" w:cs="Times New Roman" w:eastAsia="Times New Roman" w:hAnsi="Times New Roman"/>
                <w:sz w:val="18"/>
                <w:szCs w:val="18"/>
                <w:b w:val="1"/>
                <w:bCs w:val="1"/>
                <w:color w:val="auto"/>
              </w:rPr>
              <w:t>September 30, 2017</w:t>
            </w:r>
          </w:p>
        </w:tc>
        <w:tc>
          <w:tcPr>
            <w:tcW w:w="32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October 1, 2016</w:t>
            </w:r>
          </w:p>
        </w:tc>
        <w:tc>
          <w:tcPr>
            <w:tcW w:w="36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2180" w:type="dxa"/>
            <w:vAlign w:val="bottom"/>
            <w:tcBorders>
              <w:bottom w:val="single" w:sz="8" w:color="auto"/>
            </w:tcBorders>
            <w:gridSpan w:val="4"/>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September 30, 2017</w:t>
            </w:r>
          </w:p>
        </w:tc>
        <w:tc>
          <w:tcPr>
            <w:tcW w:w="280" w:type="dxa"/>
            <w:vAlign w:val="bottom"/>
            <w:tcBorders>
              <w:bottom w:val="single" w:sz="8" w:color="auto"/>
            </w:tcBorders>
          </w:tcPr>
          <w:p>
            <w:pPr>
              <w:spacing w:after="0"/>
              <w:rPr>
                <w:sz w:val="18"/>
                <w:szCs w:val="18"/>
                <w:color w:val="auto"/>
              </w:rPr>
            </w:pPr>
          </w:p>
        </w:tc>
        <w:tc>
          <w:tcPr>
            <w:tcW w:w="1700" w:type="dxa"/>
            <w:vAlign w:val="bottom"/>
            <w:tcBorders>
              <w:bottom w:val="single" w:sz="8" w:color="auto"/>
            </w:tcBorders>
            <w:gridSpan w:val="3"/>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October 1, 2016</w:t>
            </w:r>
          </w:p>
        </w:tc>
      </w:tr>
      <w:tr>
        <w:trPr>
          <w:trHeight w:val="210"/>
        </w:trPr>
        <w:tc>
          <w:tcPr>
            <w:tcW w:w="28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(In millions)</w:t>
            </w:r>
          </w:p>
        </w:tc>
        <w:tc>
          <w:tcPr>
            <w:tcW w:w="38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U.S.</w:t>
            </w:r>
          </w:p>
        </w:tc>
        <w:tc>
          <w:tcPr>
            <w:tcW w:w="46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Int’l</w:t>
            </w:r>
          </w:p>
        </w:tc>
        <w:tc>
          <w:tcPr>
            <w:tcW w:w="3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U.S.</w:t>
            </w:r>
          </w:p>
        </w:tc>
        <w:tc>
          <w:tcPr>
            <w:tcW w:w="48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w w:val="99"/>
              </w:rPr>
              <w:t>Int’l</w:t>
            </w:r>
          </w:p>
        </w:tc>
        <w:tc>
          <w:tcPr>
            <w:tcW w:w="48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U.S.</w:t>
            </w:r>
          </w:p>
        </w:tc>
        <w:tc>
          <w:tcPr>
            <w:tcW w:w="36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Int’l</w:t>
            </w:r>
          </w:p>
        </w:tc>
        <w:tc>
          <w:tcPr>
            <w:tcW w:w="28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U.S.</w:t>
            </w:r>
          </w:p>
        </w:tc>
        <w:tc>
          <w:tcPr>
            <w:tcW w:w="36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Int’l</w:t>
            </w:r>
          </w:p>
        </w:tc>
      </w:tr>
      <w:tr>
        <w:trPr>
          <w:trHeight w:val="210"/>
        </w:trPr>
        <w:tc>
          <w:tcPr>
            <w:tcW w:w="2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Service cost</w:t>
            </w:r>
          </w:p>
        </w:tc>
        <w:tc>
          <w:tcPr>
            <w:tcW w:w="3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4.6</w:t>
            </w: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.1</w:t>
            </w:r>
          </w:p>
        </w:tc>
        <w:tc>
          <w:tcPr>
            <w:tcW w:w="4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3.5</w:t>
            </w:r>
          </w:p>
        </w:tc>
        <w:tc>
          <w:tcPr>
            <w:tcW w:w="48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.3</w:t>
            </w:r>
          </w:p>
        </w:tc>
        <w:tc>
          <w:tcPr>
            <w:tcW w:w="3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13.4</w:t>
            </w: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.3</w:t>
            </w:r>
          </w:p>
        </w:tc>
        <w:tc>
          <w:tcPr>
            <w:tcW w:w="3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10.4</w:t>
            </w:r>
          </w:p>
        </w:tc>
      </w:tr>
      <w:tr>
        <w:trPr>
          <w:trHeight w:val="216"/>
        </w:trPr>
        <w:tc>
          <w:tcPr>
            <w:tcW w:w="2880" w:type="dxa"/>
            <w:vAlign w:val="bottom"/>
          </w:tcPr>
          <w:p>
            <w:pPr>
              <w:spacing w:after="0"/>
              <w:rPr>
                <w:sz w:val="20"/>
                <w:szCs w:val="20"/>
                <w:color w:val="auto"/>
              </w:rPr>
            </w:pPr>
            <w:r>
              <w:rPr>
                <w:rFonts w:ascii="Times New Roman" w:cs="Times New Roman" w:eastAsia="Times New Roman" w:hAnsi="Times New Roman"/>
                <w:sz w:val="18"/>
                <w:szCs w:val="18"/>
                <w:color w:val="auto"/>
              </w:rPr>
              <w:t>Interest cost</w:t>
            </w:r>
          </w:p>
        </w:tc>
        <w:tc>
          <w:tcPr>
            <w:tcW w:w="380" w:type="dxa"/>
            <w:vAlign w:val="bottom"/>
          </w:tcPr>
          <w:p>
            <w:pPr>
              <w:spacing w:after="0"/>
              <w:rPr>
                <w:sz w:val="18"/>
                <w:szCs w:val="18"/>
                <w:color w:val="auto"/>
              </w:rPr>
            </w:pPr>
          </w:p>
        </w:tc>
        <w:tc>
          <w:tcPr>
            <w:tcW w:w="7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8.1</w:t>
            </w:r>
          </w:p>
        </w:tc>
        <w:tc>
          <w:tcPr>
            <w:tcW w:w="460" w:type="dxa"/>
            <w:vAlign w:val="bottom"/>
          </w:tcPr>
          <w:p>
            <w:pPr>
              <w:spacing w:after="0"/>
              <w:rPr>
                <w:sz w:val="18"/>
                <w:szCs w:val="18"/>
                <w:color w:val="auto"/>
              </w:rPr>
            </w:pPr>
          </w:p>
        </w:tc>
        <w:tc>
          <w:tcPr>
            <w:tcW w:w="6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3.7</w:t>
            </w:r>
          </w:p>
        </w:tc>
        <w:tc>
          <w:tcPr>
            <w:tcW w:w="320" w:type="dxa"/>
            <w:vAlign w:val="bottom"/>
          </w:tcPr>
          <w:p>
            <w:pPr>
              <w:spacing w:after="0"/>
              <w:rPr>
                <w:sz w:val="18"/>
                <w:szCs w:val="18"/>
                <w:color w:val="auto"/>
              </w:rPr>
            </w:pPr>
          </w:p>
        </w:tc>
        <w:tc>
          <w:tcPr>
            <w:tcW w:w="7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8.1</w:t>
            </w:r>
          </w:p>
        </w:tc>
        <w:tc>
          <w:tcPr>
            <w:tcW w:w="480" w:type="dxa"/>
            <w:vAlign w:val="bottom"/>
          </w:tcPr>
          <w:p>
            <w:pPr>
              <w:spacing w:after="0"/>
              <w:rPr>
                <w:sz w:val="18"/>
                <w:szCs w:val="18"/>
                <w:color w:val="auto"/>
              </w:rPr>
            </w:pPr>
          </w:p>
        </w:tc>
        <w:tc>
          <w:tcPr>
            <w:tcW w:w="5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4.1</w:t>
            </w:r>
          </w:p>
        </w:tc>
        <w:tc>
          <w:tcPr>
            <w:tcW w:w="480" w:type="dxa"/>
            <w:vAlign w:val="bottom"/>
          </w:tcPr>
          <w:p>
            <w:pPr>
              <w:spacing w:after="0"/>
              <w:rPr>
                <w:sz w:val="18"/>
                <w:szCs w:val="18"/>
                <w:color w:val="auto"/>
              </w:rPr>
            </w:pPr>
          </w:p>
        </w:tc>
        <w:tc>
          <w:tcPr>
            <w:tcW w:w="62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26.2</w:t>
            </w:r>
          </w:p>
        </w:tc>
        <w:tc>
          <w:tcPr>
            <w:tcW w:w="360" w:type="dxa"/>
            <w:vAlign w:val="bottom"/>
          </w:tcPr>
          <w:p>
            <w:pPr>
              <w:spacing w:after="0"/>
              <w:rPr>
                <w:sz w:val="18"/>
                <w:szCs w:val="18"/>
                <w:color w:val="auto"/>
              </w:rPr>
            </w:pPr>
          </w:p>
        </w:tc>
        <w:tc>
          <w:tcPr>
            <w:tcW w:w="72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10.6</w:t>
            </w:r>
          </w:p>
        </w:tc>
        <w:tc>
          <w:tcPr>
            <w:tcW w:w="280" w:type="dxa"/>
            <w:vAlign w:val="bottom"/>
          </w:tcPr>
          <w:p>
            <w:pPr>
              <w:spacing w:after="0"/>
              <w:rPr>
                <w:sz w:val="18"/>
                <w:szCs w:val="18"/>
                <w:color w:val="auto"/>
              </w:rPr>
            </w:pPr>
          </w:p>
        </w:tc>
        <w:tc>
          <w:tcPr>
            <w:tcW w:w="7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26.4</w:t>
            </w:r>
          </w:p>
        </w:tc>
        <w:tc>
          <w:tcPr>
            <w:tcW w:w="360" w:type="dxa"/>
            <w:vAlign w:val="bottom"/>
          </w:tcPr>
          <w:p>
            <w:pPr>
              <w:spacing w:after="0"/>
              <w:rPr>
                <w:sz w:val="18"/>
                <w:szCs w:val="18"/>
                <w:color w:val="auto"/>
              </w:rPr>
            </w:pPr>
          </w:p>
        </w:tc>
        <w:tc>
          <w:tcPr>
            <w:tcW w:w="5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12.4</w:t>
            </w:r>
          </w:p>
        </w:tc>
      </w:tr>
      <w:tr>
        <w:trPr>
          <w:trHeight w:val="216"/>
        </w:trPr>
        <w:tc>
          <w:tcPr>
            <w:tcW w:w="2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Actuarial loss</w:t>
            </w:r>
          </w:p>
        </w:tc>
        <w:tc>
          <w:tcPr>
            <w:tcW w:w="380" w:type="dxa"/>
            <w:vAlign w:val="bottom"/>
            <w:shd w:val="clear" w:color="auto" w:fill="CCEEFF"/>
          </w:tcPr>
          <w:p>
            <w:pPr>
              <w:spacing w:after="0"/>
              <w:rPr>
                <w:sz w:val="18"/>
                <w:szCs w:val="18"/>
                <w:color w:val="auto"/>
              </w:rPr>
            </w:pPr>
          </w:p>
        </w:tc>
        <w:tc>
          <w:tcPr>
            <w:tcW w:w="7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w:t>
            </w:r>
          </w:p>
        </w:tc>
        <w:tc>
          <w:tcPr>
            <w:tcW w:w="460" w:type="dxa"/>
            <w:vAlign w:val="bottom"/>
            <w:shd w:val="clear" w:color="auto" w:fill="CCEEFF"/>
          </w:tcPr>
          <w:p>
            <w:pPr>
              <w:spacing w:after="0"/>
              <w:rPr>
                <w:sz w:val="18"/>
                <w:szCs w:val="18"/>
                <w:color w:val="auto"/>
              </w:rPr>
            </w:pPr>
          </w:p>
        </w:tc>
        <w:tc>
          <w:tcPr>
            <w:tcW w:w="6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.7</w:t>
            </w:r>
          </w:p>
        </w:tc>
        <w:tc>
          <w:tcPr>
            <w:tcW w:w="48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shd w:val="clear" w:color="auto" w:fill="CCEEFF"/>
          </w:tcPr>
          <w:p>
            <w:pPr>
              <w:spacing w:after="0"/>
              <w:rPr>
                <w:sz w:val="18"/>
                <w:szCs w:val="18"/>
                <w:color w:val="auto"/>
              </w:rPr>
            </w:pPr>
          </w:p>
        </w:tc>
        <w:tc>
          <w:tcPr>
            <w:tcW w:w="62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1.1</w:t>
            </w:r>
          </w:p>
        </w:tc>
        <w:tc>
          <w:tcPr>
            <w:tcW w:w="360" w:type="dxa"/>
            <w:vAlign w:val="bottom"/>
            <w:shd w:val="clear" w:color="auto" w:fill="CCEEFF"/>
          </w:tcPr>
          <w:p>
            <w:pPr>
              <w:spacing w:after="0"/>
              <w:rPr>
                <w:sz w:val="18"/>
                <w:szCs w:val="18"/>
                <w:color w:val="auto"/>
              </w:rPr>
            </w:pPr>
          </w:p>
        </w:tc>
        <w:tc>
          <w:tcPr>
            <w:tcW w:w="72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2.4</w:t>
            </w:r>
          </w:p>
        </w:tc>
        <w:tc>
          <w:tcPr>
            <w:tcW w:w="360" w:type="dxa"/>
            <w:vAlign w:val="bottom"/>
            <w:shd w:val="clear" w:color="auto" w:fill="CCEEFF"/>
          </w:tcPr>
          <w:p>
            <w:pPr>
              <w:spacing w:after="0"/>
              <w:rPr>
                <w:sz w:val="18"/>
                <w:szCs w:val="18"/>
                <w:color w:val="auto"/>
              </w:rPr>
            </w:pPr>
          </w:p>
        </w:tc>
        <w:tc>
          <w:tcPr>
            <w:tcW w:w="5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2880" w:type="dxa"/>
            <w:vAlign w:val="bottom"/>
          </w:tcPr>
          <w:p>
            <w:pPr>
              <w:spacing w:after="0"/>
              <w:rPr>
                <w:sz w:val="20"/>
                <w:szCs w:val="20"/>
                <w:color w:val="auto"/>
              </w:rPr>
            </w:pPr>
            <w:r>
              <w:rPr>
                <w:rFonts w:ascii="Times New Roman" w:cs="Times New Roman" w:eastAsia="Times New Roman" w:hAnsi="Times New Roman"/>
                <w:sz w:val="18"/>
                <w:szCs w:val="18"/>
                <w:color w:val="auto"/>
              </w:rPr>
              <w:t>Expected return on plan assets</w:t>
            </w:r>
          </w:p>
        </w:tc>
        <w:tc>
          <w:tcPr>
            <w:tcW w:w="380" w:type="dxa"/>
            <w:vAlign w:val="bottom"/>
          </w:tcPr>
          <w:p>
            <w:pPr>
              <w:spacing w:after="0"/>
              <w:rPr>
                <w:sz w:val="18"/>
                <w:szCs w:val="18"/>
                <w:color w:val="auto"/>
              </w:rPr>
            </w:pPr>
          </w:p>
        </w:tc>
        <w:tc>
          <w:tcPr>
            <w:tcW w:w="70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(10.1)</w:t>
            </w:r>
          </w:p>
        </w:tc>
        <w:tc>
          <w:tcPr>
            <w:tcW w:w="460" w:type="dxa"/>
            <w:vAlign w:val="bottom"/>
          </w:tcPr>
          <w:p>
            <w:pPr>
              <w:spacing w:after="0"/>
              <w:rPr>
                <w:sz w:val="18"/>
                <w:szCs w:val="18"/>
                <w:color w:val="auto"/>
              </w:rPr>
            </w:pPr>
          </w:p>
        </w:tc>
        <w:tc>
          <w:tcPr>
            <w:tcW w:w="6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(5.4)</w:t>
            </w:r>
          </w:p>
        </w:tc>
        <w:tc>
          <w:tcPr>
            <w:tcW w:w="320" w:type="dxa"/>
            <w:vAlign w:val="bottom"/>
          </w:tcPr>
          <w:p>
            <w:pPr>
              <w:spacing w:after="0"/>
              <w:rPr>
                <w:sz w:val="18"/>
                <w:szCs w:val="18"/>
                <w:color w:val="auto"/>
              </w:rPr>
            </w:pPr>
          </w:p>
        </w:tc>
        <w:tc>
          <w:tcPr>
            <w:tcW w:w="78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(10.4)</w:t>
            </w:r>
          </w:p>
        </w:tc>
        <w:tc>
          <w:tcPr>
            <w:tcW w:w="480" w:type="dxa"/>
            <w:vAlign w:val="bottom"/>
          </w:tcPr>
          <w:p>
            <w:pPr>
              <w:spacing w:after="0"/>
              <w:rPr>
                <w:sz w:val="18"/>
                <w:szCs w:val="18"/>
                <w:color w:val="auto"/>
              </w:rPr>
            </w:pPr>
          </w:p>
        </w:tc>
        <w:tc>
          <w:tcPr>
            <w:tcW w:w="5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(5.4)</w:t>
            </w:r>
          </w:p>
        </w:tc>
        <w:tc>
          <w:tcPr>
            <w:tcW w:w="480" w:type="dxa"/>
            <w:vAlign w:val="bottom"/>
          </w:tcPr>
          <w:p>
            <w:pPr>
              <w:spacing w:after="0"/>
              <w:rPr>
                <w:sz w:val="18"/>
                <w:szCs w:val="18"/>
                <w:color w:val="auto"/>
              </w:rPr>
            </w:pPr>
          </w:p>
        </w:tc>
        <w:tc>
          <w:tcPr>
            <w:tcW w:w="62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96"/>
              </w:rPr>
              <w:t>(30.4)</w:t>
            </w:r>
          </w:p>
        </w:tc>
        <w:tc>
          <w:tcPr>
            <w:tcW w:w="360" w:type="dxa"/>
            <w:vAlign w:val="bottom"/>
          </w:tcPr>
          <w:p>
            <w:pPr>
              <w:spacing w:after="0"/>
              <w:rPr>
                <w:sz w:val="18"/>
                <w:szCs w:val="18"/>
                <w:color w:val="auto"/>
              </w:rPr>
            </w:pPr>
          </w:p>
        </w:tc>
        <w:tc>
          <w:tcPr>
            <w:tcW w:w="72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(15.6)</w:t>
            </w:r>
          </w:p>
        </w:tc>
        <w:tc>
          <w:tcPr>
            <w:tcW w:w="280" w:type="dxa"/>
            <w:vAlign w:val="bottom"/>
          </w:tcPr>
          <w:p>
            <w:pPr>
              <w:spacing w:after="0"/>
              <w:rPr>
                <w:sz w:val="18"/>
                <w:szCs w:val="18"/>
                <w:color w:val="auto"/>
              </w:rPr>
            </w:pPr>
          </w:p>
        </w:tc>
        <w:tc>
          <w:tcPr>
            <w:tcW w:w="7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(32.3)</w:t>
            </w:r>
          </w:p>
        </w:tc>
        <w:tc>
          <w:tcPr>
            <w:tcW w:w="3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w:t>
            </w:r>
          </w:p>
        </w:tc>
      </w:tr>
      <w:tr>
        <w:trPr>
          <w:trHeight w:val="216"/>
        </w:trPr>
        <w:tc>
          <w:tcPr>
            <w:tcW w:w="2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Recognized net actuarial loss</w:t>
            </w:r>
          </w:p>
        </w:tc>
        <w:tc>
          <w:tcPr>
            <w:tcW w:w="380" w:type="dxa"/>
            <w:vAlign w:val="bottom"/>
            <w:shd w:val="clear" w:color="auto" w:fill="CCEEFF"/>
          </w:tcPr>
          <w:p>
            <w:pPr>
              <w:spacing w:after="0"/>
              <w:rPr>
                <w:sz w:val="18"/>
                <w:szCs w:val="18"/>
                <w:color w:val="auto"/>
              </w:rPr>
            </w:pPr>
          </w:p>
        </w:tc>
        <w:tc>
          <w:tcPr>
            <w:tcW w:w="7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4.7</w:t>
            </w:r>
          </w:p>
        </w:tc>
        <w:tc>
          <w:tcPr>
            <w:tcW w:w="460" w:type="dxa"/>
            <w:vAlign w:val="bottom"/>
            <w:shd w:val="clear" w:color="auto" w:fill="CCEEFF"/>
          </w:tcPr>
          <w:p>
            <w:pPr>
              <w:spacing w:after="0"/>
              <w:rPr>
                <w:sz w:val="18"/>
                <w:szCs w:val="18"/>
                <w:color w:val="auto"/>
              </w:rPr>
            </w:pPr>
          </w:p>
        </w:tc>
        <w:tc>
          <w:tcPr>
            <w:tcW w:w="6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2.8</w:t>
            </w:r>
          </w:p>
        </w:tc>
        <w:tc>
          <w:tcPr>
            <w:tcW w:w="32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4.9</w:t>
            </w:r>
          </w:p>
        </w:tc>
        <w:tc>
          <w:tcPr>
            <w:tcW w:w="48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1.7</w:t>
            </w:r>
          </w:p>
        </w:tc>
        <w:tc>
          <w:tcPr>
            <w:tcW w:w="480" w:type="dxa"/>
            <w:vAlign w:val="bottom"/>
            <w:shd w:val="clear" w:color="auto" w:fill="CCEEFF"/>
          </w:tcPr>
          <w:p>
            <w:pPr>
              <w:spacing w:after="0"/>
              <w:rPr>
                <w:sz w:val="18"/>
                <w:szCs w:val="18"/>
                <w:color w:val="auto"/>
              </w:rPr>
            </w:pPr>
          </w:p>
        </w:tc>
        <w:tc>
          <w:tcPr>
            <w:tcW w:w="62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14.1</w:t>
            </w:r>
          </w:p>
        </w:tc>
        <w:tc>
          <w:tcPr>
            <w:tcW w:w="360" w:type="dxa"/>
            <w:vAlign w:val="bottom"/>
            <w:shd w:val="clear" w:color="auto" w:fill="CCEEFF"/>
          </w:tcPr>
          <w:p>
            <w:pPr>
              <w:spacing w:after="0"/>
              <w:rPr>
                <w:sz w:val="18"/>
                <w:szCs w:val="18"/>
                <w:color w:val="auto"/>
              </w:rPr>
            </w:pPr>
          </w:p>
        </w:tc>
        <w:tc>
          <w:tcPr>
            <w:tcW w:w="72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8.0</w:t>
            </w:r>
          </w:p>
        </w:tc>
        <w:tc>
          <w:tcPr>
            <w:tcW w:w="28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14.1</w:t>
            </w:r>
          </w:p>
        </w:tc>
        <w:tc>
          <w:tcPr>
            <w:tcW w:w="360" w:type="dxa"/>
            <w:vAlign w:val="bottom"/>
            <w:shd w:val="clear" w:color="auto" w:fill="CCEEFF"/>
          </w:tcPr>
          <w:p>
            <w:pPr>
              <w:spacing w:after="0"/>
              <w:rPr>
                <w:sz w:val="18"/>
                <w:szCs w:val="18"/>
                <w:color w:val="auto"/>
              </w:rPr>
            </w:pPr>
          </w:p>
        </w:tc>
        <w:tc>
          <w:tcPr>
            <w:tcW w:w="5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5.3</w:t>
            </w:r>
          </w:p>
        </w:tc>
      </w:tr>
      <w:tr>
        <w:trPr>
          <w:trHeight w:val="198"/>
        </w:trPr>
        <w:tc>
          <w:tcPr>
            <w:tcW w:w="288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Amortization of prior service cost</w:t>
            </w:r>
          </w:p>
        </w:tc>
        <w:tc>
          <w:tcPr>
            <w:tcW w:w="3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580" w:type="dxa"/>
            <w:vAlign w:val="bottom"/>
          </w:tcPr>
          <w:p>
            <w:pPr>
              <w:spacing w:after="0"/>
              <w:rPr>
                <w:sz w:val="17"/>
                <w:szCs w:val="17"/>
                <w:color w:val="auto"/>
              </w:rPr>
            </w:pPr>
          </w:p>
        </w:tc>
      </w:tr>
      <w:tr>
        <w:trPr>
          <w:trHeight w:val="234"/>
        </w:trPr>
        <w:tc>
          <w:tcPr>
            <w:tcW w:w="28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(credit)</w:t>
            </w:r>
          </w:p>
        </w:tc>
        <w:tc>
          <w:tcPr>
            <w:tcW w:w="380" w:type="dxa"/>
            <w:vAlign w:val="bottom"/>
          </w:tcPr>
          <w:p>
            <w:pPr>
              <w:spacing w:after="0"/>
              <w:rPr>
                <w:sz w:val="20"/>
                <w:szCs w:val="20"/>
                <w:color w:val="auto"/>
              </w:rPr>
            </w:pPr>
          </w:p>
        </w:tc>
        <w:tc>
          <w:tcPr>
            <w:tcW w:w="7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.3</w:t>
            </w:r>
          </w:p>
        </w:tc>
        <w:tc>
          <w:tcPr>
            <w:tcW w:w="460" w:type="dxa"/>
            <w:vAlign w:val="bottom"/>
          </w:tcPr>
          <w:p>
            <w:pPr>
              <w:spacing w:after="0"/>
              <w:rPr>
                <w:sz w:val="20"/>
                <w:szCs w:val="20"/>
                <w:color w:val="auto"/>
              </w:rPr>
            </w:pPr>
          </w:p>
        </w:tc>
        <w:tc>
          <w:tcPr>
            <w:tcW w:w="6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w:t>
            </w:r>
          </w:p>
        </w:tc>
        <w:tc>
          <w:tcPr>
            <w:tcW w:w="320" w:type="dxa"/>
            <w:vAlign w:val="bottom"/>
          </w:tcPr>
          <w:p>
            <w:pPr>
              <w:spacing w:after="0"/>
              <w:rPr>
                <w:sz w:val="20"/>
                <w:szCs w:val="20"/>
                <w:color w:val="auto"/>
              </w:rPr>
            </w:pPr>
          </w:p>
        </w:tc>
        <w:tc>
          <w:tcPr>
            <w:tcW w:w="7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.3</w:t>
            </w:r>
          </w:p>
        </w:tc>
        <w:tc>
          <w:tcPr>
            <w:tcW w:w="480" w:type="dxa"/>
            <w:vAlign w:val="bottom"/>
          </w:tcPr>
          <w:p>
            <w:pPr>
              <w:spacing w:after="0"/>
              <w:rPr>
                <w:sz w:val="20"/>
                <w:szCs w:val="20"/>
                <w:color w:val="auto"/>
              </w:rPr>
            </w:pPr>
          </w:p>
        </w:tc>
        <w:tc>
          <w:tcPr>
            <w:tcW w:w="5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Pr>
          <w:p>
            <w:pPr>
              <w:spacing w:after="0"/>
              <w:rPr>
                <w:sz w:val="20"/>
                <w:szCs w:val="20"/>
                <w:color w:val="auto"/>
              </w:rPr>
            </w:pPr>
          </w:p>
        </w:tc>
        <w:tc>
          <w:tcPr>
            <w:tcW w:w="62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.7</w:t>
            </w:r>
          </w:p>
        </w:tc>
        <w:tc>
          <w:tcPr>
            <w:tcW w:w="360" w:type="dxa"/>
            <w:vAlign w:val="bottom"/>
          </w:tcPr>
          <w:p>
            <w:pPr>
              <w:spacing w:after="0"/>
              <w:rPr>
                <w:sz w:val="20"/>
                <w:szCs w:val="20"/>
                <w:color w:val="auto"/>
              </w:rPr>
            </w:pPr>
          </w:p>
        </w:tc>
        <w:tc>
          <w:tcPr>
            <w:tcW w:w="72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(.3)</w:t>
            </w:r>
          </w:p>
        </w:tc>
        <w:tc>
          <w:tcPr>
            <w:tcW w:w="280" w:type="dxa"/>
            <w:vAlign w:val="bottom"/>
          </w:tcPr>
          <w:p>
            <w:pPr>
              <w:spacing w:after="0"/>
              <w:rPr>
                <w:sz w:val="20"/>
                <w:szCs w:val="20"/>
                <w:color w:val="auto"/>
              </w:rPr>
            </w:pPr>
          </w:p>
        </w:tc>
        <w:tc>
          <w:tcPr>
            <w:tcW w:w="7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.9</w:t>
            </w:r>
          </w:p>
        </w:tc>
        <w:tc>
          <w:tcPr>
            <w:tcW w:w="36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16"/>
        </w:trPr>
        <w:tc>
          <w:tcPr>
            <w:tcW w:w="2880" w:type="dxa"/>
            <w:vAlign w:val="bottom"/>
            <w:tcBorders>
              <w:bottom w:val="single" w:sz="8" w:color="auto"/>
            </w:tcBorders>
            <w:shd w:val="clear" w:color="auto" w:fill="CCEEFF"/>
          </w:tcPr>
          <w:p>
            <w:pPr>
              <w:spacing w:after="0" w:line="216" w:lineRule="exact"/>
              <w:rPr>
                <w:sz w:val="20"/>
                <w:szCs w:val="20"/>
                <w:color w:val="auto"/>
              </w:rPr>
            </w:pPr>
            <w:r>
              <w:rPr>
                <w:rFonts w:ascii="Times New Roman" w:cs="Times New Roman" w:eastAsia="Times New Roman" w:hAnsi="Times New Roman"/>
                <w:sz w:val="18"/>
                <w:szCs w:val="18"/>
                <w:color w:val="auto"/>
              </w:rPr>
              <w:t>Recognized loss on settlements</w:t>
            </w:r>
            <w:r>
              <w:rPr>
                <w:rFonts w:ascii="Times New Roman" w:cs="Times New Roman" w:eastAsia="Times New Roman" w:hAnsi="Times New Roman"/>
                <w:sz w:val="23"/>
                <w:szCs w:val="23"/>
                <w:color w:val="auto"/>
                <w:vertAlign w:val="superscript"/>
              </w:rPr>
              <w:t>(1)</w:t>
            </w:r>
          </w:p>
        </w:tc>
        <w:tc>
          <w:tcPr>
            <w:tcW w:w="38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41.4</w:t>
            </w:r>
          </w:p>
        </w:tc>
        <w:tc>
          <w:tcPr>
            <w:tcW w:w="36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28"/>
        </w:trPr>
        <w:tc>
          <w:tcPr>
            <w:tcW w:w="2880" w:type="dxa"/>
            <w:vAlign w:val="bottom"/>
          </w:tcPr>
          <w:p>
            <w:pPr>
              <w:spacing w:after="0"/>
              <w:rPr>
                <w:sz w:val="20"/>
                <w:szCs w:val="20"/>
                <w:color w:val="auto"/>
              </w:rPr>
            </w:pPr>
            <w:r>
              <w:rPr>
                <w:rFonts w:ascii="Times New Roman" w:cs="Times New Roman" w:eastAsia="Times New Roman" w:hAnsi="Times New Roman"/>
                <w:sz w:val="18"/>
                <w:szCs w:val="18"/>
                <w:color w:val="auto"/>
              </w:rPr>
              <w:t>Net periodic benefit cost</w:t>
            </w:r>
          </w:p>
        </w:tc>
        <w:tc>
          <w:tcPr>
            <w:tcW w:w="3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3.3</w:t>
            </w: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5.6</w:t>
            </w: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3.7</w:t>
            </w:r>
          </w:p>
        </w:tc>
        <w:tc>
          <w:tcPr>
            <w:tcW w:w="4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3.9</w:t>
            </w:r>
          </w:p>
        </w:tc>
        <w:tc>
          <w:tcPr>
            <w:tcW w:w="48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12.0</w:t>
            </w:r>
          </w:p>
        </w:tc>
        <w:tc>
          <w:tcPr>
            <w:tcW w:w="3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16.1</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53.2</w:t>
            </w:r>
          </w:p>
        </w:tc>
        <w:tc>
          <w:tcPr>
            <w:tcW w:w="3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11.8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jc w:val="both"/>
        <w:ind w:left="180" w:right="40" w:hanging="161"/>
        <w:spacing w:after="0" w:line="236" w:lineRule="auto"/>
        <w:rPr>
          <w:sz w:val="20"/>
          <w:szCs w:val="20"/>
          <w:color w:val="auto"/>
        </w:rPr>
      </w:pPr>
      <w:r>
        <w:rPr>
          <w:rFonts w:ascii="Times New Roman" w:cs="Times New Roman" w:eastAsia="Times New Roman" w:hAnsi="Times New Roman"/>
          <w:sz w:val="23"/>
          <w:szCs w:val="23"/>
          <w:color w:val="auto"/>
          <w:vertAlign w:val="superscript"/>
        </w:rPr>
        <w:t>(1)</w:t>
      </w:r>
      <w:r>
        <w:rPr>
          <w:rFonts w:ascii="Times New Roman" w:cs="Times New Roman" w:eastAsia="Times New Roman" w:hAnsi="Times New Roman"/>
          <w:sz w:val="16"/>
          <w:szCs w:val="16"/>
          <w:color w:val="auto"/>
        </w:rPr>
        <w:t>In the second quarter of 2016, we recognized loss on settlements related to the Avery Dennison Pension Plan, our U.S. pension plan, as a result of lump-sum pension payments to eligible former employees who were vested participants in the plan. The loss on settlements was recorded in “Other expense, net” in the unaudited Condensed Consolidated Statements of Income.</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200" w:type="dxa"/>
            <w:vAlign w:val="bottom"/>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spacing w:after="0"/>
              <w:rPr>
                <w:sz w:val="20"/>
                <w:szCs w:val="20"/>
                <w:color w:val="auto"/>
              </w:rPr>
            </w:pPr>
          </w:p>
        </w:tc>
        <w:tc>
          <w:tcPr>
            <w:tcW w:w="4140" w:type="dxa"/>
            <w:vAlign w:val="bottom"/>
            <w:tcBorders>
              <w:bottom w:val="single" w:sz="8" w:color="auto"/>
            </w:tcBorders>
            <w:gridSpan w:val="5"/>
          </w:tcPr>
          <w:p>
            <w:pPr>
              <w:jc w:val="right"/>
              <w:ind w:right="870"/>
              <w:spacing w:after="0"/>
              <w:rPr>
                <w:sz w:val="20"/>
                <w:szCs w:val="20"/>
                <w:color w:val="auto"/>
              </w:rPr>
            </w:pPr>
            <w:r>
              <w:rPr>
                <w:rFonts w:ascii="Times New Roman" w:cs="Times New Roman" w:eastAsia="Times New Roman" w:hAnsi="Times New Roman"/>
                <w:sz w:val="18"/>
                <w:szCs w:val="18"/>
                <w:b w:val="1"/>
                <w:bCs w:val="1"/>
                <w:color w:val="auto"/>
              </w:rPr>
              <w:t>U.S. Postretirement Health Benefits</w:t>
            </w:r>
          </w:p>
        </w:tc>
        <w:tc>
          <w:tcPr>
            <w:tcW w:w="96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40" w:type="dxa"/>
            <w:vAlign w:val="bottom"/>
          </w:tcPr>
          <w:p>
            <w:pPr>
              <w:spacing w:after="0"/>
              <w:rPr>
                <w:sz w:val="20"/>
                <w:szCs w:val="20"/>
                <w:color w:val="auto"/>
              </w:rPr>
            </w:pPr>
          </w:p>
        </w:tc>
      </w:tr>
      <w:tr>
        <w:trPr>
          <w:trHeight w:val="210"/>
        </w:trPr>
        <w:tc>
          <w:tcPr>
            <w:tcW w:w="3200" w:type="dxa"/>
            <w:vAlign w:val="bottom"/>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2280" w:type="dxa"/>
            <w:vAlign w:val="bottom"/>
            <w:tcBorders>
              <w:bottom w:val="single" w:sz="8" w:color="auto"/>
            </w:tcBorders>
            <w:gridSpan w:val="2"/>
          </w:tcPr>
          <w:p>
            <w:pPr>
              <w:ind w:left="16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660" w:type="dxa"/>
            <w:vAlign w:val="bottom"/>
            <w:tcBorders>
              <w:bottom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c>
          <w:tcPr>
            <w:tcW w:w="2220" w:type="dxa"/>
            <w:vAlign w:val="bottom"/>
            <w:tcBorders>
              <w:bottom w:val="single" w:sz="8" w:color="auto"/>
            </w:tcBorders>
            <w:gridSpan w:val="2"/>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Nine Months Ended</w:t>
            </w:r>
          </w:p>
        </w:tc>
        <w:tc>
          <w:tcPr>
            <w:tcW w:w="820" w:type="dxa"/>
            <w:vAlign w:val="bottom"/>
            <w:tcBorders>
              <w:bottom w:val="single" w:sz="8" w:color="auto"/>
            </w:tcBorders>
          </w:tcPr>
          <w:p>
            <w:pPr>
              <w:spacing w:after="0"/>
              <w:rPr>
                <w:sz w:val="18"/>
                <w:szCs w:val="18"/>
                <w:color w:val="auto"/>
              </w:rPr>
            </w:pPr>
          </w:p>
        </w:tc>
        <w:tc>
          <w:tcPr>
            <w:tcW w:w="40" w:type="dxa"/>
            <w:vAlign w:val="bottom"/>
          </w:tcPr>
          <w:p>
            <w:pPr>
              <w:spacing w:after="0"/>
              <w:rPr>
                <w:sz w:val="18"/>
                <w:szCs w:val="18"/>
                <w:color w:val="auto"/>
              </w:rPr>
            </w:pPr>
          </w:p>
        </w:tc>
      </w:tr>
      <w:tr>
        <w:trPr>
          <w:trHeight w:val="210"/>
        </w:trPr>
        <w:tc>
          <w:tcPr>
            <w:tcW w:w="32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(In millions)</w:t>
            </w:r>
          </w:p>
        </w:tc>
        <w:tc>
          <w:tcPr>
            <w:tcW w:w="2300" w:type="dxa"/>
            <w:vAlign w:val="bottom"/>
            <w:tcBorders>
              <w:bottom w:val="single" w:sz="8" w:color="auto"/>
            </w:tcBorders>
            <w:gridSpan w:val="2"/>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September 30, 2017</w:t>
            </w:r>
          </w:p>
        </w:tc>
        <w:tc>
          <w:tcPr>
            <w:tcW w:w="1620" w:type="dxa"/>
            <w:vAlign w:val="bottom"/>
            <w:tcBorders>
              <w:bottom w:val="single" w:sz="8" w:color="auto"/>
            </w:tcBorders>
            <w:gridSpan w:val="2"/>
          </w:tcPr>
          <w:p>
            <w:pPr>
              <w:ind w:left="420"/>
              <w:spacing w:after="0"/>
              <w:rPr>
                <w:sz w:val="20"/>
                <w:szCs w:val="20"/>
                <w:color w:val="auto"/>
              </w:rPr>
            </w:pPr>
            <w:r>
              <w:rPr>
                <w:rFonts w:ascii="Times New Roman" w:cs="Times New Roman" w:eastAsia="Times New Roman" w:hAnsi="Times New Roman"/>
                <w:sz w:val="18"/>
                <w:szCs w:val="18"/>
                <w:b w:val="1"/>
                <w:bCs w:val="1"/>
                <w:color w:val="auto"/>
                <w:w w:val="97"/>
              </w:rPr>
              <w:t>October 1, 2016</w:t>
            </w:r>
          </w:p>
        </w:tc>
        <w:tc>
          <w:tcPr>
            <w:tcW w:w="240" w:type="dxa"/>
            <w:vAlign w:val="bottom"/>
            <w:tcBorders>
              <w:bottom w:val="single" w:sz="8" w:color="auto"/>
            </w:tcBorders>
          </w:tcPr>
          <w:p>
            <w:pPr>
              <w:spacing w:after="0"/>
              <w:rPr>
                <w:sz w:val="18"/>
                <w:szCs w:val="18"/>
                <w:color w:val="auto"/>
              </w:rPr>
            </w:pPr>
          </w:p>
        </w:tc>
        <w:tc>
          <w:tcPr>
            <w:tcW w:w="2280" w:type="dxa"/>
            <w:vAlign w:val="bottom"/>
            <w:tcBorders>
              <w:bottom w:val="single" w:sz="8" w:color="auto"/>
            </w:tcBorders>
            <w:gridSpan w:val="2"/>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September 30, 2017</w:t>
            </w:r>
          </w:p>
        </w:tc>
        <w:tc>
          <w:tcPr>
            <w:tcW w:w="1780" w:type="dxa"/>
            <w:vAlign w:val="bottom"/>
            <w:tcBorders>
              <w:bottom w:val="single" w:sz="8" w:color="auto"/>
            </w:tcBorders>
            <w:gridSpan w:val="2"/>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October 1, 2016</w:t>
            </w:r>
          </w:p>
        </w:tc>
        <w:tc>
          <w:tcPr>
            <w:tcW w:w="40" w:type="dxa"/>
            <w:vAlign w:val="bottom"/>
          </w:tcPr>
          <w:p>
            <w:pPr>
              <w:spacing w:after="0"/>
              <w:rPr>
                <w:sz w:val="18"/>
                <w:szCs w:val="18"/>
                <w:color w:val="auto"/>
              </w:rPr>
            </w:pPr>
          </w:p>
        </w:tc>
      </w:tr>
      <w:tr>
        <w:trPr>
          <w:trHeight w:val="210"/>
        </w:trPr>
        <w:tc>
          <w:tcPr>
            <w:tcW w:w="3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cost</w:t>
            </w:r>
          </w:p>
        </w:tc>
        <w:tc>
          <w:tcPr>
            <w:tcW w:w="9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rPr>
              <w:t>.1</w:t>
            </w:r>
          </w:p>
        </w:tc>
        <w:tc>
          <w:tcPr>
            <w:tcW w:w="960" w:type="dxa"/>
            <w:vAlign w:val="bottom"/>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w:t>
            </w:r>
          </w:p>
        </w:tc>
        <w:tc>
          <w:tcPr>
            <w:tcW w:w="40" w:type="dxa"/>
            <w:vAlign w:val="bottom"/>
          </w:tcPr>
          <w:p>
            <w:pPr>
              <w:spacing w:after="0"/>
              <w:rPr>
                <w:sz w:val="18"/>
                <w:szCs w:val="18"/>
                <w:color w:val="auto"/>
              </w:rPr>
            </w:pPr>
          </w:p>
        </w:tc>
      </w:tr>
      <w:tr>
        <w:trPr>
          <w:trHeight w:val="216"/>
        </w:trPr>
        <w:tc>
          <w:tcPr>
            <w:tcW w:w="3200" w:type="dxa"/>
            <w:vAlign w:val="bottom"/>
          </w:tcPr>
          <w:p>
            <w:pPr>
              <w:spacing w:after="0"/>
              <w:rPr>
                <w:sz w:val="20"/>
                <w:szCs w:val="20"/>
                <w:color w:val="auto"/>
              </w:rPr>
            </w:pPr>
            <w:r>
              <w:rPr>
                <w:rFonts w:ascii="Times New Roman" w:cs="Times New Roman" w:eastAsia="Times New Roman" w:hAnsi="Times New Roman"/>
                <w:sz w:val="18"/>
                <w:szCs w:val="18"/>
                <w:color w:val="auto"/>
              </w:rPr>
              <w:t>Recognized net actuarial loss</w:t>
            </w:r>
          </w:p>
        </w:tc>
        <w:tc>
          <w:tcPr>
            <w:tcW w:w="980" w:type="dxa"/>
            <w:vAlign w:val="bottom"/>
          </w:tcPr>
          <w:p>
            <w:pPr>
              <w:spacing w:after="0"/>
              <w:rPr>
                <w:sz w:val="18"/>
                <w:szCs w:val="18"/>
                <w:color w:val="auto"/>
              </w:rPr>
            </w:pPr>
          </w:p>
        </w:tc>
        <w:tc>
          <w:tcPr>
            <w:tcW w:w="1320" w:type="dxa"/>
            <w:vAlign w:val="bottom"/>
          </w:tcPr>
          <w:p>
            <w:pPr>
              <w:jc w:val="right"/>
              <w:ind w:right="370"/>
              <w:spacing w:after="0"/>
              <w:rPr>
                <w:sz w:val="20"/>
                <w:szCs w:val="20"/>
                <w:color w:val="auto"/>
              </w:rPr>
            </w:pPr>
            <w:r>
              <w:rPr>
                <w:rFonts w:ascii="Times New Roman" w:cs="Times New Roman" w:eastAsia="Times New Roman" w:hAnsi="Times New Roman"/>
                <w:sz w:val="18"/>
                <w:szCs w:val="18"/>
                <w:color w:val="auto"/>
              </w:rPr>
              <w:t>.4</w:t>
            </w:r>
          </w:p>
        </w:tc>
        <w:tc>
          <w:tcPr>
            <w:tcW w:w="960" w:type="dxa"/>
            <w:vAlign w:val="bottom"/>
          </w:tcPr>
          <w:p>
            <w:pPr>
              <w:spacing w:after="0"/>
              <w:rPr>
                <w:sz w:val="18"/>
                <w:szCs w:val="18"/>
                <w:color w:val="auto"/>
              </w:rPr>
            </w:pPr>
          </w:p>
        </w:tc>
        <w:tc>
          <w:tcPr>
            <w:tcW w:w="9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.5</w:t>
            </w:r>
          </w:p>
        </w:tc>
        <w:tc>
          <w:tcPr>
            <w:tcW w:w="1020" w:type="dxa"/>
            <w:vAlign w:val="bottom"/>
          </w:tcPr>
          <w:p>
            <w:pPr>
              <w:spacing w:after="0"/>
              <w:rPr>
                <w:sz w:val="18"/>
                <w:szCs w:val="18"/>
                <w:color w:val="auto"/>
              </w:rPr>
            </w:pPr>
          </w:p>
        </w:tc>
        <w:tc>
          <w:tcPr>
            <w:tcW w:w="126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rPr>
              <w:t>1.1</w:t>
            </w:r>
          </w:p>
        </w:tc>
        <w:tc>
          <w:tcPr>
            <w:tcW w:w="960" w:type="dxa"/>
            <w:vAlign w:val="bottom"/>
          </w:tcPr>
          <w:p>
            <w:pPr>
              <w:spacing w:after="0"/>
              <w:rPr>
                <w:sz w:val="18"/>
                <w:szCs w:val="18"/>
                <w:color w:val="auto"/>
              </w:rPr>
            </w:pPr>
          </w:p>
        </w:tc>
        <w:tc>
          <w:tcPr>
            <w:tcW w:w="8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1.3</w:t>
            </w:r>
          </w:p>
        </w:tc>
        <w:tc>
          <w:tcPr>
            <w:tcW w:w="40" w:type="dxa"/>
            <w:vAlign w:val="bottom"/>
          </w:tcPr>
          <w:p>
            <w:pPr>
              <w:spacing w:after="0"/>
              <w:rPr>
                <w:sz w:val="18"/>
                <w:szCs w:val="18"/>
                <w:color w:val="auto"/>
              </w:rPr>
            </w:pPr>
          </w:p>
        </w:tc>
      </w:tr>
      <w:tr>
        <w:trPr>
          <w:trHeight w:val="216"/>
        </w:trPr>
        <w:tc>
          <w:tcPr>
            <w:tcW w:w="320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Amortization of prior service credit</w:t>
            </w:r>
          </w:p>
        </w:tc>
        <w:tc>
          <w:tcPr>
            <w:tcW w:w="98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(.9)</w:t>
            </w:r>
          </w:p>
        </w:tc>
        <w:tc>
          <w:tcPr>
            <w:tcW w:w="96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(.9)</w:t>
            </w:r>
          </w:p>
        </w:tc>
        <w:tc>
          <w:tcPr>
            <w:tcW w:w="102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(2.5)</w:t>
            </w:r>
          </w:p>
        </w:tc>
        <w:tc>
          <w:tcPr>
            <w:tcW w:w="96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40" w:type="dxa"/>
            <w:vAlign w:val="bottom"/>
          </w:tcPr>
          <w:p>
            <w:pPr>
              <w:spacing w:after="0"/>
              <w:rPr>
                <w:sz w:val="18"/>
                <w:szCs w:val="18"/>
                <w:color w:val="auto"/>
              </w:rPr>
            </w:pPr>
          </w:p>
        </w:tc>
      </w:tr>
      <w:tr>
        <w:trPr>
          <w:trHeight w:val="217"/>
        </w:trPr>
        <w:tc>
          <w:tcPr>
            <w:tcW w:w="32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Net periodic benefit credit</w:t>
            </w:r>
          </w:p>
        </w:tc>
        <w:tc>
          <w:tcPr>
            <w:tcW w:w="9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rPr>
              <w:t>(.5)</w:t>
            </w:r>
          </w:p>
        </w:tc>
        <w:tc>
          <w:tcPr>
            <w:tcW w:w="960" w:type="dxa"/>
            <w:vAlign w:val="bottom"/>
            <w:tcBorders>
              <w:bottom w:val="single" w:sz="8" w:color="auto"/>
            </w:tcBorders>
          </w:tcPr>
          <w:p>
            <w:pPr>
              <w:ind w:left="4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(.4)</w:t>
            </w:r>
          </w:p>
        </w:tc>
        <w:tc>
          <w:tcPr>
            <w:tcW w:w="102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(1.3)</w:t>
            </w:r>
          </w:p>
        </w:tc>
        <w:tc>
          <w:tcPr>
            <w:tcW w:w="96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40" w:type="dxa"/>
            <w:vAlign w:val="bottom"/>
          </w:tcPr>
          <w:p>
            <w:pPr>
              <w:spacing w:after="0"/>
              <w:rPr>
                <w:sz w:val="18"/>
                <w:szCs w:val="18"/>
                <w:color w:val="auto"/>
              </w:rPr>
            </w:pPr>
          </w:p>
        </w:tc>
      </w:tr>
      <w:tr>
        <w:trPr>
          <w:trHeight w:val="432"/>
        </w:trPr>
        <w:tc>
          <w:tcPr>
            <w:tcW w:w="32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8</w:t>
            </w:r>
          </w:p>
        </w:tc>
      </w:tr>
      <w:tr>
        <w:trPr>
          <w:trHeight w:val="132"/>
        </w:trPr>
        <w:tc>
          <w:tcPr>
            <w:tcW w:w="3200" w:type="dxa"/>
            <w:vAlign w:val="bottom"/>
            <w:tcBorders>
              <w:bottom w:val="single" w:sz="8" w:color="808080"/>
            </w:tcBorders>
          </w:tcPr>
          <w:p>
            <w:pPr>
              <w:spacing w:after="0"/>
              <w:rPr>
                <w:sz w:val="11"/>
                <w:szCs w:val="11"/>
                <w:color w:val="auto"/>
              </w:rPr>
            </w:pPr>
          </w:p>
        </w:tc>
        <w:tc>
          <w:tcPr>
            <w:tcW w:w="980" w:type="dxa"/>
            <w:vAlign w:val="bottom"/>
            <w:tcBorders>
              <w:bottom w:val="single" w:sz="8" w:color="808080"/>
            </w:tcBorders>
          </w:tcPr>
          <w:p>
            <w:pPr>
              <w:spacing w:after="0"/>
              <w:rPr>
                <w:sz w:val="11"/>
                <w:szCs w:val="11"/>
                <w:color w:val="auto"/>
              </w:rPr>
            </w:pPr>
          </w:p>
        </w:tc>
        <w:tc>
          <w:tcPr>
            <w:tcW w:w="1320" w:type="dxa"/>
            <w:vAlign w:val="bottom"/>
            <w:tcBorders>
              <w:bottom w:val="single" w:sz="8" w:color="808080"/>
            </w:tcBorders>
          </w:tcPr>
          <w:p>
            <w:pPr>
              <w:spacing w:after="0"/>
              <w:rPr>
                <w:sz w:val="11"/>
                <w:szCs w:val="11"/>
                <w:color w:val="auto"/>
              </w:rPr>
            </w:pPr>
          </w:p>
        </w:tc>
        <w:tc>
          <w:tcPr>
            <w:tcW w:w="960" w:type="dxa"/>
            <w:vAlign w:val="bottom"/>
            <w:tcBorders>
              <w:bottom w:val="single" w:sz="8" w:color="808080"/>
            </w:tcBorders>
          </w:tcPr>
          <w:p>
            <w:pPr>
              <w:spacing w:after="0"/>
              <w:rPr>
                <w:sz w:val="11"/>
                <w:szCs w:val="11"/>
                <w:color w:val="auto"/>
              </w:rPr>
            </w:pPr>
          </w:p>
        </w:tc>
        <w:tc>
          <w:tcPr>
            <w:tcW w:w="660" w:type="dxa"/>
            <w:vAlign w:val="bottom"/>
            <w:tcBorders>
              <w:bottom w:val="single" w:sz="8" w:color="808080"/>
            </w:tcBorders>
          </w:tcPr>
          <w:p>
            <w:pPr>
              <w:spacing w:after="0"/>
              <w:rPr>
                <w:sz w:val="11"/>
                <w:szCs w:val="11"/>
                <w:color w:val="auto"/>
              </w:rPr>
            </w:pPr>
          </w:p>
        </w:tc>
        <w:tc>
          <w:tcPr>
            <w:tcW w:w="240" w:type="dxa"/>
            <w:vAlign w:val="bottom"/>
            <w:tcBorders>
              <w:bottom w:val="single" w:sz="8" w:color="808080"/>
            </w:tcBorders>
          </w:tcPr>
          <w:p>
            <w:pPr>
              <w:spacing w:after="0"/>
              <w:rPr>
                <w:sz w:val="11"/>
                <w:szCs w:val="11"/>
                <w:color w:val="auto"/>
              </w:rPr>
            </w:pPr>
          </w:p>
        </w:tc>
        <w:tc>
          <w:tcPr>
            <w:tcW w:w="1020" w:type="dxa"/>
            <w:vAlign w:val="bottom"/>
            <w:tcBorders>
              <w:bottom w:val="single" w:sz="8" w:color="808080"/>
            </w:tcBorders>
          </w:tcPr>
          <w:p>
            <w:pPr>
              <w:spacing w:after="0"/>
              <w:rPr>
                <w:sz w:val="11"/>
                <w:szCs w:val="11"/>
                <w:color w:val="auto"/>
              </w:rPr>
            </w:pPr>
          </w:p>
        </w:tc>
        <w:tc>
          <w:tcPr>
            <w:tcW w:w="1260" w:type="dxa"/>
            <w:vAlign w:val="bottom"/>
            <w:tcBorders>
              <w:bottom w:val="single" w:sz="8" w:color="808080"/>
            </w:tcBorders>
          </w:tcPr>
          <w:p>
            <w:pPr>
              <w:spacing w:after="0"/>
              <w:rPr>
                <w:sz w:val="11"/>
                <w:szCs w:val="11"/>
                <w:color w:val="auto"/>
              </w:rPr>
            </w:pPr>
          </w:p>
        </w:tc>
        <w:tc>
          <w:tcPr>
            <w:tcW w:w="960" w:type="dxa"/>
            <w:vAlign w:val="bottom"/>
            <w:tcBorders>
              <w:bottom w:val="single" w:sz="8" w:color="808080"/>
            </w:tcBorders>
          </w:tcPr>
          <w:p>
            <w:pPr>
              <w:spacing w:after="0"/>
              <w:rPr>
                <w:sz w:val="11"/>
                <w:szCs w:val="11"/>
                <w:color w:val="auto"/>
              </w:rPr>
            </w:pPr>
          </w:p>
        </w:tc>
        <w:tc>
          <w:tcPr>
            <w:tcW w:w="82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310"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w:anchor="page1">
        <w:r>
          <w:rPr>
            <w:rFonts w:ascii="Times New Roman" w:cs="Times New Roman" w:eastAsia="Times New Roman" w:hAnsi="Times New Roman"/>
            <w:sz w:val="18"/>
            <w:szCs w:val="18"/>
            <w:u w:val="single" w:color="auto"/>
            <w:color w:val="0000EE"/>
          </w:rPr>
          <w:t>Table of Contents</w:t>
        </w:r>
      </w:hyperlink>
    </w:p>
    <w:p>
      <w:pPr>
        <w:spacing w:after="0" w:line="225" w:lineRule="exact"/>
        <w:rPr>
          <w:sz w:val="20"/>
          <w:szCs w:val="20"/>
          <w:color w:val="auto"/>
        </w:rPr>
      </w:pPr>
    </w:p>
    <w:p>
      <w:pPr>
        <w:jc w:val="right"/>
        <w:ind w:right="40"/>
        <w:spacing w:after="0"/>
        <w:rPr>
          <w:sz w:val="20"/>
          <w:szCs w:val="20"/>
          <w:color w:val="auto"/>
        </w:rPr>
      </w:pPr>
      <w:r>
        <w:rPr>
          <w:rFonts w:ascii="Times New Roman" w:cs="Times New Roman" w:eastAsia="Times New Roman" w:hAnsi="Times New Roman"/>
          <w:sz w:val="18"/>
          <w:szCs w:val="18"/>
          <w:color w:val="auto"/>
        </w:rPr>
        <w:t>Avery Dennison Corporation</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7. Research and Development</w:t>
      </w:r>
    </w:p>
    <w:p>
      <w:pPr>
        <w:spacing w:after="0" w:line="229" w:lineRule="exact"/>
        <w:rPr>
          <w:sz w:val="20"/>
          <w:szCs w:val="20"/>
          <w:color w:val="auto"/>
        </w:rPr>
      </w:pPr>
    </w:p>
    <w:p>
      <w:pPr>
        <w:jc w:val="both"/>
        <w:ind w:right="40"/>
        <w:spacing w:after="0" w:line="266" w:lineRule="auto"/>
        <w:rPr>
          <w:sz w:val="20"/>
          <w:szCs w:val="20"/>
          <w:color w:val="auto"/>
        </w:rPr>
      </w:pPr>
      <w:r>
        <w:rPr>
          <w:rFonts w:ascii="Times New Roman" w:cs="Times New Roman" w:eastAsia="Times New Roman" w:hAnsi="Times New Roman"/>
          <w:sz w:val="18"/>
          <w:szCs w:val="18"/>
          <w:color w:val="auto"/>
        </w:rPr>
        <w:t>Research and development expense was $23.6 million and $70 million for the three and nine months ended September 30, 2017, respectively, and $22.4 million and $67.4 million for the three and nine months ended October 1, 2016, respectively. This expense was included in “Marketing, general and administrative expense” in the unaudited Condensed Consolidated Statements of Income.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8. Long-Term Incentive Compensation and Supplemental Equity Information</w:t>
      </w:r>
    </w:p>
    <w:p>
      <w:pPr>
        <w:spacing w:after="0" w:line="229" w:lineRule="exact"/>
        <w:rPr>
          <w:sz w:val="20"/>
          <w:szCs w:val="20"/>
          <w:color w:val="auto"/>
        </w:rPr>
      </w:pPr>
    </w:p>
    <w:p>
      <w:pPr>
        <w:jc w:val="both"/>
        <w:ind w:right="40"/>
        <w:spacing w:after="0" w:line="266" w:lineRule="auto"/>
        <w:rPr>
          <w:sz w:val="20"/>
          <w:szCs w:val="20"/>
          <w:color w:val="auto"/>
        </w:rPr>
      </w:pPr>
      <w:r>
        <w:rPr>
          <w:rFonts w:ascii="Times New Roman" w:cs="Times New Roman" w:eastAsia="Times New Roman" w:hAnsi="Times New Roman"/>
          <w:sz w:val="18"/>
          <w:szCs w:val="18"/>
          <w:color w:val="auto"/>
        </w:rPr>
        <w:t>As discussed in Note 1, “General,” we adopted an accounting guidance update in the first quarter of 2017 that, among other things, provided an accounting policy election to account for forfeitures of stock-based awards as they occur, rather than based on an estimate of expected forfeitures. We elected to continue our current practice of estimating expected forfeitures in determining the compensation cost to be recognized each period.</w:t>
      </w:r>
    </w:p>
    <w:p>
      <w:pPr>
        <w:spacing w:after="0" w:line="176" w:lineRule="exact"/>
        <w:rPr>
          <w:sz w:val="20"/>
          <w:szCs w:val="20"/>
          <w:color w:val="auto"/>
        </w:rPr>
      </w:pPr>
    </w:p>
    <w:p>
      <w:pPr>
        <w:jc w:val="both"/>
        <w:ind w:right="40"/>
        <w:spacing w:after="0" w:line="258" w:lineRule="auto"/>
        <w:rPr>
          <w:sz w:val="20"/>
          <w:szCs w:val="20"/>
          <w:color w:val="auto"/>
        </w:rPr>
      </w:pPr>
      <w:r>
        <w:rPr>
          <w:rFonts w:ascii="Times New Roman" w:cs="Times New Roman" w:eastAsia="Times New Roman" w:hAnsi="Times New Roman"/>
          <w:sz w:val="18"/>
          <w:szCs w:val="18"/>
          <w:color w:val="auto"/>
        </w:rPr>
        <w:t>In April 2017, our shareholders approved our 2017 Incentive Award Plan (the “2017 Plan”) to replace our Amended and Restated Stock Option and Incentive Plan. The 2017 Plan, a long-term incentive plan for eligible employees and non-employee directors, allows us to grant stock-based compensation awards – including stock options, restricted stock units, performance units, and market-leveraged stock units – or a combination of these and other awards. Under the 2017 Plan, the aggregate number of shares available for issuance is 5.4 million shares and each full value award will be counted as 1.5 shares for purposes of the number of shares authorized for issuance. Full value awards include restricted stock units, performance units, and market-leveraged stock units.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Stock-Based Awards</w:t>
      </w:r>
    </w:p>
    <w:p>
      <w:pPr>
        <w:spacing w:after="0" w:line="31" w:lineRule="exact"/>
        <w:rPr>
          <w:sz w:val="20"/>
          <w:szCs w:val="20"/>
          <w:color w:val="auto"/>
        </w:rPr>
      </w:pPr>
    </w:p>
    <w:p>
      <w:pPr>
        <w:jc w:val="both"/>
        <w:ind w:right="40"/>
        <w:spacing w:after="0" w:line="255" w:lineRule="auto"/>
        <w:rPr>
          <w:sz w:val="20"/>
          <w:szCs w:val="20"/>
          <w:color w:val="auto"/>
        </w:rPr>
      </w:pPr>
      <w:r>
        <w:rPr>
          <w:rFonts w:ascii="Times New Roman" w:cs="Times New Roman" w:eastAsia="Times New Roman" w:hAnsi="Times New Roman"/>
          <w:sz w:val="18"/>
          <w:szCs w:val="18"/>
          <w:color w:val="auto"/>
        </w:rPr>
        <w:t>Stock-based compensation expense was $9 million and $22.2 million for the three and nine months ended September 30, 2017, respectively, and $6 million and $20.1 million for the three and nine months ended October 1, 2016, respectively. This expense was included in “Marketing, general and administrative expense” in the unaudited Condensed Consolidated Statements of Income.</w:t>
      </w:r>
    </w:p>
    <w:p>
      <w:pPr>
        <w:spacing w:after="0" w:line="186" w:lineRule="exact"/>
        <w:rPr>
          <w:sz w:val="20"/>
          <w:szCs w:val="20"/>
          <w:color w:val="auto"/>
        </w:rPr>
      </w:pPr>
    </w:p>
    <w:p>
      <w:pPr>
        <w:jc w:val="both"/>
        <w:ind w:right="40"/>
        <w:spacing w:after="0" w:line="282" w:lineRule="auto"/>
        <w:rPr>
          <w:sz w:val="20"/>
          <w:szCs w:val="20"/>
          <w:color w:val="auto"/>
        </w:rPr>
      </w:pPr>
      <w:r>
        <w:rPr>
          <w:rFonts w:ascii="Times New Roman" w:cs="Times New Roman" w:eastAsia="Times New Roman" w:hAnsi="Times New Roman"/>
          <w:sz w:val="18"/>
          <w:szCs w:val="18"/>
          <w:color w:val="auto"/>
        </w:rPr>
        <w:t>As of September 30, 2017, we had approximately $46 million of unrecognized compensation expense related to unvested stock-based awards, which is expected to be recognized over the remaining weighted-average requisite service period of approximately two years.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Cash-Based Awards</w:t>
      </w:r>
    </w:p>
    <w:p>
      <w:pPr>
        <w:spacing w:after="0" w:line="31" w:lineRule="exact"/>
        <w:rPr>
          <w:sz w:val="20"/>
          <w:szCs w:val="20"/>
          <w:color w:val="auto"/>
        </w:rPr>
      </w:pPr>
    </w:p>
    <w:p>
      <w:pPr>
        <w:jc w:val="both"/>
        <w:ind w:right="40"/>
        <w:spacing w:after="0" w:line="255" w:lineRule="auto"/>
        <w:rPr>
          <w:sz w:val="20"/>
          <w:szCs w:val="20"/>
          <w:color w:val="auto"/>
        </w:rPr>
      </w:pPr>
      <w:r>
        <w:rPr>
          <w:rFonts w:ascii="Times New Roman" w:cs="Times New Roman" w:eastAsia="Times New Roman" w:hAnsi="Times New Roman"/>
          <w:sz w:val="18"/>
          <w:szCs w:val="18"/>
          <w:color w:val="auto"/>
        </w:rPr>
        <w:t>The compensation expense related to long-term incentive units was $7.8 million and $24.6 million for the three and nine months ended September 30, 2017, respectively, and $7 million and $21.7 million for the three and nine months ended October 1, 2016, respectively. This expense was included in “Marketing, general and administrative expense” in the unaudited Condensed Consolidated Statements of Income.</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Share Repurchase Program</w:t>
      </w:r>
    </w:p>
    <w:p>
      <w:pPr>
        <w:spacing w:after="0" w:line="31" w:lineRule="exact"/>
        <w:rPr>
          <w:sz w:val="20"/>
          <w:szCs w:val="20"/>
          <w:color w:val="auto"/>
        </w:rPr>
      </w:pPr>
    </w:p>
    <w:p>
      <w:pPr>
        <w:jc w:val="both"/>
        <w:ind w:right="40"/>
        <w:spacing w:after="0" w:line="261" w:lineRule="auto"/>
        <w:rPr>
          <w:sz w:val="20"/>
          <w:szCs w:val="20"/>
          <w:color w:val="auto"/>
        </w:rPr>
      </w:pPr>
      <w:r>
        <w:rPr>
          <w:rFonts w:ascii="Times New Roman" w:cs="Times New Roman" w:eastAsia="Times New Roman" w:hAnsi="Times New Roman"/>
          <w:sz w:val="18"/>
          <w:szCs w:val="18"/>
          <w:color w:val="auto"/>
        </w:rPr>
        <w:t>In April 2017, our Board of Directors (“Board”) authorized the repurchase of shares of our common stock with a fair market value of up to $650 million, exclusive of any fees, commissions or other expenses related to such purchases and in addition to the amount outstanding under our previous Board</w:t>
      </w:r>
    </w:p>
    <w:p>
      <w:pPr>
        <w:sectPr>
          <w:pgSz w:w="11900" w:h="16838" w:orient="portrait"/>
          <w:cols w:equalWidth="0" w:num="1">
            <w:col w:w="11460"/>
          </w:cols>
          <w:pgMar w:left="240" w:top="121" w:right="199" w:bottom="0" w:gutter="0" w:footer="0" w:header="0"/>
        </w:sectPr>
      </w:pPr>
    </w:p>
    <w:bookmarkStart w:id="7" w:name="page8"/>
    <w:bookmarkEnd w:id="7"/>
    <w:p>
      <w:pPr>
        <w:spacing w:after="0" w:line="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authorization. Our Board repurchase authorizations remain in effect until shares in the respective amount authorized thereunder have been repurchased.</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9. Cost Reduction Actions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2015/2016 Actions</w:t>
      </w:r>
    </w:p>
    <w:p>
      <w:pPr>
        <w:spacing w:after="0" w:line="3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During the nine months ended September 30, 2017, we recorded $24.4 million in restructuring charges, net of reversals, related to restructuring actions initiated during the third quarter of 2015 (“2015/2016 Actions”). These charges consisted of severance and related costs for the reduction of approximately 670 positions, lease cancellation costs, and asset impairment charges.</w:t>
      </w:r>
    </w:p>
    <w:p>
      <w:pPr>
        <w:spacing w:after="0" w:line="18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Accruals for severance and related costs and lease cancellation costs were included in “Other current liabilities” in the unaudited Condensed Consolidated Balance Sheets. Asset impairment charges were based on the estimated market value of the assets, less selling costs, if applicable. Restructuring charges were included in “Other expense, net” in the unaudited Condensed Consolidated Statements of Income.</w:t>
      </w:r>
    </w:p>
    <w:p>
      <w:pPr>
        <w:spacing w:after="0" w:line="176"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7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80" w:type="dxa"/>
            <w:vAlign w:val="bottom"/>
            <w:gridSpan w:val="2"/>
          </w:tcPr>
          <w:p>
            <w:pPr>
              <w:spacing w:after="0"/>
              <w:rPr>
                <w:rFonts w:ascii="Times New Roman" w:cs="Times New Roman" w:eastAsia="Times New Roman" w:hAnsi="Times New Roman"/>
                <w:sz w:val="18"/>
                <w:szCs w:val="18"/>
                <w:color w:val="0000EE"/>
              </w:rPr>
            </w:pPr>
            <w:hyperlink w:anchor="page1">
              <w:r>
                <w:rPr>
                  <w:rFonts w:ascii="Times New Roman" w:cs="Times New Roman" w:eastAsia="Times New Roman" w:hAnsi="Times New Roman"/>
                  <w:sz w:val="18"/>
                  <w:szCs w:val="18"/>
                  <w:color w:val="0000EE"/>
                </w:rPr>
                <w:t>Table of Contents</w:t>
              </w:r>
            </w:hyperlink>
          </w:p>
        </w:tc>
        <w:tc>
          <w:tcPr>
            <w:tcW w:w="74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453"/>
        </w:trPr>
        <w:tc>
          <w:tcPr>
            <w:tcW w:w="1280" w:type="dxa"/>
            <w:vAlign w:val="bottom"/>
            <w:tcBorders>
              <w:top w:val="single" w:sz="8" w:color="0000EE"/>
            </w:tcBorders>
          </w:tcPr>
          <w:p>
            <w:pPr>
              <w:spacing w:after="0"/>
              <w:rPr>
                <w:sz w:val="24"/>
                <w:szCs w:val="24"/>
                <w:color w:val="auto"/>
              </w:rPr>
            </w:pPr>
          </w:p>
        </w:tc>
        <w:tc>
          <w:tcPr>
            <w:tcW w:w="8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99"/>
              </w:rPr>
              <w:t>Avery Dennison Corporation</w:t>
            </w:r>
          </w:p>
        </w:tc>
      </w:tr>
      <w:tr>
        <w:trPr>
          <w:trHeight w:val="432"/>
        </w:trPr>
        <w:tc>
          <w:tcPr>
            <w:tcW w:w="764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During the nine months ended September 30, 2017, restructuring charges and payments were as follows:</w:t>
            </w:r>
          </w:p>
        </w:tc>
        <w:tc>
          <w:tcPr>
            <w:tcW w:w="6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410"/>
        </w:trPr>
        <w:tc>
          <w:tcPr>
            <w:tcW w:w="12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460" w:type="dxa"/>
            <w:vAlign w:val="bottom"/>
            <w:gridSpan w:val="2"/>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Charges</w:t>
            </w:r>
          </w:p>
        </w:tc>
        <w:tc>
          <w:tcPr>
            <w:tcW w:w="5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Foreign</w:t>
            </w:r>
          </w:p>
        </w:tc>
        <w:tc>
          <w:tcPr>
            <w:tcW w:w="98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216"/>
        </w:trPr>
        <w:tc>
          <w:tcPr>
            <w:tcW w:w="12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80" w:type="dxa"/>
            <w:vAlign w:val="bottom"/>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Accrual at</w:t>
            </w:r>
          </w:p>
        </w:tc>
        <w:tc>
          <w:tcPr>
            <w:tcW w:w="1460" w:type="dxa"/>
            <w:vAlign w:val="bottom"/>
            <w:gridSpan w:val="2"/>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(Reversals),</w:t>
            </w:r>
          </w:p>
        </w:tc>
        <w:tc>
          <w:tcPr>
            <w:tcW w:w="520" w:type="dxa"/>
            <w:vAlign w:val="bottom"/>
          </w:tcPr>
          <w:p>
            <w:pPr>
              <w:spacing w:after="0"/>
              <w:rPr>
                <w:sz w:val="18"/>
                <w:szCs w:val="18"/>
                <w:color w:val="auto"/>
              </w:rPr>
            </w:pPr>
          </w:p>
        </w:tc>
        <w:tc>
          <w:tcPr>
            <w:tcW w:w="780" w:type="dxa"/>
            <w:vAlign w:val="bottom"/>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Cash</w:t>
            </w:r>
          </w:p>
        </w:tc>
        <w:tc>
          <w:tcPr>
            <w:tcW w:w="1380" w:type="dxa"/>
            <w:vAlign w:val="bottom"/>
            <w:gridSpan w:val="2"/>
          </w:tcPr>
          <w:p>
            <w:pPr>
              <w:ind w:left="420"/>
              <w:spacing w:after="0"/>
              <w:rPr>
                <w:sz w:val="20"/>
                <w:szCs w:val="20"/>
                <w:color w:val="auto"/>
              </w:rPr>
            </w:pPr>
            <w:r>
              <w:rPr>
                <w:rFonts w:ascii="Times New Roman" w:cs="Times New Roman" w:eastAsia="Times New Roman" w:hAnsi="Times New Roman"/>
                <w:sz w:val="18"/>
                <w:szCs w:val="18"/>
                <w:b w:val="1"/>
                <w:bCs w:val="1"/>
                <w:color w:val="auto"/>
              </w:rPr>
              <w:t>Non-cash</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Currency</w:t>
            </w:r>
          </w:p>
        </w:tc>
        <w:tc>
          <w:tcPr>
            <w:tcW w:w="980" w:type="dxa"/>
            <w:vAlign w:val="bottom"/>
          </w:tcPr>
          <w:p>
            <w:pPr>
              <w:spacing w:after="0"/>
              <w:rPr>
                <w:sz w:val="18"/>
                <w:szCs w:val="18"/>
                <w:color w:val="auto"/>
              </w:rPr>
            </w:pPr>
          </w:p>
        </w:tc>
        <w:tc>
          <w:tcPr>
            <w:tcW w:w="112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Accrual at</w:t>
            </w:r>
          </w:p>
        </w:tc>
      </w:tr>
      <w:tr>
        <w:trPr>
          <w:trHeight w:val="238"/>
        </w:trPr>
        <w:tc>
          <w:tcPr>
            <w:tcW w:w="20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4"/>
                <w:szCs w:val="14"/>
                <w:color w:val="auto"/>
              </w:rPr>
              <w:t>(In millions)</w:t>
            </w:r>
          </w:p>
        </w:tc>
        <w:tc>
          <w:tcPr>
            <w:tcW w:w="2020" w:type="dxa"/>
            <w:vAlign w:val="bottom"/>
            <w:tcBorders>
              <w:bottom w:val="single" w:sz="8" w:color="auto"/>
            </w:tcBorders>
            <w:gridSpan w:val="2"/>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December 31, 2016</w:t>
            </w:r>
          </w:p>
        </w:tc>
        <w:tc>
          <w:tcPr>
            <w:tcW w:w="70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net</w:t>
            </w:r>
          </w:p>
        </w:tc>
        <w:tc>
          <w:tcPr>
            <w:tcW w:w="1300" w:type="dxa"/>
            <w:vAlign w:val="bottom"/>
            <w:tcBorders>
              <w:bottom w:val="single" w:sz="8" w:color="auto"/>
            </w:tcBorders>
            <w:gridSpan w:val="2"/>
          </w:tcPr>
          <w:p>
            <w:pPr>
              <w:ind w:left="320"/>
              <w:spacing w:after="0"/>
              <w:rPr>
                <w:sz w:val="20"/>
                <w:szCs w:val="20"/>
                <w:color w:val="auto"/>
              </w:rPr>
            </w:pPr>
            <w:r>
              <w:rPr>
                <w:rFonts w:ascii="Times New Roman" w:cs="Times New Roman" w:eastAsia="Times New Roman" w:hAnsi="Times New Roman"/>
                <w:sz w:val="18"/>
                <w:szCs w:val="18"/>
                <w:b w:val="1"/>
                <w:bCs w:val="1"/>
                <w:color w:val="auto"/>
              </w:rPr>
              <w:t>Payments</w:t>
            </w:r>
          </w:p>
        </w:tc>
        <w:tc>
          <w:tcPr>
            <w:tcW w:w="1380" w:type="dxa"/>
            <w:vAlign w:val="bottom"/>
            <w:tcBorders>
              <w:bottom w:val="single" w:sz="8" w:color="auto"/>
            </w:tcBorders>
            <w:gridSpan w:val="2"/>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Impairment</w:t>
            </w:r>
          </w:p>
        </w:tc>
        <w:tc>
          <w:tcPr>
            <w:tcW w:w="10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Translation</w:t>
            </w:r>
          </w:p>
        </w:tc>
        <w:tc>
          <w:tcPr>
            <w:tcW w:w="2100" w:type="dxa"/>
            <w:vAlign w:val="bottom"/>
            <w:tcBorders>
              <w:bottom w:val="single" w:sz="8" w:color="auto"/>
            </w:tcBorders>
            <w:gridSpan w:val="2"/>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September 30, 2017</w:t>
            </w:r>
          </w:p>
        </w:tc>
      </w:tr>
      <w:tr>
        <w:trPr>
          <w:trHeight w:val="210"/>
        </w:trPr>
        <w:tc>
          <w:tcPr>
            <w:tcW w:w="20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2015/2016 Actions</w:t>
            </w:r>
          </w:p>
        </w:tc>
        <w:tc>
          <w:tcPr>
            <w:tcW w:w="74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r>
      <w:tr>
        <w:trPr>
          <w:trHeight w:val="198"/>
        </w:trPr>
        <w:tc>
          <w:tcPr>
            <w:tcW w:w="208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Severance and related</w:t>
            </w:r>
          </w:p>
        </w:tc>
        <w:tc>
          <w:tcPr>
            <w:tcW w:w="74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234"/>
        </w:trPr>
        <w:tc>
          <w:tcPr>
            <w:tcW w:w="20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costs</w:t>
            </w:r>
          </w:p>
        </w:tc>
        <w:tc>
          <w:tcPr>
            <w:tcW w:w="7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3.3</w:t>
            </w:r>
          </w:p>
        </w:tc>
        <w:tc>
          <w:tcPr>
            <w:tcW w:w="7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22.4</w:t>
            </w:r>
          </w:p>
        </w:tc>
        <w:tc>
          <w:tcPr>
            <w:tcW w:w="52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(22.5)</w:t>
            </w:r>
          </w:p>
        </w:tc>
        <w:tc>
          <w:tcPr>
            <w:tcW w:w="78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9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3.3</w:t>
            </w:r>
          </w:p>
        </w:tc>
      </w:tr>
      <w:tr>
        <w:trPr>
          <w:trHeight w:val="216"/>
        </w:trPr>
        <w:tc>
          <w:tcPr>
            <w:tcW w:w="20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Lease cancellation costs</w:t>
            </w:r>
          </w:p>
        </w:tc>
        <w:tc>
          <w:tcPr>
            <w:tcW w:w="74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.2</w:t>
            </w:r>
          </w:p>
        </w:tc>
        <w:tc>
          <w:tcPr>
            <w:tcW w:w="70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1.1</w:t>
            </w:r>
          </w:p>
        </w:tc>
        <w:tc>
          <w:tcPr>
            <w:tcW w:w="52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(.4)</w:t>
            </w:r>
          </w:p>
        </w:tc>
        <w:tc>
          <w:tcPr>
            <w:tcW w:w="780" w:type="dxa"/>
            <w:vAlign w:val="bottom"/>
            <w:shd w:val="clear" w:color="auto" w:fill="CCEEFF"/>
          </w:tcPr>
          <w:p>
            <w:pPr>
              <w:spacing w:after="0"/>
              <w:rPr>
                <w:sz w:val="18"/>
                <w:szCs w:val="18"/>
                <w:color w:val="auto"/>
              </w:rPr>
            </w:pPr>
          </w:p>
        </w:tc>
        <w:tc>
          <w:tcPr>
            <w:tcW w:w="60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w:t>
            </w:r>
          </w:p>
        </w:tc>
      </w:tr>
      <w:tr>
        <w:trPr>
          <w:trHeight w:val="198"/>
        </w:trPr>
        <w:tc>
          <w:tcPr>
            <w:tcW w:w="208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Asset impairment</w:t>
            </w:r>
          </w:p>
        </w:tc>
        <w:tc>
          <w:tcPr>
            <w:tcW w:w="74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780" w:type="dxa"/>
            <w:vAlign w:val="bottom"/>
          </w:tcPr>
          <w:p>
            <w:pPr>
              <w:jc w:val="right"/>
              <w:ind w:right="130"/>
              <w:spacing w:after="0" w:line="198" w:lineRule="exact"/>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234"/>
        </w:trPr>
        <w:tc>
          <w:tcPr>
            <w:tcW w:w="20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charges</w:t>
            </w:r>
          </w:p>
        </w:tc>
        <w:tc>
          <w:tcPr>
            <w:tcW w:w="740" w:type="dxa"/>
            <w:vAlign w:val="bottom"/>
          </w:tcPr>
          <w:p>
            <w:pPr>
              <w:spacing w:after="0"/>
              <w:rPr>
                <w:sz w:val="20"/>
                <w:szCs w:val="20"/>
                <w:color w:val="auto"/>
              </w:rPr>
            </w:pPr>
          </w:p>
        </w:tc>
        <w:tc>
          <w:tcPr>
            <w:tcW w:w="128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spacing w:after="0"/>
              <w:rPr>
                <w:sz w:val="20"/>
                <w:szCs w:val="20"/>
                <w:color w:val="auto"/>
              </w:rPr>
            </w:pPr>
          </w:p>
        </w:tc>
        <w:tc>
          <w:tcPr>
            <w:tcW w:w="76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1.0</w:t>
            </w:r>
          </w:p>
        </w:tc>
        <w:tc>
          <w:tcPr>
            <w:tcW w:w="5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6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(1.0)</w:t>
            </w:r>
          </w:p>
        </w:tc>
        <w:tc>
          <w:tcPr>
            <w:tcW w:w="680" w:type="dxa"/>
            <w:vAlign w:val="bottom"/>
          </w:tcPr>
          <w:p>
            <w:pPr>
              <w:spacing w:after="0"/>
              <w:rPr>
                <w:sz w:val="20"/>
                <w:szCs w:val="20"/>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spacing w:after="0"/>
              <w:rPr>
                <w:sz w:val="20"/>
                <w:szCs w:val="20"/>
                <w:color w:val="auto"/>
              </w:rPr>
            </w:pPr>
          </w:p>
        </w:tc>
        <w:tc>
          <w:tcPr>
            <w:tcW w:w="11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20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Prior actions</w:t>
            </w:r>
          </w:p>
        </w:tc>
        <w:tc>
          <w:tcPr>
            <w:tcW w:w="74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r>
      <w:tr>
        <w:trPr>
          <w:trHeight w:val="198"/>
        </w:trPr>
        <w:tc>
          <w:tcPr>
            <w:tcW w:w="208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Severance and related</w:t>
            </w:r>
          </w:p>
        </w:tc>
        <w:tc>
          <w:tcPr>
            <w:tcW w:w="74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780" w:type="dxa"/>
            <w:vAlign w:val="bottom"/>
          </w:tcPr>
          <w:p>
            <w:pPr>
              <w:jc w:val="right"/>
              <w:ind w:right="130"/>
              <w:spacing w:after="0" w:line="198" w:lineRule="exact"/>
              <w:rPr>
                <w:sz w:val="20"/>
                <w:szCs w:val="20"/>
                <w:color w:val="auto"/>
              </w:rPr>
            </w:pPr>
            <w:r>
              <w:rPr>
                <w:rFonts w:ascii="Times New Roman" w:cs="Times New Roman" w:eastAsia="Times New Roman" w:hAnsi="Times New Roman"/>
                <w:sz w:val="18"/>
                <w:szCs w:val="18"/>
                <w:color w:val="auto"/>
              </w:rPr>
              <w:t>(.7)</w:t>
            </w:r>
          </w:p>
        </w:tc>
        <w:tc>
          <w:tcPr>
            <w:tcW w:w="7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234"/>
        </w:trPr>
        <w:tc>
          <w:tcPr>
            <w:tcW w:w="2080" w:type="dxa"/>
            <w:vAlign w:val="bottom"/>
            <w:tcBorders>
              <w:bottom w:val="single" w:sz="8" w:color="auto"/>
            </w:tcBorders>
            <w:gridSpan w:val="2"/>
          </w:tcPr>
          <w:p>
            <w:pPr>
              <w:ind w:left="180"/>
              <w:spacing w:after="0"/>
              <w:rPr>
                <w:sz w:val="20"/>
                <w:szCs w:val="20"/>
                <w:color w:val="auto"/>
              </w:rPr>
            </w:pPr>
            <w:r>
              <w:rPr>
                <w:rFonts w:ascii="Times New Roman" w:cs="Times New Roman" w:eastAsia="Times New Roman" w:hAnsi="Times New Roman"/>
                <w:sz w:val="18"/>
                <w:szCs w:val="18"/>
                <w:color w:val="auto"/>
              </w:rPr>
              <w:t>costs</w:t>
            </w:r>
          </w:p>
        </w:tc>
        <w:tc>
          <w:tcPr>
            <w:tcW w:w="74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1.3</w:t>
            </w:r>
          </w:p>
        </w:tc>
        <w:tc>
          <w:tcPr>
            <w:tcW w:w="70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rPr>
              <w:t>(.7)</w:t>
            </w:r>
          </w:p>
        </w:tc>
        <w:tc>
          <w:tcPr>
            <w:tcW w:w="52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bottom w:val="single" w:sz="8" w:color="auto"/>
            </w:tcBorders>
          </w:tcPr>
          <w:p>
            <w:pPr>
              <w:spacing w:after="0"/>
              <w:rPr>
                <w:sz w:val="20"/>
                <w:szCs w:val="20"/>
                <w:color w:val="auto"/>
              </w:rPr>
            </w:pP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98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17"/>
        </w:trPr>
        <w:tc>
          <w:tcPr>
            <w:tcW w:w="2080" w:type="dxa"/>
            <w:vAlign w:val="bottom"/>
            <w:tcBorders>
              <w:bottom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7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4.8</w:t>
            </w:r>
          </w:p>
        </w:tc>
        <w:tc>
          <w:tcPr>
            <w:tcW w:w="70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bottom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23.8</w:t>
            </w:r>
          </w:p>
        </w:tc>
        <w:tc>
          <w:tcPr>
            <w:tcW w:w="520" w:type="dxa"/>
            <w:vAlign w:val="bottom"/>
            <w:tcBorders>
              <w:bottom w:val="single" w:sz="8" w:color="auto"/>
            </w:tcBorders>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(23.6)</w:t>
            </w:r>
          </w:p>
        </w:tc>
        <w:tc>
          <w:tcPr>
            <w:tcW w:w="780" w:type="dxa"/>
            <w:vAlign w:val="bottom"/>
            <w:tcBorders>
              <w:bottom w:val="single" w:sz="8" w:color="auto"/>
            </w:tcBorders>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(1.0)</w:t>
            </w:r>
          </w:p>
        </w:tc>
        <w:tc>
          <w:tcPr>
            <w:tcW w:w="68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9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4.2</w:t>
            </w: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table below shows the total amount of restructuring charges incurred by reportable segment and Corporate:</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800" w:type="dxa"/>
            <w:vAlign w:val="bottom"/>
          </w:tcPr>
          <w:p>
            <w:pPr>
              <w:spacing w:after="0"/>
              <w:rPr>
                <w:sz w:val="20"/>
                <w:szCs w:val="20"/>
                <w:color w:val="auto"/>
              </w:rPr>
            </w:pPr>
          </w:p>
        </w:tc>
        <w:tc>
          <w:tcPr>
            <w:tcW w:w="800" w:type="dxa"/>
            <w:vAlign w:val="bottom"/>
            <w:tcBorders>
              <w:bottom w:val="single" w:sz="8" w:color="auto"/>
            </w:tcBorders>
          </w:tcPr>
          <w:p>
            <w:pPr>
              <w:spacing w:after="0"/>
              <w:rPr>
                <w:sz w:val="20"/>
                <w:szCs w:val="20"/>
                <w:color w:val="auto"/>
              </w:rPr>
            </w:pPr>
          </w:p>
        </w:tc>
        <w:tc>
          <w:tcPr>
            <w:tcW w:w="2240" w:type="dxa"/>
            <w:vAlign w:val="bottom"/>
            <w:tcBorders>
              <w:bottom w:val="single" w:sz="8" w:color="auto"/>
            </w:tcBorders>
            <w:gridSpan w:val="2"/>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560" w:type="dxa"/>
            <w:vAlign w:val="bottom"/>
            <w:tcBorders>
              <w:bottom w:val="single" w:sz="8" w:color="auto"/>
            </w:tcBorders>
          </w:tcPr>
          <w:p>
            <w:pPr>
              <w:spacing w:after="0"/>
              <w:rPr>
                <w:sz w:val="20"/>
                <w:szCs w:val="20"/>
                <w:color w:val="auto"/>
              </w:rPr>
            </w:pPr>
          </w:p>
        </w:tc>
        <w:tc>
          <w:tcPr>
            <w:tcW w:w="320" w:type="dxa"/>
            <w:vAlign w:val="bottom"/>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2160" w:type="dxa"/>
            <w:vAlign w:val="bottom"/>
            <w:tcBorders>
              <w:bottom w:val="single" w:sz="8" w:color="auto"/>
            </w:tcBorders>
            <w:gridSpan w:val="2"/>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Nine Months Ended</w:t>
            </w:r>
          </w:p>
        </w:tc>
        <w:tc>
          <w:tcPr>
            <w:tcW w:w="720" w:type="dxa"/>
            <w:vAlign w:val="bottom"/>
            <w:tcBorders>
              <w:bottom w:val="single" w:sz="8" w:color="auto"/>
            </w:tcBorders>
          </w:tcPr>
          <w:p>
            <w:pPr>
              <w:spacing w:after="0"/>
              <w:rPr>
                <w:sz w:val="20"/>
                <w:szCs w:val="20"/>
                <w:color w:val="auto"/>
              </w:rPr>
            </w:pPr>
          </w:p>
        </w:tc>
      </w:tr>
      <w:tr>
        <w:trPr>
          <w:trHeight w:val="210"/>
        </w:trPr>
        <w:tc>
          <w:tcPr>
            <w:tcW w:w="38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(In millions)</w:t>
            </w:r>
          </w:p>
        </w:tc>
        <w:tc>
          <w:tcPr>
            <w:tcW w:w="2080" w:type="dxa"/>
            <w:vAlign w:val="bottom"/>
            <w:tcBorders>
              <w:bottom w:val="single" w:sz="8" w:color="auto"/>
            </w:tcBorders>
            <w:gridSpan w:val="2"/>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September 30, 2017</w:t>
            </w:r>
          </w:p>
        </w:tc>
        <w:tc>
          <w:tcPr>
            <w:tcW w:w="15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October 1, 2016</w:t>
            </w:r>
          </w:p>
        </w:tc>
        <w:tc>
          <w:tcPr>
            <w:tcW w:w="320" w:type="dxa"/>
            <w:vAlign w:val="bottom"/>
            <w:tcBorders>
              <w:bottom w:val="single" w:sz="8" w:color="auto"/>
            </w:tcBorders>
          </w:tcPr>
          <w:p>
            <w:pPr>
              <w:spacing w:after="0"/>
              <w:rPr>
                <w:sz w:val="18"/>
                <w:szCs w:val="18"/>
                <w:color w:val="auto"/>
              </w:rPr>
            </w:pPr>
          </w:p>
        </w:tc>
        <w:tc>
          <w:tcPr>
            <w:tcW w:w="2100" w:type="dxa"/>
            <w:vAlign w:val="bottom"/>
            <w:tcBorders>
              <w:bottom w:val="single" w:sz="8" w:color="auto"/>
            </w:tcBorders>
            <w:gridSpan w:val="2"/>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September 30, 2017</w:t>
            </w:r>
          </w:p>
        </w:tc>
        <w:tc>
          <w:tcPr>
            <w:tcW w:w="1600" w:type="dxa"/>
            <w:vAlign w:val="bottom"/>
            <w:tcBorders>
              <w:bottom w:val="single" w:sz="8" w:color="auto"/>
            </w:tcBorders>
            <w:gridSpan w:val="2"/>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October 1, 2016</w:t>
            </w:r>
          </w:p>
        </w:tc>
      </w:tr>
      <w:tr>
        <w:trPr>
          <w:trHeight w:val="187"/>
        </w:trPr>
        <w:tc>
          <w:tcPr>
            <w:tcW w:w="3800" w:type="dxa"/>
            <w:vAlign w:val="bottom"/>
            <w:shd w:val="clear" w:color="auto" w:fill="CCEEFF"/>
          </w:tcPr>
          <w:p>
            <w:pPr>
              <w:spacing w:after="0" w:line="188" w:lineRule="exact"/>
              <w:rPr>
                <w:sz w:val="20"/>
                <w:szCs w:val="20"/>
                <w:color w:val="auto"/>
              </w:rPr>
            </w:pPr>
            <w:r>
              <w:rPr>
                <w:rFonts w:ascii="Times New Roman" w:cs="Times New Roman" w:eastAsia="Times New Roman" w:hAnsi="Times New Roman"/>
                <w:sz w:val="18"/>
                <w:szCs w:val="18"/>
                <w:b w:val="1"/>
                <w:bCs w:val="1"/>
                <w:color w:val="auto"/>
              </w:rPr>
              <w:t>Restructuring charges by reportable segment</w:t>
            </w:r>
          </w:p>
        </w:tc>
        <w:tc>
          <w:tcPr>
            <w:tcW w:w="800" w:type="dxa"/>
            <w:vAlign w:val="bottom"/>
            <w:shd w:val="clear" w:color="auto" w:fill="CCEEFF"/>
          </w:tcPr>
          <w:p>
            <w:pPr>
              <w:spacing w:after="0"/>
              <w:rPr>
                <w:sz w:val="16"/>
                <w:szCs w:val="16"/>
                <w:color w:val="auto"/>
              </w:rPr>
            </w:pPr>
          </w:p>
        </w:tc>
        <w:tc>
          <w:tcPr>
            <w:tcW w:w="128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28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r>
      <w:tr>
        <w:trPr>
          <w:trHeight w:val="238"/>
        </w:trPr>
        <w:tc>
          <w:tcPr>
            <w:tcW w:w="38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and Corporate</w:t>
            </w:r>
          </w:p>
        </w:tc>
        <w:tc>
          <w:tcPr>
            <w:tcW w:w="800" w:type="dxa"/>
            <w:vAlign w:val="bottom"/>
            <w:shd w:val="clear" w:color="auto" w:fill="CCEEFF"/>
          </w:tcPr>
          <w:p>
            <w:pPr>
              <w:spacing w:after="0"/>
              <w:rPr>
                <w:sz w:val="20"/>
                <w:szCs w:val="20"/>
                <w:color w:val="auto"/>
              </w:rPr>
            </w:pPr>
          </w:p>
        </w:tc>
        <w:tc>
          <w:tcPr>
            <w:tcW w:w="128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128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r>
      <w:tr>
        <w:trPr>
          <w:trHeight w:val="216"/>
        </w:trPr>
        <w:tc>
          <w:tcPr>
            <w:tcW w:w="3800" w:type="dxa"/>
            <w:vAlign w:val="bottom"/>
          </w:tcPr>
          <w:p>
            <w:pPr>
              <w:spacing w:after="0"/>
              <w:rPr>
                <w:sz w:val="20"/>
                <w:szCs w:val="20"/>
                <w:color w:val="auto"/>
              </w:rPr>
            </w:pPr>
            <w:r>
              <w:rPr>
                <w:rFonts w:ascii="Times New Roman" w:cs="Times New Roman" w:eastAsia="Times New Roman" w:hAnsi="Times New Roman"/>
                <w:sz w:val="18"/>
                <w:szCs w:val="18"/>
                <w:color w:val="auto"/>
              </w:rPr>
              <w:t>Label and Graphic Materials</w:t>
            </w:r>
          </w:p>
        </w:tc>
        <w:tc>
          <w:tcPr>
            <w:tcW w:w="8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3.1</w:t>
            </w:r>
          </w:p>
        </w:tc>
        <w:tc>
          <w:tcPr>
            <w:tcW w:w="96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.7</w:t>
            </w:r>
          </w:p>
        </w:tc>
        <w:tc>
          <w:tcPr>
            <w:tcW w:w="8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9.9</w:t>
            </w:r>
          </w:p>
        </w:tc>
        <w:tc>
          <w:tcPr>
            <w:tcW w:w="88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7.3</w:t>
            </w:r>
          </w:p>
        </w:tc>
      </w:tr>
      <w:tr>
        <w:trPr>
          <w:trHeight w:val="216"/>
        </w:trPr>
        <w:tc>
          <w:tcPr>
            <w:tcW w:w="3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Retail Branding and Information Solutions</w:t>
            </w:r>
          </w:p>
        </w:tc>
        <w:tc>
          <w:tcPr>
            <w:tcW w:w="80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7.4</w:t>
            </w:r>
          </w:p>
        </w:tc>
        <w:tc>
          <w:tcPr>
            <w:tcW w:w="96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3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13.7</w:t>
            </w:r>
          </w:p>
        </w:tc>
        <w:tc>
          <w:tcPr>
            <w:tcW w:w="880" w:type="dxa"/>
            <w:vAlign w:val="bottom"/>
            <w:shd w:val="clear" w:color="auto" w:fill="CCEEFF"/>
          </w:tcPr>
          <w:p>
            <w:pPr>
              <w:spacing w:after="0"/>
              <w:rPr>
                <w:sz w:val="18"/>
                <w:szCs w:val="18"/>
                <w:color w:val="auto"/>
              </w:rPr>
            </w:pPr>
          </w:p>
        </w:tc>
        <w:tc>
          <w:tcPr>
            <w:tcW w:w="7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6.4</w:t>
            </w:r>
          </w:p>
        </w:tc>
      </w:tr>
      <w:tr>
        <w:trPr>
          <w:trHeight w:val="216"/>
        </w:trPr>
        <w:tc>
          <w:tcPr>
            <w:tcW w:w="3800" w:type="dxa"/>
            <w:vAlign w:val="bottom"/>
          </w:tcPr>
          <w:p>
            <w:pPr>
              <w:spacing w:after="0"/>
              <w:rPr>
                <w:sz w:val="20"/>
                <w:szCs w:val="20"/>
                <w:color w:val="auto"/>
              </w:rPr>
            </w:pPr>
            <w:r>
              <w:rPr>
                <w:rFonts w:ascii="Times New Roman" w:cs="Times New Roman" w:eastAsia="Times New Roman" w:hAnsi="Times New Roman"/>
                <w:sz w:val="18"/>
                <w:szCs w:val="18"/>
                <w:color w:val="auto"/>
              </w:rPr>
              <w:t>Industrial and Healthcare Materials</w:t>
            </w:r>
          </w:p>
        </w:tc>
        <w:tc>
          <w:tcPr>
            <w:tcW w:w="800" w:type="dxa"/>
            <w:vAlign w:val="bottom"/>
          </w:tcPr>
          <w:p>
            <w:pPr>
              <w:spacing w:after="0"/>
              <w:rPr>
                <w:sz w:val="18"/>
                <w:szCs w:val="18"/>
                <w:color w:val="auto"/>
              </w:rPr>
            </w:pPr>
          </w:p>
        </w:tc>
        <w:tc>
          <w:tcPr>
            <w:tcW w:w="128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spacing w:after="0"/>
              <w:rPr>
                <w:sz w:val="18"/>
                <w:szCs w:val="18"/>
                <w:color w:val="auto"/>
              </w:rPr>
            </w:pPr>
          </w:p>
        </w:tc>
        <w:tc>
          <w:tcPr>
            <w:tcW w:w="8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.4</w:t>
            </w:r>
          </w:p>
        </w:tc>
        <w:tc>
          <w:tcPr>
            <w:tcW w:w="820" w:type="dxa"/>
            <w:vAlign w:val="bottom"/>
          </w:tcPr>
          <w:p>
            <w:pPr>
              <w:spacing w:after="0"/>
              <w:rPr>
                <w:sz w:val="18"/>
                <w:szCs w:val="18"/>
                <w:color w:val="auto"/>
              </w:rPr>
            </w:pPr>
          </w:p>
        </w:tc>
        <w:tc>
          <w:tcPr>
            <w:tcW w:w="128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.2</w:t>
            </w:r>
          </w:p>
        </w:tc>
        <w:tc>
          <w:tcPr>
            <w:tcW w:w="880" w:type="dxa"/>
            <w:vAlign w:val="bottom"/>
          </w:tcPr>
          <w:p>
            <w:pPr>
              <w:spacing w:after="0"/>
              <w:rPr>
                <w:sz w:val="18"/>
                <w:szCs w:val="18"/>
                <w:color w:val="auto"/>
              </w:rPr>
            </w:pPr>
          </w:p>
        </w:tc>
        <w:tc>
          <w:tcPr>
            <w:tcW w:w="7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.9</w:t>
            </w:r>
          </w:p>
        </w:tc>
      </w:tr>
      <w:tr>
        <w:trPr>
          <w:trHeight w:val="216"/>
        </w:trPr>
        <w:tc>
          <w:tcPr>
            <w:tcW w:w="380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Corporate</w:t>
            </w:r>
          </w:p>
        </w:tc>
        <w:tc>
          <w:tcPr>
            <w:tcW w:w="80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17"/>
        </w:trPr>
        <w:tc>
          <w:tcPr>
            <w:tcW w:w="38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Total</w:t>
            </w:r>
          </w:p>
        </w:tc>
        <w:tc>
          <w:tcPr>
            <w:tcW w:w="8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rPr>
              <w:t>10.5</w:t>
            </w:r>
          </w:p>
        </w:tc>
        <w:tc>
          <w:tcPr>
            <w:tcW w:w="96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3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rPr>
              <w:t>23.8</w:t>
            </w:r>
          </w:p>
        </w:tc>
        <w:tc>
          <w:tcPr>
            <w:tcW w:w="88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14.6</w:t>
            </w: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10. Financial Instruments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enter into foreign exchange hedge contracts to reduce our risk from exchange rate fluctuations associated with receivables, payables, loans and firm commitments denominated in certain foreign currencies that arise primarily as a result of our operations outside the U.S. We enter into interest rate contracts to help manage our exposure to certain interest rate fluctuations. We also enter into futures contracts to hedge certain price fluctuations for a portion of our anticipated domestic purchases of natural gas. The maximum length of time for which we hedge our exposure to the variability in future cash flows for forecasted transactions is 36 months.</w:t>
      </w:r>
    </w:p>
    <w:p>
      <w:pPr>
        <w:spacing w:after="0" w:line="184"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As of September 30, 2017, the aggregate U.S. dollar equivalent notional value of our outstanding commodity contracts and foreign exchange contracts was $4.4 million and $1.84 billion, respectively.</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recognize derivative instruments as either assets or liabilities at fair value in the unaudited Condensed Consolidated Balance Sheets. We designate commodity forward contracts on forecasted purchases of commodities and foreign exchange contracts on forecasted transactions as cash flow hedges and designate foreign exchange contracts on existing balance sheet items as fair value hedges.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shows the fair value and balance sheet locations of derivatives as of September 30, 2017:</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5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600" w:type="dxa"/>
            <w:vAlign w:val="bottom"/>
            <w:tcBorders>
              <w:bottom w:val="single" w:sz="8" w:color="auto"/>
            </w:tcBorders>
          </w:tcPr>
          <w:p>
            <w:pPr>
              <w:ind w:left="1780"/>
              <w:spacing w:after="0"/>
              <w:rPr>
                <w:sz w:val="20"/>
                <w:szCs w:val="20"/>
                <w:color w:val="auto"/>
              </w:rPr>
            </w:pPr>
            <w:r>
              <w:rPr>
                <w:rFonts w:ascii="Times New Roman" w:cs="Times New Roman" w:eastAsia="Times New Roman" w:hAnsi="Times New Roman"/>
                <w:sz w:val="18"/>
                <w:szCs w:val="18"/>
                <w:b w:val="1"/>
                <w:bCs w:val="1"/>
                <w:color w:val="auto"/>
              </w:rPr>
              <w:t>Asset</w:t>
            </w:r>
          </w:p>
        </w:tc>
        <w:tc>
          <w:tcPr>
            <w:tcW w:w="52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c>
          <w:tcPr>
            <w:tcW w:w="280" w:type="dxa"/>
            <w:vAlign w:val="bottom"/>
          </w:tcPr>
          <w:p>
            <w:pPr>
              <w:spacing w:after="0"/>
              <w:rPr>
                <w:sz w:val="20"/>
                <w:szCs w:val="20"/>
                <w:color w:val="auto"/>
              </w:rPr>
            </w:pPr>
          </w:p>
        </w:tc>
        <w:tc>
          <w:tcPr>
            <w:tcW w:w="2620" w:type="dxa"/>
            <w:vAlign w:val="bottom"/>
            <w:tcBorders>
              <w:bottom w:val="single" w:sz="8" w:color="auto"/>
            </w:tcBorders>
          </w:tcPr>
          <w:p>
            <w:pPr>
              <w:ind w:left="1620"/>
              <w:spacing w:after="0"/>
              <w:rPr>
                <w:sz w:val="20"/>
                <w:szCs w:val="20"/>
                <w:color w:val="auto"/>
              </w:rPr>
            </w:pPr>
            <w:r>
              <w:rPr>
                <w:rFonts w:ascii="Times New Roman" w:cs="Times New Roman" w:eastAsia="Times New Roman" w:hAnsi="Times New Roman"/>
                <w:sz w:val="18"/>
                <w:szCs w:val="18"/>
                <w:b w:val="1"/>
                <w:bCs w:val="1"/>
                <w:color w:val="auto"/>
              </w:rPr>
              <w:t>Liability</w:t>
            </w:r>
          </w:p>
        </w:tc>
        <w:tc>
          <w:tcPr>
            <w:tcW w:w="44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r>
      <w:tr>
        <w:trPr>
          <w:trHeight w:val="210"/>
        </w:trPr>
        <w:tc>
          <w:tcPr>
            <w:tcW w:w="25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(In millions)</w:t>
            </w:r>
          </w:p>
        </w:tc>
        <w:tc>
          <w:tcPr>
            <w:tcW w:w="580" w:type="dxa"/>
            <w:vAlign w:val="bottom"/>
            <w:tcBorders>
              <w:bottom w:val="single" w:sz="8" w:color="auto"/>
            </w:tcBorders>
          </w:tcPr>
          <w:p>
            <w:pPr>
              <w:spacing w:after="0"/>
              <w:rPr>
                <w:sz w:val="18"/>
                <w:szCs w:val="18"/>
                <w:color w:val="auto"/>
              </w:rPr>
            </w:pPr>
          </w:p>
        </w:tc>
        <w:tc>
          <w:tcPr>
            <w:tcW w:w="26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Balance Sheet Location</w:t>
            </w:r>
          </w:p>
        </w:tc>
        <w:tc>
          <w:tcPr>
            <w:tcW w:w="5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99"/>
              </w:rPr>
              <w:t>Fair Value</w:t>
            </w:r>
          </w:p>
        </w:tc>
        <w:tc>
          <w:tcPr>
            <w:tcW w:w="280" w:type="dxa"/>
            <w:vAlign w:val="bottom"/>
            <w:tcBorders>
              <w:bottom w:val="single" w:sz="8" w:color="auto"/>
            </w:tcBorders>
          </w:tcPr>
          <w:p>
            <w:pPr>
              <w:spacing w:after="0"/>
              <w:rPr>
                <w:sz w:val="18"/>
                <w:szCs w:val="18"/>
                <w:color w:val="auto"/>
              </w:rPr>
            </w:pPr>
          </w:p>
        </w:tc>
        <w:tc>
          <w:tcPr>
            <w:tcW w:w="26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Balance Sheet Location</w:t>
            </w:r>
          </w:p>
        </w:tc>
        <w:tc>
          <w:tcPr>
            <w:tcW w:w="4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99"/>
              </w:rPr>
              <w:t>Fair Value</w:t>
            </w:r>
          </w:p>
        </w:tc>
      </w:tr>
      <w:tr>
        <w:trPr>
          <w:trHeight w:val="217"/>
        </w:trPr>
        <w:tc>
          <w:tcPr>
            <w:tcW w:w="258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Foreign exchange contracts</w:t>
            </w:r>
          </w:p>
        </w:tc>
        <w:tc>
          <w:tcPr>
            <w:tcW w:w="3180" w:type="dxa"/>
            <w:vAlign w:val="bottom"/>
            <w:tcBorders>
              <w:bottom w:val="single" w:sz="8" w:color="auto"/>
            </w:tcBorders>
            <w:gridSpan w:val="2"/>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Other current assets</w:t>
            </w: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5.7</w:t>
            </w:r>
          </w:p>
        </w:tc>
        <w:tc>
          <w:tcPr>
            <w:tcW w:w="262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current liabilities</w:t>
            </w:r>
          </w:p>
        </w:tc>
        <w:tc>
          <w:tcPr>
            <w:tcW w:w="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3.0</w:t>
            </w: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shows the fair value and balance sheet locations of derivatives as of December 31, 2016:</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5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600" w:type="dxa"/>
            <w:vAlign w:val="bottom"/>
            <w:tcBorders>
              <w:bottom w:val="single" w:sz="8" w:color="auto"/>
            </w:tcBorders>
          </w:tcPr>
          <w:p>
            <w:pPr>
              <w:ind w:left="1780"/>
              <w:spacing w:after="0"/>
              <w:rPr>
                <w:sz w:val="20"/>
                <w:szCs w:val="20"/>
                <w:color w:val="auto"/>
              </w:rPr>
            </w:pPr>
            <w:r>
              <w:rPr>
                <w:rFonts w:ascii="Times New Roman" w:cs="Times New Roman" w:eastAsia="Times New Roman" w:hAnsi="Times New Roman"/>
                <w:sz w:val="18"/>
                <w:szCs w:val="18"/>
                <w:b w:val="1"/>
                <w:bCs w:val="1"/>
                <w:color w:val="auto"/>
              </w:rPr>
              <w:t>Asset</w:t>
            </w:r>
          </w:p>
        </w:tc>
        <w:tc>
          <w:tcPr>
            <w:tcW w:w="52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c>
          <w:tcPr>
            <w:tcW w:w="280" w:type="dxa"/>
            <w:vAlign w:val="bottom"/>
          </w:tcPr>
          <w:p>
            <w:pPr>
              <w:spacing w:after="0"/>
              <w:rPr>
                <w:sz w:val="20"/>
                <w:szCs w:val="20"/>
                <w:color w:val="auto"/>
              </w:rPr>
            </w:pPr>
          </w:p>
        </w:tc>
        <w:tc>
          <w:tcPr>
            <w:tcW w:w="2620" w:type="dxa"/>
            <w:vAlign w:val="bottom"/>
            <w:tcBorders>
              <w:bottom w:val="single" w:sz="8" w:color="auto"/>
            </w:tcBorders>
          </w:tcPr>
          <w:p>
            <w:pPr>
              <w:ind w:left="1620"/>
              <w:spacing w:after="0"/>
              <w:rPr>
                <w:sz w:val="20"/>
                <w:szCs w:val="20"/>
                <w:color w:val="auto"/>
              </w:rPr>
            </w:pPr>
            <w:r>
              <w:rPr>
                <w:rFonts w:ascii="Times New Roman" w:cs="Times New Roman" w:eastAsia="Times New Roman" w:hAnsi="Times New Roman"/>
                <w:sz w:val="18"/>
                <w:szCs w:val="18"/>
                <w:b w:val="1"/>
                <w:bCs w:val="1"/>
                <w:color w:val="auto"/>
              </w:rPr>
              <w:t>Liability</w:t>
            </w:r>
          </w:p>
        </w:tc>
        <w:tc>
          <w:tcPr>
            <w:tcW w:w="44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r>
      <w:tr>
        <w:trPr>
          <w:trHeight w:val="210"/>
        </w:trPr>
        <w:tc>
          <w:tcPr>
            <w:tcW w:w="25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(In millions)</w:t>
            </w:r>
          </w:p>
        </w:tc>
        <w:tc>
          <w:tcPr>
            <w:tcW w:w="580" w:type="dxa"/>
            <w:vAlign w:val="bottom"/>
            <w:tcBorders>
              <w:bottom w:val="single" w:sz="8" w:color="auto"/>
            </w:tcBorders>
          </w:tcPr>
          <w:p>
            <w:pPr>
              <w:spacing w:after="0"/>
              <w:rPr>
                <w:sz w:val="18"/>
                <w:szCs w:val="18"/>
                <w:color w:val="auto"/>
              </w:rPr>
            </w:pPr>
          </w:p>
        </w:tc>
        <w:tc>
          <w:tcPr>
            <w:tcW w:w="26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Balance Sheet Location</w:t>
            </w:r>
          </w:p>
        </w:tc>
        <w:tc>
          <w:tcPr>
            <w:tcW w:w="5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99"/>
              </w:rPr>
              <w:t>Fair Value</w:t>
            </w:r>
          </w:p>
        </w:tc>
        <w:tc>
          <w:tcPr>
            <w:tcW w:w="280" w:type="dxa"/>
            <w:vAlign w:val="bottom"/>
            <w:tcBorders>
              <w:bottom w:val="single" w:sz="8" w:color="auto"/>
            </w:tcBorders>
          </w:tcPr>
          <w:p>
            <w:pPr>
              <w:spacing w:after="0"/>
              <w:rPr>
                <w:sz w:val="18"/>
                <w:szCs w:val="18"/>
                <w:color w:val="auto"/>
              </w:rPr>
            </w:pPr>
          </w:p>
        </w:tc>
        <w:tc>
          <w:tcPr>
            <w:tcW w:w="26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Balance Sheet Location</w:t>
            </w:r>
          </w:p>
        </w:tc>
        <w:tc>
          <w:tcPr>
            <w:tcW w:w="4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99"/>
              </w:rPr>
              <w:t>Fair Value</w:t>
            </w:r>
          </w:p>
        </w:tc>
      </w:tr>
      <w:tr>
        <w:trPr>
          <w:trHeight w:val="210"/>
        </w:trPr>
        <w:tc>
          <w:tcPr>
            <w:tcW w:w="2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Foreign exchange contracts</w:t>
            </w:r>
          </w:p>
        </w:tc>
        <w:tc>
          <w:tcPr>
            <w:tcW w:w="3180" w:type="dxa"/>
            <w:vAlign w:val="bottom"/>
            <w:gridSpan w:val="2"/>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Other current assets</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4.6</w:t>
            </w:r>
          </w:p>
        </w:tc>
        <w:tc>
          <w:tcPr>
            <w:tcW w:w="2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current liabilities</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7.8</w:t>
            </w:r>
          </w:p>
        </w:tc>
      </w:tr>
      <w:tr>
        <w:trPr>
          <w:trHeight w:val="216"/>
        </w:trPr>
        <w:tc>
          <w:tcPr>
            <w:tcW w:w="2580" w:type="dxa"/>
            <w:vAlign w:val="bottom"/>
          </w:tcPr>
          <w:p>
            <w:pPr>
              <w:spacing w:after="0"/>
              <w:rPr>
                <w:sz w:val="20"/>
                <w:szCs w:val="20"/>
                <w:color w:val="auto"/>
              </w:rPr>
            </w:pPr>
            <w:r>
              <w:rPr>
                <w:rFonts w:ascii="Times New Roman" w:cs="Times New Roman" w:eastAsia="Times New Roman" w:hAnsi="Times New Roman"/>
                <w:sz w:val="18"/>
                <w:szCs w:val="18"/>
                <w:color w:val="auto"/>
              </w:rPr>
              <w:t>Commodity contracts</w:t>
            </w:r>
          </w:p>
        </w:tc>
        <w:tc>
          <w:tcPr>
            <w:tcW w:w="3180" w:type="dxa"/>
            <w:vAlign w:val="bottom"/>
            <w:gridSpan w:val="2"/>
          </w:tcPr>
          <w:p>
            <w:pPr>
              <w:ind w:left="580"/>
              <w:spacing w:after="0"/>
              <w:rPr>
                <w:sz w:val="20"/>
                <w:szCs w:val="20"/>
                <w:color w:val="auto"/>
              </w:rPr>
            </w:pPr>
            <w:r>
              <w:rPr>
                <w:rFonts w:ascii="Times New Roman" w:cs="Times New Roman" w:eastAsia="Times New Roman" w:hAnsi="Times New Roman"/>
                <w:sz w:val="18"/>
                <w:szCs w:val="18"/>
                <w:color w:val="auto"/>
              </w:rPr>
              <w:t>Other current assets</w:t>
            </w:r>
          </w:p>
        </w:tc>
        <w:tc>
          <w:tcPr>
            <w:tcW w:w="520" w:type="dxa"/>
            <w:vAlign w:val="bottom"/>
          </w:tcPr>
          <w:p>
            <w:pPr>
              <w:spacing w:after="0"/>
              <w:rPr>
                <w:sz w:val="18"/>
                <w:szCs w:val="18"/>
                <w:color w:val="auto"/>
              </w:rPr>
            </w:pPr>
          </w:p>
        </w:tc>
        <w:tc>
          <w:tcPr>
            <w:tcW w:w="11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.5</w:t>
            </w:r>
          </w:p>
        </w:tc>
        <w:tc>
          <w:tcPr>
            <w:tcW w:w="2620" w:type="dxa"/>
            <w:vAlign w:val="bottom"/>
          </w:tcPr>
          <w:p>
            <w:pPr>
              <w:spacing w:after="0"/>
              <w:rPr>
                <w:sz w:val="20"/>
                <w:szCs w:val="20"/>
                <w:color w:val="auto"/>
              </w:rPr>
            </w:pPr>
            <w:r>
              <w:rPr>
                <w:rFonts w:ascii="Times New Roman" w:cs="Times New Roman" w:eastAsia="Times New Roman" w:hAnsi="Times New Roman"/>
                <w:sz w:val="18"/>
                <w:szCs w:val="18"/>
                <w:color w:val="auto"/>
              </w:rPr>
              <w:t>Other current liabilities</w:t>
            </w:r>
          </w:p>
        </w:tc>
        <w:tc>
          <w:tcPr>
            <w:tcW w:w="440" w:type="dxa"/>
            <w:vAlign w:val="bottom"/>
          </w:tcPr>
          <w:p>
            <w:pPr>
              <w:spacing w:after="0"/>
              <w:rPr>
                <w:sz w:val="18"/>
                <w:szCs w:val="18"/>
                <w:color w:val="auto"/>
              </w:rPr>
            </w:pPr>
          </w:p>
        </w:tc>
        <w:tc>
          <w:tcPr>
            <w:tcW w:w="9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r>
      <w:tr>
        <w:trPr>
          <w:trHeight w:val="84"/>
        </w:trPr>
        <w:tc>
          <w:tcPr>
            <w:tcW w:w="2580" w:type="dxa"/>
            <w:vAlign w:val="bottom"/>
            <w:shd w:val="clear" w:color="auto" w:fill="CCEEFF"/>
          </w:tcPr>
          <w:p>
            <w:pPr>
              <w:spacing w:after="0"/>
              <w:rPr>
                <w:sz w:val="7"/>
                <w:szCs w:val="7"/>
                <w:color w:val="auto"/>
              </w:rPr>
            </w:pPr>
          </w:p>
        </w:tc>
        <w:tc>
          <w:tcPr>
            <w:tcW w:w="580" w:type="dxa"/>
            <w:vAlign w:val="bottom"/>
            <w:shd w:val="clear" w:color="auto" w:fill="CCEEFF"/>
          </w:tcPr>
          <w:p>
            <w:pPr>
              <w:spacing w:after="0"/>
              <w:rPr>
                <w:sz w:val="7"/>
                <w:szCs w:val="7"/>
                <w:color w:val="auto"/>
              </w:rPr>
            </w:pPr>
          </w:p>
        </w:tc>
        <w:tc>
          <w:tcPr>
            <w:tcW w:w="2600" w:type="dxa"/>
            <w:vAlign w:val="bottom"/>
            <w:shd w:val="clear" w:color="auto" w:fill="CCEEFF"/>
          </w:tcPr>
          <w:p>
            <w:pPr>
              <w:spacing w:after="0"/>
              <w:rPr>
                <w:sz w:val="7"/>
                <w:szCs w:val="7"/>
                <w:color w:val="auto"/>
              </w:rPr>
            </w:pPr>
          </w:p>
        </w:tc>
        <w:tc>
          <w:tcPr>
            <w:tcW w:w="520" w:type="dxa"/>
            <w:vAlign w:val="bottom"/>
            <w:shd w:val="clear" w:color="auto" w:fill="CCEEFF"/>
          </w:tcPr>
          <w:p>
            <w:pPr>
              <w:spacing w:after="0"/>
              <w:rPr>
                <w:sz w:val="7"/>
                <w:szCs w:val="7"/>
                <w:color w:val="auto"/>
              </w:rPr>
            </w:pPr>
          </w:p>
        </w:tc>
        <w:tc>
          <w:tcPr>
            <w:tcW w:w="840" w:type="dxa"/>
            <w:vAlign w:val="bottom"/>
            <w:shd w:val="clear" w:color="auto" w:fill="CCEEFF"/>
          </w:tcPr>
          <w:p>
            <w:pPr>
              <w:spacing w:after="0"/>
              <w:rPr>
                <w:sz w:val="7"/>
                <w:szCs w:val="7"/>
                <w:color w:val="auto"/>
              </w:rPr>
            </w:pPr>
          </w:p>
        </w:tc>
        <w:tc>
          <w:tcPr>
            <w:tcW w:w="280" w:type="dxa"/>
            <w:vAlign w:val="bottom"/>
            <w:shd w:val="clear" w:color="auto" w:fill="CCEEFF"/>
          </w:tcPr>
          <w:p>
            <w:pPr>
              <w:spacing w:after="0"/>
              <w:rPr>
                <w:sz w:val="7"/>
                <w:szCs w:val="7"/>
                <w:color w:val="auto"/>
              </w:rPr>
            </w:pPr>
          </w:p>
        </w:tc>
        <w:tc>
          <w:tcPr>
            <w:tcW w:w="2620" w:type="dxa"/>
            <w:vAlign w:val="bottom"/>
            <w:shd w:val="clear" w:color="auto" w:fill="CCEEFF"/>
          </w:tcPr>
          <w:p>
            <w:pPr>
              <w:spacing w:after="0"/>
              <w:rPr>
                <w:sz w:val="7"/>
                <w:szCs w:val="7"/>
                <w:color w:val="auto"/>
              </w:rPr>
            </w:pPr>
          </w:p>
        </w:tc>
        <w:tc>
          <w:tcPr>
            <w:tcW w:w="440" w:type="dxa"/>
            <w:vAlign w:val="bottom"/>
            <w:shd w:val="clear" w:color="auto" w:fill="CCEEFF"/>
          </w:tcPr>
          <w:p>
            <w:pPr>
              <w:spacing w:after="0"/>
              <w:rPr>
                <w:sz w:val="7"/>
                <w:szCs w:val="7"/>
                <w:color w:val="auto"/>
              </w:rPr>
            </w:pPr>
          </w:p>
        </w:tc>
        <w:tc>
          <w:tcPr>
            <w:tcW w:w="960" w:type="dxa"/>
            <w:vAlign w:val="bottom"/>
            <w:shd w:val="clear" w:color="auto" w:fill="CCEEFF"/>
          </w:tcPr>
          <w:p>
            <w:pPr>
              <w:spacing w:after="0"/>
              <w:rPr>
                <w:sz w:val="7"/>
                <w:szCs w:val="7"/>
                <w:color w:val="auto"/>
              </w:rPr>
            </w:pPr>
          </w:p>
        </w:tc>
      </w:tr>
    </w:tbl>
    <w:p>
      <w:pPr>
        <w:sectPr>
          <w:pgSz w:w="11900" w:h="16900" w:orient="portrait"/>
          <w:cols w:equalWidth="0" w:num="1">
            <w:col w:w="11420"/>
          </w:cols>
          <w:pgMar w:left="240" w:top="121" w:right="239" w:bottom="0" w:gutter="0" w:footer="0" w:header="0"/>
        </w:sectPr>
      </w:pPr>
    </w:p>
    <w:bookmarkStart w:id="8" w:name="page9"/>
    <w:bookmarkEnd w:id="8"/>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36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Commodity contracts</w:t>
            </w:r>
          </w:p>
        </w:tc>
        <w:tc>
          <w:tcPr>
            <w:tcW w:w="4200" w:type="dxa"/>
            <w:vAlign w:val="bottom"/>
            <w:tcBorders>
              <w:bottom w:val="single" w:sz="8" w:color="auto"/>
            </w:tcBorders>
            <w:shd w:val="clear" w:color="auto" w:fill="CCEEFF"/>
          </w:tcPr>
          <w:p>
            <w:pPr>
              <w:jc w:val="right"/>
              <w:ind w:right="2430"/>
              <w:spacing w:after="0"/>
              <w:rPr>
                <w:sz w:val="20"/>
                <w:szCs w:val="20"/>
                <w:color w:val="auto"/>
              </w:rPr>
            </w:pPr>
            <w:r>
              <w:rPr>
                <w:rFonts w:ascii="Times New Roman" w:cs="Times New Roman" w:eastAsia="Times New Roman" w:hAnsi="Times New Roman"/>
                <w:sz w:val="18"/>
                <w:szCs w:val="18"/>
                <w:color w:val="auto"/>
              </w:rPr>
              <w:t>Other assets</w:t>
            </w:r>
          </w:p>
        </w:tc>
        <w:tc>
          <w:tcPr>
            <w:tcW w:w="2160" w:type="dxa"/>
            <w:vAlign w:val="bottom"/>
            <w:tcBorders>
              <w:bottom w:val="single" w:sz="8" w:color="auto"/>
            </w:tcBorders>
            <w:shd w:val="clear" w:color="auto" w:fill="CCEEFF"/>
          </w:tcPr>
          <w:p>
            <w:pPr>
              <w:jc w:val="right"/>
              <w:ind w:right="1510"/>
              <w:spacing w:after="0"/>
              <w:rPr>
                <w:sz w:val="20"/>
                <w:szCs w:val="20"/>
                <w:color w:val="auto"/>
              </w:rPr>
            </w:pPr>
            <w:r>
              <w:rPr>
                <w:rFonts w:ascii="Times New Roman" w:cs="Times New Roman" w:eastAsia="Times New Roman" w:hAnsi="Times New Roman"/>
                <w:sz w:val="18"/>
                <w:szCs w:val="18"/>
                <w:color w:val="auto"/>
              </w:rPr>
              <w:t>.1</w:t>
            </w:r>
          </w:p>
        </w:tc>
        <w:tc>
          <w:tcPr>
            <w:tcW w:w="204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spacing w:after="0"/>
              <w:rPr>
                <w:sz w:val="18"/>
                <w:szCs w:val="18"/>
                <w:color w:val="auto"/>
              </w:rPr>
            </w:pPr>
          </w:p>
        </w:tc>
      </w:tr>
      <w:tr>
        <w:trPr>
          <w:trHeight w:val="217"/>
        </w:trPr>
        <w:tc>
          <w:tcPr>
            <w:tcW w:w="2360" w:type="dxa"/>
            <w:vAlign w:val="bottom"/>
            <w:tcBorders>
              <w:bottom w:val="single" w:sz="8" w:color="auto"/>
            </w:tcBorders>
          </w:tcPr>
          <w:p>
            <w:pPr>
              <w:spacing w:after="0"/>
              <w:rPr>
                <w:sz w:val="18"/>
                <w:szCs w:val="18"/>
                <w:color w:val="auto"/>
              </w:rPr>
            </w:pPr>
          </w:p>
        </w:tc>
        <w:tc>
          <w:tcPr>
            <w:tcW w:w="420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2160" w:type="dxa"/>
            <w:vAlign w:val="bottom"/>
            <w:tcBorders>
              <w:bottom w:val="single" w:sz="8" w:color="auto"/>
            </w:tcBorders>
          </w:tcPr>
          <w:p>
            <w:pPr>
              <w:jc w:val="right"/>
              <w:ind w:right="1510"/>
              <w:spacing w:after="0"/>
              <w:rPr>
                <w:sz w:val="20"/>
                <w:szCs w:val="20"/>
                <w:color w:val="auto"/>
              </w:rPr>
            </w:pPr>
            <w:r>
              <w:rPr>
                <w:rFonts w:ascii="Times New Roman" w:cs="Times New Roman" w:eastAsia="Times New Roman" w:hAnsi="Times New Roman"/>
                <w:sz w:val="18"/>
                <w:szCs w:val="18"/>
                <w:color w:val="auto"/>
              </w:rPr>
              <w:t>5.2</w:t>
            </w:r>
          </w:p>
        </w:tc>
        <w:tc>
          <w:tcPr>
            <w:tcW w:w="204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7.8</w:t>
            </w:r>
          </w:p>
        </w:tc>
      </w:tr>
    </w:tbl>
    <w:p>
      <w:pPr>
        <w:spacing w:after="0" w:line="19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w:anchor="page1">
        <w:r>
          <w:rPr>
            <w:rFonts w:ascii="Times New Roman" w:cs="Times New Roman" w:eastAsia="Times New Roman" w:hAnsi="Times New Roman"/>
            <w:sz w:val="18"/>
            <w:szCs w:val="18"/>
            <w:u w:val="single" w:color="auto"/>
            <w:color w:val="0000EE"/>
          </w:rPr>
          <w:t>Table of Contents</w:t>
        </w:r>
      </w:hyperlink>
    </w:p>
    <w:p>
      <w:pPr>
        <w:spacing w:after="0" w:line="22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Avery Dennison Corporation</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Fair Value Hedges</w:t>
      </w:r>
    </w:p>
    <w:p>
      <w:pPr>
        <w:spacing w:after="0" w:line="3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following table shows the components of net gains (losses), before taxes, recognized in income related to fair value hedge contracts. The corresponding gains or losses on the underlying hedged items approximated the net gains (losses) on these fair value hedge contracts.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640" w:type="dxa"/>
            <w:vAlign w:val="bottom"/>
          </w:tcPr>
          <w:p>
            <w:pPr>
              <w:spacing w:after="0"/>
              <w:rPr>
                <w:sz w:val="20"/>
                <w:szCs w:val="20"/>
                <w:color w:val="auto"/>
              </w:rPr>
            </w:pPr>
          </w:p>
        </w:tc>
        <w:tc>
          <w:tcPr>
            <w:tcW w:w="2740" w:type="dxa"/>
            <w:vAlign w:val="bottom"/>
            <w:vMerge w:val="restart"/>
          </w:tcPr>
          <w:p>
            <w:pPr>
              <w:ind w:left="340"/>
              <w:spacing w:after="0"/>
              <w:rPr>
                <w:sz w:val="20"/>
                <w:szCs w:val="20"/>
                <w:color w:val="auto"/>
              </w:rPr>
            </w:pPr>
            <w:r>
              <w:rPr>
                <w:rFonts w:ascii="Times New Roman" w:cs="Times New Roman" w:eastAsia="Times New Roman" w:hAnsi="Times New Roman"/>
                <w:sz w:val="18"/>
                <w:szCs w:val="18"/>
                <w:b w:val="1"/>
                <w:bCs w:val="1"/>
                <w:color w:val="auto"/>
              </w:rPr>
              <w:t>Location of Net Gains</w:t>
            </w:r>
          </w:p>
        </w:tc>
        <w:tc>
          <w:tcPr>
            <w:tcW w:w="700" w:type="dxa"/>
            <w:vAlign w:val="bottom"/>
            <w:tcBorders>
              <w:bottom w:val="single" w:sz="8" w:color="auto"/>
            </w:tcBorders>
          </w:tcPr>
          <w:p>
            <w:pPr>
              <w:spacing w:after="0"/>
              <w:rPr>
                <w:sz w:val="20"/>
                <w:szCs w:val="20"/>
                <w:color w:val="auto"/>
              </w:rPr>
            </w:pPr>
          </w:p>
        </w:tc>
        <w:tc>
          <w:tcPr>
            <w:tcW w:w="2140" w:type="dxa"/>
            <w:vAlign w:val="bottom"/>
            <w:tcBorders>
              <w:bottom w:val="single" w:sz="8" w:color="auto"/>
            </w:tcBorders>
            <w:gridSpan w:val="2"/>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60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700" w:type="dxa"/>
            <w:vAlign w:val="bottom"/>
            <w:tcBorders>
              <w:bottom w:val="single" w:sz="8" w:color="auto"/>
            </w:tcBorders>
          </w:tcPr>
          <w:p>
            <w:pPr>
              <w:spacing w:after="0"/>
              <w:rPr>
                <w:sz w:val="20"/>
                <w:szCs w:val="20"/>
                <w:color w:val="auto"/>
              </w:rPr>
            </w:pPr>
          </w:p>
        </w:tc>
        <w:tc>
          <w:tcPr>
            <w:tcW w:w="2160" w:type="dxa"/>
            <w:vAlign w:val="bottom"/>
            <w:tcBorders>
              <w:bottom w:val="single" w:sz="8" w:color="auto"/>
            </w:tcBorders>
            <w:gridSpan w:val="2"/>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Nine Months Ended</w:t>
            </w:r>
          </w:p>
        </w:tc>
        <w:tc>
          <w:tcPr>
            <w:tcW w:w="52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74"/>
        </w:trPr>
        <w:tc>
          <w:tcPr>
            <w:tcW w:w="1640" w:type="dxa"/>
            <w:vAlign w:val="bottom"/>
          </w:tcPr>
          <w:p>
            <w:pPr>
              <w:spacing w:after="0"/>
              <w:rPr>
                <w:sz w:val="15"/>
                <w:szCs w:val="15"/>
                <w:color w:val="auto"/>
              </w:rPr>
            </w:pPr>
          </w:p>
        </w:tc>
        <w:tc>
          <w:tcPr>
            <w:tcW w:w="2740" w:type="dxa"/>
            <w:vAlign w:val="bottom"/>
            <w:vMerge w:val="continue"/>
          </w:tcPr>
          <w:p>
            <w:pPr>
              <w:spacing w:after="0"/>
              <w:rPr>
                <w:sz w:val="15"/>
                <w:szCs w:val="15"/>
                <w:color w:val="auto"/>
              </w:rPr>
            </w:pPr>
          </w:p>
        </w:tc>
        <w:tc>
          <w:tcPr>
            <w:tcW w:w="70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8"/>
        </w:trPr>
        <w:tc>
          <w:tcPr>
            <w:tcW w:w="16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(In millions)</w:t>
            </w:r>
          </w:p>
        </w:tc>
        <w:tc>
          <w:tcPr>
            <w:tcW w:w="2740" w:type="dxa"/>
            <w:vAlign w:val="bottom"/>
            <w:tcBorders>
              <w:bottom w:val="single" w:sz="8" w:color="auto"/>
            </w:tcBorders>
          </w:tcPr>
          <w:p>
            <w:pPr>
              <w:ind w:left="340"/>
              <w:spacing w:after="0"/>
              <w:rPr>
                <w:sz w:val="20"/>
                <w:szCs w:val="20"/>
                <w:color w:val="auto"/>
              </w:rPr>
            </w:pPr>
            <w:r>
              <w:rPr>
                <w:rFonts w:ascii="Times New Roman" w:cs="Times New Roman" w:eastAsia="Times New Roman" w:hAnsi="Times New Roman"/>
                <w:sz w:val="18"/>
                <w:szCs w:val="18"/>
                <w:b w:val="1"/>
                <w:bCs w:val="1"/>
                <w:color w:val="auto"/>
              </w:rPr>
              <w:t>(Losses) in Income</w:t>
            </w:r>
          </w:p>
        </w:tc>
        <w:tc>
          <w:tcPr>
            <w:tcW w:w="2020" w:type="dxa"/>
            <w:vAlign w:val="bottom"/>
            <w:tcBorders>
              <w:bottom w:val="single" w:sz="8" w:color="auto"/>
            </w:tcBorders>
            <w:gridSpan w:val="2"/>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September 30, 2017</w:t>
            </w:r>
          </w:p>
        </w:tc>
        <w:tc>
          <w:tcPr>
            <w:tcW w:w="1640" w:type="dxa"/>
            <w:vAlign w:val="bottom"/>
            <w:tcBorders>
              <w:bottom w:val="single" w:sz="8" w:color="auto"/>
            </w:tcBorders>
            <w:gridSpan w:val="3"/>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October 1, 2016</w:t>
            </w:r>
          </w:p>
        </w:tc>
        <w:tc>
          <w:tcPr>
            <w:tcW w:w="1960" w:type="dxa"/>
            <w:vAlign w:val="bottom"/>
            <w:tcBorders>
              <w:bottom w:val="single" w:sz="8" w:color="auto"/>
            </w:tcBorders>
            <w:gridSpan w:val="2"/>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September 30, 2017</w:t>
            </w:r>
          </w:p>
        </w:tc>
        <w:tc>
          <w:tcPr>
            <w:tcW w:w="14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October 1, 2016</w:t>
            </w:r>
          </w:p>
        </w:tc>
        <w:tc>
          <w:tcPr>
            <w:tcW w:w="0" w:type="dxa"/>
            <w:vAlign w:val="bottom"/>
          </w:tcPr>
          <w:p>
            <w:pPr>
              <w:spacing w:after="0"/>
              <w:rPr>
                <w:sz w:val="1"/>
                <w:szCs w:val="1"/>
                <w:color w:val="auto"/>
              </w:rPr>
            </w:pPr>
          </w:p>
        </w:tc>
      </w:tr>
      <w:tr>
        <w:trPr>
          <w:trHeight w:val="191"/>
        </w:trPr>
        <w:tc>
          <w:tcPr>
            <w:tcW w:w="1640" w:type="dxa"/>
            <w:vAlign w:val="bottom"/>
            <w:shd w:val="clear" w:color="auto" w:fill="CCEEFF"/>
          </w:tcPr>
          <w:p>
            <w:pPr>
              <w:spacing w:after="0" w:line="191" w:lineRule="exact"/>
              <w:rPr>
                <w:sz w:val="20"/>
                <w:szCs w:val="20"/>
                <w:color w:val="auto"/>
              </w:rPr>
            </w:pPr>
            <w:r>
              <w:rPr>
                <w:rFonts w:ascii="Times New Roman" w:cs="Times New Roman" w:eastAsia="Times New Roman" w:hAnsi="Times New Roman"/>
                <w:sz w:val="18"/>
                <w:szCs w:val="18"/>
                <w:color w:val="auto"/>
              </w:rPr>
              <w:t>Foreign exchange</w:t>
            </w:r>
          </w:p>
        </w:tc>
        <w:tc>
          <w:tcPr>
            <w:tcW w:w="274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32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26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16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contracts</w:t>
            </w:r>
          </w:p>
        </w:tc>
        <w:tc>
          <w:tcPr>
            <w:tcW w:w="27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Cost of products sold</w:t>
            </w:r>
          </w:p>
        </w:tc>
        <w:tc>
          <w:tcPr>
            <w:tcW w:w="7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(.1)</w:t>
            </w:r>
          </w:p>
        </w:tc>
        <w:tc>
          <w:tcPr>
            <w:tcW w:w="82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w:t>
            </w:r>
          </w:p>
        </w:tc>
        <w:tc>
          <w:tcPr>
            <w:tcW w:w="7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(1.1)</w:t>
            </w:r>
          </w:p>
        </w:tc>
        <w:tc>
          <w:tcPr>
            <w:tcW w:w="9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0" w:type="dxa"/>
            <w:vAlign w:val="bottom"/>
          </w:tcPr>
          <w:p>
            <w:pPr>
              <w:spacing w:after="0"/>
              <w:rPr>
                <w:sz w:val="1"/>
                <w:szCs w:val="1"/>
                <w:color w:val="auto"/>
              </w:rPr>
            </w:pPr>
          </w:p>
        </w:tc>
      </w:tr>
      <w:tr>
        <w:trPr>
          <w:trHeight w:val="198"/>
        </w:trPr>
        <w:tc>
          <w:tcPr>
            <w:tcW w:w="164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Foreign exchange</w:t>
            </w:r>
          </w:p>
        </w:tc>
        <w:tc>
          <w:tcPr>
            <w:tcW w:w="2740" w:type="dxa"/>
            <w:vAlign w:val="bottom"/>
          </w:tcPr>
          <w:p>
            <w:pPr>
              <w:ind w:left="340"/>
              <w:spacing w:after="0" w:line="198" w:lineRule="exact"/>
              <w:rPr>
                <w:sz w:val="20"/>
                <w:szCs w:val="20"/>
                <w:color w:val="auto"/>
              </w:rPr>
            </w:pPr>
            <w:r>
              <w:rPr>
                <w:rFonts w:ascii="Times New Roman" w:cs="Times New Roman" w:eastAsia="Times New Roman" w:hAnsi="Times New Roman"/>
                <w:sz w:val="18"/>
                <w:szCs w:val="18"/>
                <w:color w:val="auto"/>
              </w:rPr>
              <w:t>Marketing, general and</w:t>
            </w:r>
          </w:p>
        </w:tc>
        <w:tc>
          <w:tcPr>
            <w:tcW w:w="7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164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contracts</w:t>
            </w:r>
          </w:p>
        </w:tc>
        <w:tc>
          <w:tcPr>
            <w:tcW w:w="2740" w:type="dxa"/>
            <w:vAlign w:val="bottom"/>
            <w:tcBorders>
              <w:bottom w:val="single" w:sz="8" w:color="auto"/>
            </w:tcBorders>
          </w:tcPr>
          <w:p>
            <w:pPr>
              <w:ind w:left="340"/>
              <w:spacing w:after="0"/>
              <w:rPr>
                <w:sz w:val="20"/>
                <w:szCs w:val="20"/>
                <w:color w:val="auto"/>
              </w:rPr>
            </w:pPr>
            <w:r>
              <w:rPr>
                <w:rFonts w:ascii="Times New Roman" w:cs="Times New Roman" w:eastAsia="Times New Roman" w:hAnsi="Times New Roman"/>
                <w:sz w:val="18"/>
                <w:szCs w:val="18"/>
                <w:color w:val="auto"/>
              </w:rPr>
              <w:t>administrative expense</w:t>
            </w:r>
          </w:p>
        </w:tc>
        <w:tc>
          <w:tcPr>
            <w:tcW w:w="70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(18.9)</w:t>
            </w:r>
          </w:p>
        </w:tc>
        <w:tc>
          <w:tcPr>
            <w:tcW w:w="82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(2.8)</w:t>
            </w:r>
          </w:p>
        </w:tc>
        <w:tc>
          <w:tcPr>
            <w:tcW w:w="70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(41.6)</w:t>
            </w:r>
          </w:p>
        </w:tc>
        <w:tc>
          <w:tcPr>
            <w:tcW w:w="900" w:type="dxa"/>
            <w:vAlign w:val="bottom"/>
            <w:tcBorders>
              <w:bottom w:val="single" w:sz="8" w:color="auto"/>
            </w:tcBorders>
          </w:tcPr>
          <w:p>
            <w:pPr>
              <w:spacing w:after="0"/>
              <w:rPr>
                <w:sz w:val="20"/>
                <w:szCs w:val="20"/>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17"/>
        </w:trPr>
        <w:tc>
          <w:tcPr>
            <w:tcW w:w="1640" w:type="dxa"/>
            <w:vAlign w:val="bottom"/>
            <w:tcBorders>
              <w:bottom w:val="single" w:sz="8" w:color="auto"/>
            </w:tcBorders>
            <w:shd w:val="clear" w:color="auto" w:fill="CCEEFF"/>
          </w:tcPr>
          <w:p>
            <w:pPr>
              <w:spacing w:after="0"/>
              <w:rPr>
                <w:sz w:val="18"/>
                <w:szCs w:val="18"/>
                <w:color w:val="auto"/>
              </w:rPr>
            </w:pPr>
          </w:p>
        </w:tc>
        <w:tc>
          <w:tcPr>
            <w:tcW w:w="274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(19.0)</w:t>
            </w:r>
          </w:p>
        </w:tc>
        <w:tc>
          <w:tcPr>
            <w:tcW w:w="820" w:type="dxa"/>
            <w:vAlign w:val="bottom"/>
            <w:tcBorders>
              <w:bottom w:val="single" w:sz="8" w:color="auto"/>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auto"/>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(3.0)</w:t>
            </w:r>
          </w:p>
        </w:tc>
        <w:tc>
          <w:tcPr>
            <w:tcW w:w="7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(42.7)</w:t>
            </w:r>
          </w:p>
        </w:tc>
        <w:tc>
          <w:tcPr>
            <w:tcW w:w="90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0" w:type="dxa"/>
            <w:vAlign w:val="bottom"/>
          </w:tcPr>
          <w:p>
            <w:pPr>
              <w:spacing w:after="0"/>
              <w:rPr>
                <w:sz w:val="1"/>
                <w:szCs w:val="1"/>
                <w:color w:val="auto"/>
              </w:rPr>
            </w:pPr>
          </w:p>
        </w:tc>
      </w:tr>
    </w:tbl>
    <w:p>
      <w:pPr>
        <w:spacing w:after="0" w:line="198"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For derivative instruments that are designated and qualify as fair value hedges, the gain or loss on the derivative and the offsetting loss or gain on the hedged item attributable to the hedged risk are recognized in current earnings, resulting in no material net impact to income.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 Hedges</w:t>
      </w:r>
    </w:p>
    <w:p>
      <w:pPr>
        <w:spacing w:after="0" w:line="3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Gains (losses), before taxes, recognized in “Accumulated other comprehensive loss” (effective portion) on derivatives related to cash flow hedge contracts were as follows: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660" w:type="dxa"/>
            <w:vAlign w:val="bottom"/>
          </w:tcPr>
          <w:p>
            <w:pPr>
              <w:spacing w:after="0"/>
              <w:rPr>
                <w:sz w:val="20"/>
                <w:szCs w:val="20"/>
                <w:color w:val="auto"/>
              </w:rPr>
            </w:pPr>
          </w:p>
        </w:tc>
        <w:tc>
          <w:tcPr>
            <w:tcW w:w="780" w:type="dxa"/>
            <w:vAlign w:val="bottom"/>
            <w:tcBorders>
              <w:bottom w:val="single" w:sz="8" w:color="auto"/>
            </w:tcBorders>
          </w:tcPr>
          <w:p>
            <w:pPr>
              <w:spacing w:after="0"/>
              <w:rPr>
                <w:sz w:val="20"/>
                <w:szCs w:val="20"/>
                <w:color w:val="auto"/>
              </w:rPr>
            </w:pPr>
          </w:p>
        </w:tc>
        <w:tc>
          <w:tcPr>
            <w:tcW w:w="2260" w:type="dxa"/>
            <w:vAlign w:val="bottom"/>
            <w:tcBorders>
              <w:bottom w:val="single" w:sz="8" w:color="auto"/>
            </w:tcBorders>
            <w:gridSpan w:val="2"/>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620" w:type="dxa"/>
            <w:vAlign w:val="bottom"/>
            <w:tcBorders>
              <w:bottom w:val="single" w:sz="8" w:color="auto"/>
            </w:tcBorders>
          </w:tcPr>
          <w:p>
            <w:pPr>
              <w:spacing w:after="0"/>
              <w:rPr>
                <w:sz w:val="20"/>
                <w:szCs w:val="20"/>
                <w:color w:val="auto"/>
              </w:rPr>
            </w:pPr>
          </w:p>
        </w:tc>
        <w:tc>
          <w:tcPr>
            <w:tcW w:w="340" w:type="dxa"/>
            <w:vAlign w:val="bottom"/>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2220" w:type="dxa"/>
            <w:vAlign w:val="bottom"/>
            <w:tcBorders>
              <w:bottom w:val="single" w:sz="8" w:color="auto"/>
            </w:tcBorders>
            <w:gridSpan w:val="2"/>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Nine Months Ended</w:t>
            </w:r>
          </w:p>
        </w:tc>
        <w:tc>
          <w:tcPr>
            <w:tcW w:w="720" w:type="dxa"/>
            <w:vAlign w:val="bottom"/>
            <w:tcBorders>
              <w:bottom w:val="single" w:sz="8" w:color="auto"/>
            </w:tcBorders>
          </w:tcPr>
          <w:p>
            <w:pPr>
              <w:spacing w:after="0"/>
              <w:rPr>
                <w:sz w:val="20"/>
                <w:szCs w:val="20"/>
                <w:color w:val="auto"/>
              </w:rPr>
            </w:pPr>
          </w:p>
        </w:tc>
      </w:tr>
      <w:tr>
        <w:trPr>
          <w:trHeight w:val="210"/>
        </w:trPr>
        <w:tc>
          <w:tcPr>
            <w:tcW w:w="36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(In millions)</w:t>
            </w:r>
          </w:p>
        </w:tc>
        <w:tc>
          <w:tcPr>
            <w:tcW w:w="2140" w:type="dxa"/>
            <w:vAlign w:val="bottom"/>
            <w:tcBorders>
              <w:bottom w:val="single" w:sz="8" w:color="auto"/>
            </w:tcBorders>
            <w:gridSpan w:val="2"/>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September 30, 2017</w:t>
            </w:r>
          </w:p>
        </w:tc>
        <w:tc>
          <w:tcPr>
            <w:tcW w:w="1520" w:type="dxa"/>
            <w:vAlign w:val="bottom"/>
            <w:tcBorders>
              <w:bottom w:val="single" w:sz="8" w:color="auto"/>
            </w:tcBorders>
            <w:gridSpan w:val="2"/>
          </w:tcPr>
          <w:p>
            <w:pPr>
              <w:ind w:left="320"/>
              <w:spacing w:after="0"/>
              <w:rPr>
                <w:sz w:val="20"/>
                <w:szCs w:val="20"/>
                <w:color w:val="auto"/>
              </w:rPr>
            </w:pPr>
            <w:r>
              <w:rPr>
                <w:rFonts w:ascii="Times New Roman" w:cs="Times New Roman" w:eastAsia="Times New Roman" w:hAnsi="Times New Roman"/>
                <w:sz w:val="18"/>
                <w:szCs w:val="18"/>
                <w:b w:val="1"/>
                <w:bCs w:val="1"/>
                <w:color w:val="auto"/>
                <w:w w:val="97"/>
              </w:rPr>
              <w:t>October 1, 2016</w:t>
            </w:r>
          </w:p>
        </w:tc>
        <w:tc>
          <w:tcPr>
            <w:tcW w:w="340" w:type="dxa"/>
            <w:vAlign w:val="bottom"/>
            <w:tcBorders>
              <w:bottom w:val="single" w:sz="8" w:color="auto"/>
            </w:tcBorders>
          </w:tcPr>
          <w:p>
            <w:pPr>
              <w:spacing w:after="0"/>
              <w:rPr>
                <w:sz w:val="18"/>
                <w:szCs w:val="18"/>
                <w:color w:val="auto"/>
              </w:rPr>
            </w:pPr>
          </w:p>
        </w:tc>
        <w:tc>
          <w:tcPr>
            <w:tcW w:w="2160" w:type="dxa"/>
            <w:vAlign w:val="bottom"/>
            <w:tcBorders>
              <w:bottom w:val="single" w:sz="8" w:color="auto"/>
            </w:tcBorders>
            <w:gridSpan w:val="2"/>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September 30, 2017</w:t>
            </w:r>
          </w:p>
        </w:tc>
        <w:tc>
          <w:tcPr>
            <w:tcW w:w="1600" w:type="dxa"/>
            <w:vAlign w:val="bottom"/>
            <w:tcBorders>
              <w:bottom w:val="single" w:sz="8" w:color="auto"/>
            </w:tcBorders>
            <w:gridSpan w:val="2"/>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October 1, 2016</w:t>
            </w:r>
          </w:p>
        </w:tc>
      </w:tr>
      <w:tr>
        <w:trPr>
          <w:trHeight w:val="210"/>
        </w:trPr>
        <w:tc>
          <w:tcPr>
            <w:tcW w:w="3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Foreign exchange contracts</w:t>
            </w:r>
          </w:p>
        </w:tc>
        <w:tc>
          <w:tcPr>
            <w:tcW w:w="7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1.3</w:t>
            </w:r>
          </w:p>
        </w:tc>
        <w:tc>
          <w:tcPr>
            <w:tcW w:w="90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(1.3)</w:t>
            </w:r>
          </w:p>
        </w:tc>
        <w:tc>
          <w:tcPr>
            <w:tcW w:w="82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(2.2)</w:t>
            </w:r>
          </w:p>
        </w:tc>
        <w:tc>
          <w:tcPr>
            <w:tcW w:w="88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w:t>
            </w:r>
          </w:p>
        </w:tc>
      </w:tr>
      <w:tr>
        <w:trPr>
          <w:trHeight w:val="216"/>
        </w:trPr>
        <w:tc>
          <w:tcPr>
            <w:tcW w:w="36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Commodity contracts</w:t>
            </w:r>
          </w:p>
        </w:tc>
        <w:tc>
          <w:tcPr>
            <w:tcW w:w="78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(.2)</w:t>
            </w:r>
          </w:p>
        </w:tc>
        <w:tc>
          <w:tcPr>
            <w:tcW w:w="82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rPr>
              <w:t>(.4)</w:t>
            </w:r>
          </w:p>
        </w:tc>
        <w:tc>
          <w:tcPr>
            <w:tcW w:w="88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w:t>
            </w:r>
          </w:p>
        </w:tc>
      </w:tr>
      <w:tr>
        <w:trPr>
          <w:trHeight w:val="217"/>
        </w:trPr>
        <w:tc>
          <w:tcPr>
            <w:tcW w:w="366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bottom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1.3</w:t>
            </w:r>
          </w:p>
        </w:tc>
        <w:tc>
          <w:tcPr>
            <w:tcW w:w="900" w:type="dxa"/>
            <w:vAlign w:val="bottom"/>
            <w:tcBorders>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(1.5)</w:t>
            </w:r>
          </w:p>
        </w:tc>
        <w:tc>
          <w:tcPr>
            <w:tcW w:w="82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(2.6)</w:t>
            </w:r>
          </w:p>
        </w:tc>
        <w:tc>
          <w:tcPr>
            <w:tcW w:w="880" w:type="dxa"/>
            <w:vAlign w:val="bottom"/>
            <w:tcBorders>
              <w:bottom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w:t>
            </w:r>
          </w:p>
        </w:tc>
      </w:tr>
    </w:tbl>
    <w:p>
      <w:pPr>
        <w:spacing w:after="0" w:line="19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For derivative instruments that are designated and qualify as cash flow hedges, the effective portion of the gain or loss on the derivative is reported as a component of “Accumulated other comprehensive loss” and reclassified into earnings in the same period(s) during which the hedged transaction impacts earnings. Gains and losses on the derivative, representing either hedge ineffectiveness or hedge components excluded from the assessment of effectiveness, are recognized in current earnings.</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amount recognized in income related to the ineffective portion of, and the amount excluded from, effectiveness testing for cash flow hedges and derivatives not designated as hedging instruments was not material for the three and nine months ended September 30, 2017 and October 1, 2016, respectively.</w:t>
      </w:r>
    </w:p>
    <w:p>
      <w:pPr>
        <w:spacing w:after="0" w:line="176"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As of September 30, 2017, we expected a net loss of approximately $.1 million to be reclassified from “Accumulated other comprehensive loss” to earnings within the next 12 months.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Investment Hedge</w:t>
      </w:r>
    </w:p>
    <w:p>
      <w:pPr>
        <w:spacing w:after="0" w:line="3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March 2017, we designated our €500 million of euro-denominated 1.25% senior notes due 2025 as a net investment hedge of our investment in foreign operations. The net assets from the investment in foreign operations were greater than the senior notes, and as such, the net investment hedge was effective. Refer to Note 5, “Debt,” for further information about our euro-denominated debt.</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Gain (loss), before tax, recognized in “Accumulated other comprehensive loss” (effective portion) related to the net investment hedge was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660" w:type="dxa"/>
            <w:vAlign w:val="bottom"/>
          </w:tcPr>
          <w:p>
            <w:pPr>
              <w:spacing w:after="0"/>
              <w:rPr>
                <w:sz w:val="20"/>
                <w:szCs w:val="20"/>
                <w:color w:val="auto"/>
              </w:rPr>
            </w:pPr>
          </w:p>
        </w:tc>
        <w:tc>
          <w:tcPr>
            <w:tcW w:w="780" w:type="dxa"/>
            <w:vAlign w:val="bottom"/>
            <w:tcBorders>
              <w:bottom w:val="single" w:sz="8" w:color="auto"/>
            </w:tcBorders>
          </w:tcPr>
          <w:p>
            <w:pPr>
              <w:spacing w:after="0"/>
              <w:rPr>
                <w:sz w:val="20"/>
                <w:szCs w:val="20"/>
                <w:color w:val="auto"/>
              </w:rPr>
            </w:pPr>
          </w:p>
        </w:tc>
        <w:tc>
          <w:tcPr>
            <w:tcW w:w="2260" w:type="dxa"/>
            <w:vAlign w:val="bottom"/>
            <w:tcBorders>
              <w:bottom w:val="single" w:sz="8" w:color="auto"/>
            </w:tcBorders>
            <w:gridSpan w:val="2"/>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600" w:type="dxa"/>
            <w:vAlign w:val="bottom"/>
            <w:tcBorders>
              <w:bottom w:val="single" w:sz="8" w:color="auto"/>
            </w:tcBorders>
          </w:tcPr>
          <w:p>
            <w:pPr>
              <w:spacing w:after="0"/>
              <w:rPr>
                <w:sz w:val="20"/>
                <w:szCs w:val="20"/>
                <w:color w:val="auto"/>
              </w:rPr>
            </w:pPr>
          </w:p>
        </w:tc>
        <w:tc>
          <w:tcPr>
            <w:tcW w:w="320" w:type="dxa"/>
            <w:vAlign w:val="bottom"/>
          </w:tcPr>
          <w:p>
            <w:pPr>
              <w:spacing w:after="0"/>
              <w:rPr>
                <w:sz w:val="20"/>
                <w:szCs w:val="20"/>
                <w:color w:val="auto"/>
              </w:rPr>
            </w:pPr>
          </w:p>
        </w:tc>
        <w:tc>
          <w:tcPr>
            <w:tcW w:w="3100" w:type="dxa"/>
            <w:vAlign w:val="bottom"/>
            <w:tcBorders>
              <w:bottom w:val="single" w:sz="8" w:color="auto"/>
            </w:tcBorders>
            <w:gridSpan w:val="2"/>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Nine Months Ended</w:t>
            </w:r>
          </w:p>
        </w:tc>
        <w:tc>
          <w:tcPr>
            <w:tcW w:w="700" w:type="dxa"/>
            <w:vAlign w:val="bottom"/>
            <w:tcBorders>
              <w:bottom w:val="single" w:sz="8" w:color="auto"/>
            </w:tcBorders>
          </w:tcPr>
          <w:p>
            <w:pPr>
              <w:spacing w:after="0"/>
              <w:rPr>
                <w:sz w:val="20"/>
                <w:szCs w:val="20"/>
                <w:color w:val="auto"/>
              </w:rPr>
            </w:pPr>
          </w:p>
        </w:tc>
      </w:tr>
      <w:tr>
        <w:trPr>
          <w:trHeight w:val="210"/>
        </w:trPr>
        <w:tc>
          <w:tcPr>
            <w:tcW w:w="36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(In millions)</w:t>
            </w:r>
          </w:p>
        </w:tc>
        <w:tc>
          <w:tcPr>
            <w:tcW w:w="2160" w:type="dxa"/>
            <w:vAlign w:val="bottom"/>
            <w:tcBorders>
              <w:bottom w:val="single" w:sz="8" w:color="auto"/>
            </w:tcBorders>
            <w:gridSpan w:val="2"/>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September 30, 2017</w:t>
            </w:r>
          </w:p>
        </w:tc>
        <w:tc>
          <w:tcPr>
            <w:tcW w:w="14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October 1, 2016</w:t>
            </w:r>
          </w:p>
        </w:tc>
        <w:tc>
          <w:tcPr>
            <w:tcW w:w="320" w:type="dxa"/>
            <w:vAlign w:val="bottom"/>
            <w:tcBorders>
              <w:bottom w:val="single" w:sz="8" w:color="auto"/>
            </w:tcBorders>
          </w:tcPr>
          <w:p>
            <w:pPr>
              <w:spacing w:after="0"/>
              <w:rPr>
                <w:sz w:val="18"/>
                <w:szCs w:val="18"/>
                <w:color w:val="auto"/>
              </w:rPr>
            </w:pPr>
          </w:p>
        </w:tc>
        <w:tc>
          <w:tcPr>
            <w:tcW w:w="218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September 30, 2017</w:t>
            </w:r>
          </w:p>
        </w:tc>
        <w:tc>
          <w:tcPr>
            <w:tcW w:w="1620" w:type="dxa"/>
            <w:vAlign w:val="bottom"/>
            <w:tcBorders>
              <w:bottom w:val="single" w:sz="8" w:color="auto"/>
            </w:tcBorders>
            <w:gridSpan w:val="2"/>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October 1, 2016</w:t>
            </w:r>
          </w:p>
        </w:tc>
      </w:tr>
      <w:tr>
        <w:trPr>
          <w:trHeight w:val="217"/>
        </w:trPr>
        <w:tc>
          <w:tcPr>
            <w:tcW w:w="366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Foreign currency denominated debt</w:t>
            </w:r>
          </w:p>
        </w:tc>
        <w:tc>
          <w:tcPr>
            <w:tcW w:w="78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(22.7)</w:t>
            </w:r>
          </w:p>
        </w:tc>
        <w:tc>
          <w:tcPr>
            <w:tcW w:w="880" w:type="dxa"/>
            <w:vAlign w:val="bottom"/>
            <w:tcBorders>
              <w:bottom w:val="single" w:sz="8" w:color="auto"/>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n/a</w:t>
            </w:r>
          </w:p>
        </w:tc>
        <w:tc>
          <w:tcPr>
            <w:tcW w:w="218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 (60.4)</w:t>
            </w:r>
          </w:p>
        </w:tc>
        <w:tc>
          <w:tcPr>
            <w:tcW w:w="920" w:type="dxa"/>
            <w:vAlign w:val="bottom"/>
            <w:tcBorders>
              <w:bottom w:val="single" w:sz="8" w:color="auto"/>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n/a</w:t>
            </w: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recorded no ineffectiveness from our net investment hedge in earnings during the three or nine months ended September 30, 2017.</w:t>
      </w:r>
    </w:p>
    <w:p>
      <w:pPr>
        <w:spacing w:after="0" w:line="22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w:anchor="page1">
        <w:r>
          <w:rPr>
            <w:rFonts w:ascii="Times New Roman" w:cs="Times New Roman" w:eastAsia="Times New Roman" w:hAnsi="Times New Roman"/>
            <w:sz w:val="18"/>
            <w:szCs w:val="18"/>
            <w:u w:val="single" w:color="auto"/>
            <w:color w:val="0000EE"/>
          </w:rPr>
          <w:t>Table of Contents</w:t>
        </w:r>
      </w:hyperlink>
    </w:p>
    <w:p>
      <w:pPr>
        <w:spacing w:after="0" w:line="22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Avery Dennison Corporation</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11. Taxes Based on Income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our income before taxes, provision for income taxes, and effective tax rate:</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640" w:type="dxa"/>
            <w:vAlign w:val="bottom"/>
          </w:tcPr>
          <w:p>
            <w:pPr>
              <w:spacing w:after="0"/>
              <w:rPr>
                <w:sz w:val="20"/>
                <w:szCs w:val="20"/>
                <w:color w:val="auto"/>
              </w:rPr>
            </w:pPr>
          </w:p>
        </w:tc>
        <w:tc>
          <w:tcPr>
            <w:tcW w:w="3900" w:type="dxa"/>
            <w:vAlign w:val="bottom"/>
            <w:gridSpan w:val="3"/>
          </w:tcPr>
          <w:p>
            <w:pPr>
              <w:ind w:left="104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3880" w:type="dxa"/>
            <w:vAlign w:val="bottom"/>
            <w:gridSpan w:val="2"/>
          </w:tcPr>
          <w:p>
            <w:pPr>
              <w:ind w:left="1180"/>
              <w:spacing w:after="0"/>
              <w:rPr>
                <w:sz w:val="20"/>
                <w:szCs w:val="20"/>
                <w:color w:val="auto"/>
              </w:rPr>
            </w:pPr>
            <w:r>
              <w:rPr>
                <w:rFonts w:ascii="Times New Roman" w:cs="Times New Roman" w:eastAsia="Times New Roman" w:hAnsi="Times New Roman"/>
                <w:sz w:val="18"/>
                <w:szCs w:val="18"/>
                <w:b w:val="1"/>
                <w:bCs w:val="1"/>
                <w:color w:val="auto"/>
              </w:rPr>
              <w:t>Nine Months Ended</w:t>
            </w:r>
          </w:p>
        </w:tc>
      </w:tr>
      <w:tr>
        <w:trPr>
          <w:trHeight w:val="210"/>
        </w:trPr>
        <w:tc>
          <w:tcPr>
            <w:tcW w:w="36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(Dollars in millions)</w:t>
            </w:r>
          </w:p>
        </w:tc>
        <w:tc>
          <w:tcPr>
            <w:tcW w:w="2160" w:type="dxa"/>
            <w:vAlign w:val="bottom"/>
            <w:tcBorders>
              <w:top w:val="single" w:sz="8" w:color="auto"/>
              <w:bottom w:val="single" w:sz="8" w:color="auto"/>
            </w:tcBorders>
          </w:tcPr>
          <w:p>
            <w:pPr>
              <w:ind w:left="300"/>
              <w:spacing w:after="0"/>
              <w:rPr>
                <w:sz w:val="20"/>
                <w:szCs w:val="20"/>
                <w:color w:val="auto"/>
              </w:rPr>
            </w:pPr>
            <w:r>
              <w:rPr>
                <w:rFonts w:ascii="Times New Roman" w:cs="Times New Roman" w:eastAsia="Times New Roman" w:hAnsi="Times New Roman"/>
                <w:sz w:val="18"/>
                <w:szCs w:val="18"/>
                <w:b w:val="1"/>
                <w:bCs w:val="1"/>
                <w:color w:val="auto"/>
              </w:rPr>
              <w:t>September 30, 2017</w:t>
            </w:r>
          </w:p>
        </w:tc>
        <w:tc>
          <w:tcPr>
            <w:tcW w:w="1540" w:type="dxa"/>
            <w:vAlign w:val="bottom"/>
            <w:tcBorders>
              <w:top w:val="single" w:sz="8" w:color="auto"/>
              <w:bottom w:val="single" w:sz="8" w:color="auto"/>
            </w:tcBorders>
          </w:tcPr>
          <w:p>
            <w:pPr>
              <w:ind w:left="340"/>
              <w:spacing w:after="0"/>
              <w:rPr>
                <w:sz w:val="20"/>
                <w:szCs w:val="20"/>
                <w:color w:val="auto"/>
              </w:rPr>
            </w:pPr>
            <w:r>
              <w:rPr>
                <w:rFonts w:ascii="Times New Roman" w:cs="Times New Roman" w:eastAsia="Times New Roman" w:hAnsi="Times New Roman"/>
                <w:sz w:val="18"/>
                <w:szCs w:val="18"/>
                <w:b w:val="1"/>
                <w:bCs w:val="1"/>
                <w:color w:val="auto"/>
                <w:w w:val="97"/>
              </w:rPr>
              <w:t>October 1, 2016</w:t>
            </w:r>
          </w:p>
        </w:tc>
        <w:tc>
          <w:tcPr>
            <w:tcW w:w="200" w:type="dxa"/>
            <w:vAlign w:val="bottom"/>
            <w:tcBorders>
              <w:bottom w:val="single" w:sz="8" w:color="auto"/>
            </w:tcBorders>
          </w:tcPr>
          <w:p>
            <w:pPr>
              <w:spacing w:after="0"/>
              <w:rPr>
                <w:sz w:val="18"/>
                <w:szCs w:val="18"/>
                <w:color w:val="auto"/>
              </w:rPr>
            </w:pPr>
          </w:p>
        </w:tc>
        <w:tc>
          <w:tcPr>
            <w:tcW w:w="2180" w:type="dxa"/>
            <w:vAlign w:val="bottom"/>
            <w:tcBorders>
              <w:top w:val="single" w:sz="8" w:color="auto"/>
              <w:bottom w:val="single" w:sz="8" w:color="auto"/>
            </w:tcBorders>
          </w:tcPr>
          <w:p>
            <w:pPr>
              <w:ind w:left="340"/>
              <w:spacing w:after="0"/>
              <w:rPr>
                <w:sz w:val="20"/>
                <w:szCs w:val="20"/>
                <w:color w:val="auto"/>
              </w:rPr>
            </w:pPr>
            <w:r>
              <w:rPr>
                <w:rFonts w:ascii="Times New Roman" w:cs="Times New Roman" w:eastAsia="Times New Roman" w:hAnsi="Times New Roman"/>
                <w:sz w:val="18"/>
                <w:szCs w:val="18"/>
                <w:b w:val="1"/>
                <w:bCs w:val="1"/>
                <w:color w:val="auto"/>
              </w:rPr>
              <w:t>September 30, 2017</w:t>
            </w:r>
          </w:p>
        </w:tc>
        <w:tc>
          <w:tcPr>
            <w:tcW w:w="1700" w:type="dxa"/>
            <w:vAlign w:val="bottom"/>
            <w:tcBorders>
              <w:top w:val="single" w:sz="8" w:color="auto"/>
              <w:bottom w:val="single" w:sz="8" w:color="auto"/>
            </w:tcBorders>
          </w:tcPr>
          <w:p>
            <w:pPr>
              <w:ind w:left="320"/>
              <w:spacing w:after="0"/>
              <w:rPr>
                <w:sz w:val="20"/>
                <w:szCs w:val="20"/>
                <w:color w:val="auto"/>
              </w:rPr>
            </w:pPr>
            <w:r>
              <w:rPr>
                <w:rFonts w:ascii="Times New Roman" w:cs="Times New Roman" w:eastAsia="Times New Roman" w:hAnsi="Times New Roman"/>
                <w:sz w:val="18"/>
                <w:szCs w:val="18"/>
                <w:b w:val="1"/>
                <w:bCs w:val="1"/>
                <w:color w:val="auto"/>
              </w:rPr>
              <w:t>October 1, 2016</w:t>
            </w:r>
          </w:p>
        </w:tc>
      </w:tr>
      <w:tr>
        <w:trPr>
          <w:trHeight w:val="185"/>
        </w:trPr>
        <w:tc>
          <w:tcPr>
            <w:tcW w:w="3640" w:type="dxa"/>
            <w:vAlign w:val="bottom"/>
            <w:shd w:val="clear" w:color="auto" w:fill="CCEEFF"/>
          </w:tcPr>
          <w:p>
            <w:pPr>
              <w:spacing w:after="0"/>
              <w:rPr>
                <w:sz w:val="16"/>
                <w:szCs w:val="16"/>
                <w:color w:val="auto"/>
              </w:rPr>
            </w:pPr>
          </w:p>
        </w:tc>
        <w:tc>
          <w:tcPr>
            <w:tcW w:w="2160" w:type="dxa"/>
            <w:vAlign w:val="bottom"/>
            <w:shd w:val="clear" w:color="auto" w:fill="CCEEFF"/>
          </w:tcPr>
          <w:p>
            <w:pPr>
              <w:spacing w:after="0"/>
              <w:rPr>
                <w:sz w:val="16"/>
                <w:szCs w:val="16"/>
                <w:color w:val="auto"/>
              </w:rPr>
            </w:pPr>
          </w:p>
        </w:tc>
        <w:tc>
          <w:tcPr>
            <w:tcW w:w="15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2180" w:type="dxa"/>
            <w:vAlign w:val="bottom"/>
            <w:shd w:val="clear" w:color="auto" w:fill="CCEEFF"/>
          </w:tcPr>
          <w:p>
            <w:pPr>
              <w:spacing w:after="0"/>
              <w:rPr>
                <w:sz w:val="16"/>
                <w:szCs w:val="16"/>
                <w:color w:val="auto"/>
              </w:rPr>
            </w:pPr>
          </w:p>
        </w:tc>
        <w:tc>
          <w:tcPr>
            <w:tcW w:w="1700" w:type="dxa"/>
            <w:vAlign w:val="bottom"/>
            <w:shd w:val="clear" w:color="auto" w:fill="CCEEFF"/>
          </w:tcPr>
          <w:p>
            <w:pPr>
              <w:spacing w:after="0"/>
              <w:rPr>
                <w:sz w:val="16"/>
                <w:szCs w:val="16"/>
                <w:color w:val="auto"/>
              </w:rPr>
            </w:pPr>
          </w:p>
        </w:tc>
      </w:tr>
    </w:tbl>
    <w:p>
      <w:pPr>
        <w:sectPr>
          <w:pgSz w:w="11900" w:h="16900" w:orient="portrait"/>
          <w:cols w:equalWidth="0" w:num="1">
            <w:col w:w="11420"/>
          </w:cols>
          <w:pgMar w:left="240" w:top="140" w:right="239" w:bottom="0" w:gutter="0" w:footer="0" w:header="0"/>
        </w:sectPr>
      </w:pPr>
    </w:p>
    <w:bookmarkStart w:id="9" w:name="page10"/>
    <w:bookmarkEnd w:id="9"/>
    <w:p>
      <w:pPr>
        <w:spacing w:after="0" w:line="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before taxes</w:t>
            </w:r>
          </w:p>
        </w:tc>
        <w:tc>
          <w:tcPr>
            <w:tcW w:w="160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rPr>
              <w:t>146.8</w:t>
            </w:r>
          </w:p>
        </w:tc>
        <w:tc>
          <w:tcPr>
            <w:tcW w:w="72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ind w:right="450"/>
              <w:spacing w:after="0"/>
              <w:rPr>
                <w:sz w:val="20"/>
                <w:szCs w:val="20"/>
                <w:color w:val="auto"/>
              </w:rPr>
            </w:pPr>
            <w:r>
              <w:rPr>
                <w:rFonts w:ascii="Times New Roman" w:cs="Times New Roman" w:eastAsia="Times New Roman" w:hAnsi="Times New Roman"/>
                <w:sz w:val="18"/>
                <w:szCs w:val="18"/>
                <w:color w:val="auto"/>
              </w:rPr>
              <w:t>128.0</w:t>
            </w:r>
          </w:p>
        </w:tc>
        <w:tc>
          <w:tcPr>
            <w:tcW w:w="80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ind w:right="410"/>
              <w:spacing w:after="0"/>
              <w:rPr>
                <w:sz w:val="20"/>
                <w:szCs w:val="20"/>
                <w:color w:val="auto"/>
              </w:rPr>
            </w:pPr>
            <w:r>
              <w:rPr>
                <w:rFonts w:ascii="Times New Roman" w:cs="Times New Roman" w:eastAsia="Times New Roman" w:hAnsi="Times New Roman"/>
                <w:sz w:val="18"/>
                <w:szCs w:val="18"/>
                <w:color w:val="auto"/>
              </w:rPr>
              <w:t>432.2</w:t>
            </w:r>
          </w:p>
        </w:tc>
        <w:tc>
          <w:tcPr>
            <w:tcW w:w="70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350.8</w:t>
            </w:r>
          </w:p>
        </w:tc>
      </w:tr>
      <w:tr>
        <w:trPr>
          <w:trHeight w:val="216"/>
        </w:trPr>
        <w:tc>
          <w:tcPr>
            <w:tcW w:w="31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160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color w:val="auto"/>
              </w:rPr>
              <w:t>38.5</w:t>
            </w:r>
          </w:p>
        </w:tc>
        <w:tc>
          <w:tcPr>
            <w:tcW w:w="72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color w:val="auto"/>
              </w:rPr>
              <w:t>38.9</w:t>
            </w:r>
          </w:p>
        </w:tc>
        <w:tc>
          <w:tcPr>
            <w:tcW w:w="80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color w:val="auto"/>
              </w:rPr>
              <w:t>90.8</w:t>
            </w:r>
          </w:p>
        </w:tc>
        <w:tc>
          <w:tcPr>
            <w:tcW w:w="70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92.1</w:t>
            </w:r>
          </w:p>
        </w:tc>
      </w:tr>
      <w:tr>
        <w:trPr>
          <w:trHeight w:val="217"/>
        </w:trPr>
        <w:tc>
          <w:tcPr>
            <w:tcW w:w="312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Effective tax rate</w:t>
            </w:r>
          </w:p>
        </w:tc>
        <w:tc>
          <w:tcPr>
            <w:tcW w:w="160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26.2%</w:t>
            </w:r>
          </w:p>
        </w:tc>
        <w:tc>
          <w:tcPr>
            <w:tcW w:w="72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30.4%</w:t>
            </w:r>
          </w:p>
        </w:tc>
        <w:tc>
          <w:tcPr>
            <w:tcW w:w="80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21.0%</w:t>
            </w:r>
          </w:p>
        </w:tc>
        <w:tc>
          <w:tcPr>
            <w:tcW w:w="70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26.3%</w:t>
            </w:r>
          </w:p>
        </w:tc>
      </w:tr>
    </w:tbl>
    <w:p>
      <w:pPr>
        <w:spacing w:after="0" w:line="19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effective tax rate for the three and nine months ended September 30, 2017 included $1.7 million and $3.2 million, respectively, of tax benefit from the releases of valuation allowances on certain U.S. state deferred tax assets and $1.1 million and $4.5 million, respectively, of tax benefit from the effective settlements of certain tax examinations and changes in our judgment about tax filing positions as a result of new information. The effective tax rate for the nine months ended September 30, 2017 included $4.6 million of tax benefit from decreases in certain tax reserves, including interest and penalties, as a result of closing tax years.</w:t>
      </w:r>
    </w:p>
    <w:p>
      <w:pPr>
        <w:spacing w:after="0" w:line="18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effective tax rate for the three and nine months ended September 30, 2017 also included a net benefit of $.3 million and $13.6 million, respectively, related to our adoption of the accounting guidance update related to stock-based payments described in Note 1, “General.” The accounting guidance update related to stock-based payments requires that the effect of excess tax benefits associated with stock-based payments be recognized in the income statement instead of in capital in excess of par value as was the case prior to our adoption of this update. Excess tax benefits are the effects of tax deductions in excess of compensation expenses recognized for financial accounting purposes. These benefits related to stock-based awards are generally generated as a result of stock price appreciation during the vesting period or between the time of grant and the time of exercise. We expect future excess tax benefits pursuant to this update to vary depending on our stock-based payments in future reporting periods. These excess tax benefits may cause variability in our future effective tax rate as they can fluctuate based on vesting and exercise activity, as well as our future stock price. The tax effect of the tax deductions in excess of compensation cost related to the exercise of nonqualified stock options and vesting of other stock-based compensation awards recognized in capital in excess of par value was $2.9 million and $10.0 million for the three and nine months ended October 1, 2016, respectively.</w:t>
      </w:r>
    </w:p>
    <w:p>
      <w:pPr>
        <w:spacing w:after="0" w:line="18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effective tax rate for the three and nine months ended September 30, 2017 also included the immediate recognition of $1.6 million of tax expense primarily from intra-entity sales and transfers of assets other than inventory related to the integration of a recent acquisition. The remaining tax effects were recognized as deferred tax charges and recorded in “Other current assets” and “Other assets.” However, we expect the deferred tax charges to be derecognized as an adjustment to retained earnings upon adoption of the accounting guidance update described in Note 17, “Recent Accounting Requirements.”</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addition, the effective tax rate for the three and nine months ended September 30, 2017 compared to the same period last year reflects a decrease in tax expense related to the repatriation of non-permanently reinvested earnings of certain foreign subsidiaries and favorable changes in the geographic mix of our income before taxes.</w:t>
      </w:r>
    </w:p>
    <w:p>
      <w:pPr>
        <w:spacing w:after="0" w:line="17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effective tax rate for the three and nine months ended October 1, 2016 included $4.8 million and $3.1 million of tax expense, respectively, resulting from return to provision adjustments pursuant to the completion of the 2015 U.S. federal tax return; $1 million and $7.1 million of tax benefit, respectively, from our change in judgment about tax filing positions in certain foreign jurisdictions as a result of new information gained from our interactions with tax authorities; and $17.7 million and $26.9 million of tax expense, respectively, associated with the tax cost to repatriate non-permanently reinvested earnings of certain foreign subsidiaries. The effective tax rate for each of the three and nine months ended October 1, 2016 also included $11.1 million of tax benefit resulting from effective settlements of tax examinations in various foreign jurisdictions. Included in the $11.1 million of tax benefit was an effective settlement for certain members of a consolidated tax group under examination. Additionally, the effective tax rate for the nine months ended October 1, 2016 included $6.7 million of tax benefit from the releases of valuation allowances against certain deferred tax assets in a foreign jurisdiction associated with a structural simplification approved by the tax authority and $3.3 million of tax benefit due to decreases in certain tax reserves as a result of closing tax years.</w:t>
      </w:r>
    </w:p>
    <w:p>
      <w:pPr>
        <w:spacing w:after="0" w:line="18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amount of income taxes we pay is subject to ongoing audits by taxing jurisdictions around the world. Our estimate of the potential outcome of any uncertain tax issue is subject to our assessment of the relevant risks, facts, and circumstances existing at the time. We believe that we have adequately provided for reasonably foreseeable outcomes related to these matters. However, our future results may include favorable or unfavorable adjustments to our estimated tax liabilities in the period the assessments are made or resolved, which may impact our effective tax rate. With some exceptions, we and our subsidiaries are no longer subject to income tax examinations by tax authorities for years prior to 2006.</w:t>
      </w:r>
    </w:p>
    <w:p>
      <w:pPr>
        <w:spacing w:after="0" w:line="184" w:lineRule="exact"/>
        <w:rPr>
          <w:sz w:val="20"/>
          <w:szCs w:val="20"/>
          <w:color w:val="auto"/>
        </w:rPr>
      </w:pPr>
    </w:p>
    <w:p>
      <w:pPr>
        <w:ind w:left="11240"/>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w:anchor="page1">
        <w:r>
          <w:rPr>
            <w:rFonts w:ascii="Times New Roman" w:cs="Times New Roman" w:eastAsia="Times New Roman" w:hAnsi="Times New Roman"/>
            <w:sz w:val="18"/>
            <w:szCs w:val="18"/>
            <w:u w:val="single" w:color="auto"/>
            <w:color w:val="0000EE"/>
          </w:rPr>
          <w:t>Table of Contents</w:t>
        </w:r>
      </w:hyperlink>
    </w:p>
    <w:p>
      <w:pPr>
        <w:spacing w:after="0" w:line="225" w:lineRule="exact"/>
        <w:rPr>
          <w:sz w:val="20"/>
          <w:szCs w:val="20"/>
          <w:color w:val="auto"/>
        </w:rPr>
      </w:pPr>
    </w:p>
    <w:p>
      <w:pPr>
        <w:ind w:left="9340"/>
        <w:spacing w:after="0"/>
        <w:rPr>
          <w:sz w:val="20"/>
          <w:szCs w:val="20"/>
          <w:color w:val="auto"/>
        </w:rPr>
      </w:pPr>
      <w:r>
        <w:rPr>
          <w:rFonts w:ascii="Times New Roman" w:cs="Times New Roman" w:eastAsia="Times New Roman" w:hAnsi="Times New Roman"/>
          <w:sz w:val="17"/>
          <w:szCs w:val="17"/>
          <w:color w:val="auto"/>
        </w:rPr>
        <w:t>Avery Dennison Corporation</w:t>
      </w:r>
    </w:p>
    <w:p>
      <w:pPr>
        <w:spacing w:after="0" w:line="23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It is reasonably possible that, during the next 12 months, we may realize a decrease in our uncertain tax positions, including interest and penalties, of approximately $23 million, primarily as a result of audit settlements and closing tax years.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12. Net Income Per Common Share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Net income per common share was computed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640" w:type="dxa"/>
            <w:vAlign w:val="bottom"/>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2240" w:type="dxa"/>
            <w:vAlign w:val="bottom"/>
            <w:tcBorders>
              <w:bottom w:val="single" w:sz="8" w:color="auto"/>
            </w:tcBorders>
            <w:gridSpan w:val="2"/>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660" w:type="dxa"/>
            <w:vAlign w:val="bottom"/>
            <w:tcBorders>
              <w:bottom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2180" w:type="dxa"/>
            <w:vAlign w:val="bottom"/>
            <w:tcBorders>
              <w:bottom w:val="single" w:sz="8" w:color="auto"/>
            </w:tcBorders>
            <w:gridSpan w:val="2"/>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Nine Months Ended</w:t>
            </w:r>
          </w:p>
        </w:tc>
        <w:tc>
          <w:tcPr>
            <w:tcW w:w="780" w:type="dxa"/>
            <w:vAlign w:val="bottom"/>
            <w:tcBorders>
              <w:bottom w:val="single" w:sz="8" w:color="auto"/>
            </w:tcBorders>
          </w:tcPr>
          <w:p>
            <w:pPr>
              <w:spacing w:after="0"/>
              <w:rPr>
                <w:sz w:val="20"/>
                <w:szCs w:val="20"/>
                <w:color w:val="auto"/>
              </w:rPr>
            </w:pPr>
          </w:p>
        </w:tc>
      </w:tr>
      <w:tr>
        <w:trPr>
          <w:trHeight w:val="210"/>
        </w:trPr>
        <w:tc>
          <w:tcPr>
            <w:tcW w:w="36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(In millions, except per share amounts)</w:t>
            </w:r>
          </w:p>
        </w:tc>
        <w:tc>
          <w:tcPr>
            <w:tcW w:w="2160" w:type="dxa"/>
            <w:vAlign w:val="bottom"/>
            <w:tcBorders>
              <w:bottom w:val="single" w:sz="8" w:color="auto"/>
            </w:tcBorders>
            <w:gridSpan w:val="2"/>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September 30, 2017</w:t>
            </w:r>
          </w:p>
        </w:tc>
        <w:tc>
          <w:tcPr>
            <w:tcW w:w="15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October 1, 2016</w:t>
            </w:r>
          </w:p>
        </w:tc>
        <w:tc>
          <w:tcPr>
            <w:tcW w:w="240" w:type="dxa"/>
            <w:vAlign w:val="bottom"/>
            <w:tcBorders>
              <w:bottom w:val="single" w:sz="8" w:color="auto"/>
            </w:tcBorders>
          </w:tcPr>
          <w:p>
            <w:pPr>
              <w:spacing w:after="0"/>
              <w:rPr>
                <w:sz w:val="18"/>
                <w:szCs w:val="18"/>
                <w:color w:val="auto"/>
              </w:rPr>
            </w:pPr>
          </w:p>
        </w:tc>
        <w:tc>
          <w:tcPr>
            <w:tcW w:w="2180" w:type="dxa"/>
            <w:vAlign w:val="bottom"/>
            <w:tcBorders>
              <w:bottom w:val="single" w:sz="8" w:color="auto"/>
            </w:tcBorders>
            <w:gridSpan w:val="2"/>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September 30, 2017</w:t>
            </w:r>
          </w:p>
        </w:tc>
        <w:tc>
          <w:tcPr>
            <w:tcW w:w="1640" w:type="dxa"/>
            <w:vAlign w:val="bottom"/>
            <w:tcBorders>
              <w:bottom w:val="single" w:sz="8" w:color="auto"/>
            </w:tcBorders>
            <w:gridSpan w:val="2"/>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October 1, 2016</w:t>
            </w:r>
          </w:p>
        </w:tc>
      </w:tr>
      <w:tr>
        <w:trPr>
          <w:trHeight w:val="191"/>
        </w:trPr>
        <w:tc>
          <w:tcPr>
            <w:tcW w:w="3640" w:type="dxa"/>
            <w:vAlign w:val="bottom"/>
            <w:shd w:val="clear" w:color="auto" w:fill="CCEEFF"/>
          </w:tcPr>
          <w:p>
            <w:pPr>
              <w:spacing w:after="0" w:line="191" w:lineRule="exact"/>
              <w:rPr>
                <w:sz w:val="20"/>
                <w:szCs w:val="20"/>
                <w:color w:val="auto"/>
              </w:rPr>
            </w:pPr>
            <w:r>
              <w:rPr>
                <w:rFonts w:ascii="Times New Roman" w:cs="Times New Roman" w:eastAsia="Times New Roman" w:hAnsi="Times New Roman"/>
                <w:sz w:val="18"/>
                <w:szCs w:val="18"/>
                <w:color w:val="auto"/>
              </w:rPr>
              <w:t>(A) Net income available to common</w:t>
            </w:r>
          </w:p>
        </w:tc>
        <w:tc>
          <w:tcPr>
            <w:tcW w:w="820" w:type="dxa"/>
            <w:vAlign w:val="bottom"/>
            <w:shd w:val="clear" w:color="auto" w:fill="CCEEFF"/>
          </w:tcPr>
          <w:p>
            <w:pPr>
              <w:spacing w:after="0"/>
              <w:rPr>
                <w:sz w:val="16"/>
                <w:szCs w:val="16"/>
                <w:color w:val="auto"/>
              </w:rPr>
            </w:pPr>
          </w:p>
        </w:tc>
        <w:tc>
          <w:tcPr>
            <w:tcW w:w="134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32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r>
      <w:tr>
        <w:trPr>
          <w:trHeight w:val="234"/>
        </w:trPr>
        <w:tc>
          <w:tcPr>
            <w:tcW w:w="3640" w:type="dxa"/>
            <w:vAlign w:val="bottom"/>
            <w:tcBorders>
              <w:bottom w:val="single" w:sz="8" w:color="auto"/>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shareholders</w:t>
            </w:r>
          </w:p>
        </w:tc>
        <w:tc>
          <w:tcPr>
            <w:tcW w:w="82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108.3</w:t>
            </w:r>
          </w:p>
        </w:tc>
        <w:tc>
          <w:tcPr>
            <w:tcW w:w="900" w:type="dxa"/>
            <w:vAlign w:val="bottom"/>
            <w:tcBorders>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89.1</w:t>
            </w:r>
          </w:p>
        </w:tc>
        <w:tc>
          <w:tcPr>
            <w:tcW w:w="86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341.4</w:t>
            </w:r>
          </w:p>
        </w:tc>
        <w:tc>
          <w:tcPr>
            <w:tcW w:w="8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258.7</w:t>
            </w:r>
          </w:p>
        </w:tc>
      </w:tr>
      <w:tr>
        <w:trPr>
          <w:trHeight w:val="191"/>
        </w:trPr>
        <w:tc>
          <w:tcPr>
            <w:tcW w:w="36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(B) Weighted average number of common</w:t>
            </w:r>
          </w:p>
        </w:tc>
        <w:tc>
          <w:tcPr>
            <w:tcW w:w="82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780" w:type="dxa"/>
            <w:vAlign w:val="bottom"/>
          </w:tcPr>
          <w:p>
            <w:pPr>
              <w:spacing w:after="0"/>
              <w:rPr>
                <w:sz w:val="16"/>
                <w:szCs w:val="16"/>
                <w:color w:val="auto"/>
              </w:rPr>
            </w:pPr>
          </w:p>
        </w:tc>
      </w:tr>
      <w:tr>
        <w:trPr>
          <w:trHeight w:val="234"/>
        </w:trPr>
        <w:tc>
          <w:tcPr>
            <w:tcW w:w="3640" w:type="dxa"/>
            <w:vAlign w:val="bottom"/>
            <w:tcBorders>
              <w:bottom w:val="single" w:sz="8" w:color="auto"/>
            </w:tcBorders>
          </w:tcPr>
          <w:p>
            <w:pPr>
              <w:ind w:left="560"/>
              <w:spacing w:after="0"/>
              <w:rPr>
                <w:sz w:val="20"/>
                <w:szCs w:val="20"/>
                <w:color w:val="auto"/>
              </w:rPr>
            </w:pPr>
            <w:r>
              <w:rPr>
                <w:rFonts w:ascii="Times New Roman" w:cs="Times New Roman" w:eastAsia="Times New Roman" w:hAnsi="Times New Roman"/>
                <w:sz w:val="18"/>
                <w:szCs w:val="18"/>
                <w:color w:val="auto"/>
              </w:rPr>
              <w:t>shares outstanding</w:t>
            </w:r>
          </w:p>
        </w:tc>
        <w:tc>
          <w:tcPr>
            <w:tcW w:w="82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rPr>
              <w:t>88.3</w:t>
            </w:r>
          </w:p>
        </w:tc>
        <w:tc>
          <w:tcPr>
            <w:tcW w:w="90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89.1</w:t>
            </w:r>
          </w:p>
        </w:tc>
        <w:tc>
          <w:tcPr>
            <w:tcW w:w="86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88.4</w:t>
            </w:r>
          </w:p>
        </w:tc>
        <w:tc>
          <w:tcPr>
            <w:tcW w:w="86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89.2</w:t>
            </w:r>
          </w:p>
        </w:tc>
      </w:tr>
      <w:tr>
        <w:trPr>
          <w:trHeight w:val="191"/>
        </w:trPr>
        <w:tc>
          <w:tcPr>
            <w:tcW w:w="3640" w:type="dxa"/>
            <w:vAlign w:val="bottom"/>
            <w:shd w:val="clear" w:color="auto" w:fill="CCEEFF"/>
          </w:tcPr>
          <w:p>
            <w:pPr>
              <w:ind w:left="380"/>
              <w:spacing w:after="0" w:line="191" w:lineRule="exact"/>
              <w:rPr>
                <w:sz w:val="20"/>
                <w:szCs w:val="20"/>
                <w:color w:val="auto"/>
              </w:rPr>
            </w:pPr>
            <w:r>
              <w:rPr>
                <w:rFonts w:ascii="Times New Roman" w:cs="Times New Roman" w:eastAsia="Times New Roman" w:hAnsi="Times New Roman"/>
                <w:sz w:val="18"/>
                <w:szCs w:val="18"/>
                <w:color w:val="auto"/>
              </w:rPr>
              <w:t>Dilutive shares (additional common</w:t>
            </w:r>
          </w:p>
        </w:tc>
        <w:tc>
          <w:tcPr>
            <w:tcW w:w="820" w:type="dxa"/>
            <w:vAlign w:val="bottom"/>
            <w:shd w:val="clear" w:color="auto" w:fill="CCEEFF"/>
          </w:tcPr>
          <w:p>
            <w:pPr>
              <w:spacing w:after="0"/>
              <w:rPr>
                <w:sz w:val="16"/>
                <w:szCs w:val="16"/>
                <w:color w:val="auto"/>
              </w:rPr>
            </w:pPr>
          </w:p>
        </w:tc>
        <w:tc>
          <w:tcPr>
            <w:tcW w:w="134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32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r>
      <w:tr>
        <w:trPr>
          <w:trHeight w:val="216"/>
        </w:trPr>
        <w:tc>
          <w:tcPr>
            <w:tcW w:w="364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shares issuable under stock-based</w:t>
            </w:r>
          </w:p>
        </w:tc>
        <w:tc>
          <w:tcPr>
            <w:tcW w:w="82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r>
      <w:tr>
        <w:trPr>
          <w:trHeight w:val="234"/>
        </w:trPr>
        <w:tc>
          <w:tcPr>
            <w:tcW w:w="3640" w:type="dxa"/>
            <w:vAlign w:val="bottom"/>
            <w:tcBorders>
              <w:bottom w:val="single" w:sz="8" w:color="auto"/>
            </w:tcBorders>
            <w:shd w:val="clear" w:color="auto" w:fill="CCEEFF"/>
          </w:tcPr>
          <w:p>
            <w:pPr>
              <w:ind w:left="560"/>
              <w:spacing w:after="0" w:line="234" w:lineRule="exact"/>
              <w:rPr>
                <w:sz w:val="20"/>
                <w:szCs w:val="20"/>
                <w:color w:val="auto"/>
              </w:rPr>
            </w:pPr>
            <w:r>
              <w:rPr>
                <w:rFonts w:ascii="Times New Roman" w:cs="Times New Roman" w:eastAsia="Times New Roman" w:hAnsi="Times New Roman"/>
                <w:sz w:val="18"/>
                <w:szCs w:val="18"/>
                <w:color w:val="auto"/>
              </w:rPr>
              <w:t>awards)</w:t>
            </w:r>
            <w:r>
              <w:rPr>
                <w:rFonts w:ascii="Times New Roman" w:cs="Times New Roman" w:eastAsia="Times New Roman" w:hAnsi="Times New Roman"/>
                <w:sz w:val="23"/>
                <w:szCs w:val="23"/>
                <w:color w:val="auto"/>
                <w:vertAlign w:val="superscript"/>
              </w:rPr>
              <w:t>(1)</w:t>
            </w:r>
          </w:p>
        </w:tc>
        <w:tc>
          <w:tcPr>
            <w:tcW w:w="820" w:type="dxa"/>
            <w:vAlign w:val="bottom"/>
            <w:tcBorders>
              <w:bottom w:val="single" w:sz="8" w:color="auto"/>
            </w:tcBorders>
            <w:shd w:val="clear" w:color="auto" w:fill="CCEEFF"/>
          </w:tcPr>
          <w:p>
            <w:pPr>
              <w:spacing w:after="0"/>
              <w:rPr>
                <w:sz w:val="20"/>
                <w:szCs w:val="20"/>
                <w:color w:val="auto"/>
              </w:rPr>
            </w:pPr>
          </w:p>
        </w:tc>
        <w:tc>
          <w:tcPr>
            <w:tcW w:w="1340" w:type="dxa"/>
            <w:vAlign w:val="bottom"/>
            <w:tcBorders>
              <w:bottom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1.6</w:t>
            </w:r>
          </w:p>
        </w:tc>
        <w:tc>
          <w:tcPr>
            <w:tcW w:w="900" w:type="dxa"/>
            <w:vAlign w:val="bottom"/>
            <w:tcBorders>
              <w:bottom w:val="single" w:sz="8" w:color="auto"/>
            </w:tcBorders>
            <w:shd w:val="clear" w:color="auto" w:fill="CCEEFF"/>
          </w:tcPr>
          <w:p>
            <w:pPr>
              <w:spacing w:after="0"/>
              <w:rPr>
                <w:sz w:val="20"/>
                <w:szCs w:val="20"/>
                <w:color w:val="auto"/>
              </w:rPr>
            </w:pPr>
          </w:p>
        </w:tc>
        <w:tc>
          <w:tcPr>
            <w:tcW w:w="900" w:type="dxa"/>
            <w:vAlign w:val="bottom"/>
            <w:tcBorders>
              <w:bottom w:val="single" w:sz="8" w:color="auto"/>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1.5</w:t>
            </w:r>
          </w:p>
        </w:tc>
        <w:tc>
          <w:tcPr>
            <w:tcW w:w="860" w:type="dxa"/>
            <w:vAlign w:val="bottom"/>
            <w:tcBorders>
              <w:bottom w:val="single" w:sz="8" w:color="auto"/>
            </w:tcBorders>
            <w:shd w:val="clear" w:color="auto" w:fill="CCEEFF"/>
          </w:tcPr>
          <w:p>
            <w:pPr>
              <w:spacing w:after="0"/>
              <w:rPr>
                <w:sz w:val="20"/>
                <w:szCs w:val="20"/>
                <w:color w:val="auto"/>
              </w:rPr>
            </w:pPr>
          </w:p>
        </w:tc>
        <w:tc>
          <w:tcPr>
            <w:tcW w:w="1320" w:type="dxa"/>
            <w:vAlign w:val="bottom"/>
            <w:tcBorders>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1.7</w:t>
            </w:r>
          </w:p>
        </w:tc>
        <w:tc>
          <w:tcPr>
            <w:tcW w:w="860" w:type="dxa"/>
            <w:vAlign w:val="bottom"/>
            <w:tcBorders>
              <w:bottom w:val="single" w:sz="8" w:color="auto"/>
            </w:tcBorders>
            <w:shd w:val="clear" w:color="auto" w:fill="CCEEFF"/>
          </w:tcPr>
          <w:p>
            <w:pPr>
              <w:spacing w:after="0"/>
              <w:rPr>
                <w:sz w:val="20"/>
                <w:szCs w:val="20"/>
                <w:color w:val="auto"/>
              </w:rPr>
            </w:pPr>
          </w:p>
        </w:tc>
        <w:tc>
          <w:tcPr>
            <w:tcW w:w="7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1.7</w:t>
            </w:r>
          </w:p>
        </w:tc>
      </w:tr>
      <w:tr>
        <w:trPr>
          <w:trHeight w:val="191"/>
        </w:trPr>
        <w:tc>
          <w:tcPr>
            <w:tcW w:w="36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(C) Weighted average number of common</w:t>
            </w:r>
          </w:p>
        </w:tc>
        <w:tc>
          <w:tcPr>
            <w:tcW w:w="82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780" w:type="dxa"/>
            <w:vAlign w:val="bottom"/>
          </w:tcPr>
          <w:p>
            <w:pPr>
              <w:spacing w:after="0"/>
              <w:rPr>
                <w:sz w:val="16"/>
                <w:szCs w:val="16"/>
                <w:color w:val="auto"/>
              </w:rPr>
            </w:pPr>
          </w:p>
        </w:tc>
      </w:tr>
      <w:tr>
        <w:trPr>
          <w:trHeight w:val="234"/>
        </w:trPr>
        <w:tc>
          <w:tcPr>
            <w:tcW w:w="3640" w:type="dxa"/>
            <w:vAlign w:val="bottom"/>
            <w:tcBorders>
              <w:bottom w:val="single" w:sz="8" w:color="auto"/>
            </w:tcBorders>
          </w:tcPr>
          <w:p>
            <w:pPr>
              <w:ind w:left="560"/>
              <w:spacing w:after="0"/>
              <w:rPr>
                <w:sz w:val="20"/>
                <w:szCs w:val="20"/>
                <w:color w:val="auto"/>
              </w:rPr>
            </w:pPr>
            <w:r>
              <w:rPr>
                <w:rFonts w:ascii="Times New Roman" w:cs="Times New Roman" w:eastAsia="Times New Roman" w:hAnsi="Times New Roman"/>
                <w:sz w:val="18"/>
                <w:szCs w:val="18"/>
                <w:color w:val="auto"/>
              </w:rPr>
              <w:t>shares outstanding, assuming dilution</w:t>
            </w:r>
          </w:p>
        </w:tc>
        <w:tc>
          <w:tcPr>
            <w:tcW w:w="82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rPr>
              <w:t>89.9</w:t>
            </w:r>
          </w:p>
        </w:tc>
        <w:tc>
          <w:tcPr>
            <w:tcW w:w="90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90.6</w:t>
            </w:r>
          </w:p>
        </w:tc>
        <w:tc>
          <w:tcPr>
            <w:tcW w:w="86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90.1</w:t>
            </w:r>
          </w:p>
        </w:tc>
        <w:tc>
          <w:tcPr>
            <w:tcW w:w="86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90.9</w:t>
            </w:r>
          </w:p>
        </w:tc>
      </w:tr>
      <w:tr>
        <w:trPr>
          <w:trHeight w:val="210"/>
        </w:trPr>
        <w:tc>
          <w:tcPr>
            <w:tcW w:w="364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 per common share (A) ÷ (B)</w:t>
            </w:r>
          </w:p>
        </w:tc>
        <w:tc>
          <w:tcPr>
            <w:tcW w:w="82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1.23</w:t>
            </w:r>
          </w:p>
        </w:tc>
        <w:tc>
          <w:tcPr>
            <w:tcW w:w="900" w:type="dxa"/>
            <w:vAlign w:val="bottom"/>
            <w:tcBorders>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1.00</w:t>
            </w:r>
          </w:p>
        </w:tc>
        <w:tc>
          <w:tcPr>
            <w:tcW w:w="86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3.86</w:t>
            </w:r>
          </w:p>
        </w:tc>
        <w:tc>
          <w:tcPr>
            <w:tcW w:w="8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2.90</w:t>
            </w:r>
          </w:p>
        </w:tc>
      </w:tr>
      <w:tr>
        <w:trPr>
          <w:trHeight w:val="191"/>
        </w:trPr>
        <w:tc>
          <w:tcPr>
            <w:tcW w:w="36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Net income per common share, assuming</w:t>
            </w:r>
          </w:p>
        </w:tc>
        <w:tc>
          <w:tcPr>
            <w:tcW w:w="82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780" w:type="dxa"/>
            <w:vAlign w:val="bottom"/>
          </w:tcPr>
          <w:p>
            <w:pPr>
              <w:spacing w:after="0"/>
              <w:rPr>
                <w:sz w:val="16"/>
                <w:szCs w:val="16"/>
                <w:color w:val="auto"/>
              </w:rPr>
            </w:pPr>
          </w:p>
        </w:tc>
      </w:tr>
      <w:tr>
        <w:trPr>
          <w:trHeight w:val="241"/>
        </w:trPr>
        <w:tc>
          <w:tcPr>
            <w:tcW w:w="364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dilution (A) ÷ (C)</w:t>
            </w:r>
          </w:p>
        </w:tc>
        <w:tc>
          <w:tcPr>
            <w:tcW w:w="82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rPr>
              <w:t>1.20</w:t>
            </w:r>
          </w:p>
        </w:tc>
        <w:tc>
          <w:tcPr>
            <w:tcW w:w="90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.98</w:t>
            </w:r>
          </w:p>
        </w:tc>
        <w:tc>
          <w:tcPr>
            <w:tcW w:w="86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3.79</w:t>
            </w:r>
          </w:p>
        </w:tc>
        <w:tc>
          <w:tcPr>
            <w:tcW w:w="8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2.85</w:t>
            </w:r>
          </w:p>
        </w:tc>
      </w:tr>
    </w:tbl>
    <w:p>
      <w:pPr>
        <w:spacing w:after="0" w:line="19" w:lineRule="exact"/>
        <w:rPr>
          <w:sz w:val="20"/>
          <w:szCs w:val="20"/>
          <w:color w:val="auto"/>
        </w:rPr>
      </w:pPr>
    </w:p>
    <w:p>
      <w:pPr>
        <w:sectPr>
          <w:pgSz w:w="11900" w:h="16843" w:orient="portrait"/>
          <w:cols w:equalWidth="0" w:num="1">
            <w:col w:w="11420"/>
          </w:cols>
          <w:pgMar w:left="240" w:top="140" w:right="239" w:bottom="0" w:gutter="0" w:footer="0" w:header="0"/>
        </w:sectPr>
      </w:pPr>
    </w:p>
    <w:p>
      <w:pPr>
        <w:spacing w:after="0"/>
        <w:rPr>
          <w:sz w:val="20"/>
          <w:szCs w:val="20"/>
          <w:color w:val="auto"/>
        </w:rPr>
      </w:pPr>
      <w:r>
        <w:rPr>
          <w:rFonts w:ascii="Times New Roman" w:cs="Times New Roman" w:eastAsia="Times New Roman" w:hAnsi="Times New Roman"/>
          <w:sz w:val="23"/>
          <w:szCs w:val="23"/>
          <w:color w:val="auto"/>
          <w:vertAlign w:val="superscript"/>
        </w:rPr>
        <w:t>(1)</w:t>
      </w:r>
      <w:r>
        <w:rPr>
          <w:rFonts w:ascii="Times New Roman" w:cs="Times New Roman" w:eastAsia="Times New Roman" w:hAnsi="Times New Roman"/>
          <w:sz w:val="16"/>
          <w:szCs w:val="16"/>
          <w:color w:val="auto"/>
        </w:rPr>
        <w:t>In 2017, the dilutive shares calculation reflects the impact of our adoption of the accounting guidance update described in Note 1, “General.”</w:t>
      </w:r>
    </w:p>
    <w:p>
      <w:pPr>
        <w:sectPr>
          <w:pgSz w:w="11900" w:h="16843" w:orient="portrait"/>
          <w:cols w:equalWidth="0" w:num="1">
            <w:col w:w="11420"/>
          </w:cols>
          <w:pgMar w:left="240" w:top="140" w:right="239" w:bottom="0" w:gutter="0" w:footer="0" w:header="0"/>
          <w:type w:val="continuous"/>
        </w:sectPr>
      </w:pPr>
    </w:p>
    <w:bookmarkStart w:id="10" w:name="page11"/>
    <w:bookmarkEnd w:id="10"/>
    <w:p>
      <w:pPr>
        <w:spacing w:after="0" w:line="73" w:lineRule="exact"/>
        <w:rPr>
          <w:sz w:val="20"/>
          <w:szCs w:val="20"/>
          <w:color w:val="auto"/>
        </w:rPr>
      </w:pPr>
    </w:p>
    <w:p>
      <w:pPr>
        <w:jc w:val="both"/>
        <w:ind w:right="40"/>
        <w:spacing w:after="0" w:line="261" w:lineRule="auto"/>
        <w:rPr>
          <w:sz w:val="20"/>
          <w:szCs w:val="20"/>
          <w:color w:val="auto"/>
        </w:rPr>
      </w:pPr>
      <w:r>
        <w:rPr>
          <w:rFonts w:ascii="Times New Roman" w:cs="Times New Roman" w:eastAsia="Times New Roman" w:hAnsi="Times New Roman"/>
          <w:sz w:val="18"/>
          <w:szCs w:val="18"/>
          <w:color w:val="auto"/>
        </w:rPr>
        <w:t>Certain stock-based compensation awards were not included in the computation of net income per common share, assuming dilution, because they would not have had a dilutive effect. Stock-based compensation awards excluded from the computation totaled approximately .1 million shares for the nine months ended September 30, 2017, and approximately .1 million shares and .2 million shares for the three and nine months ended October 1, 2016, respectively. No stock-based compensation awards were anti-dilutive for the three months ended September 30, 2017.</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13. Comprehensive Income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changes in “Accumulated other comprehensive loss” (net of tax) for the nine-month period ended September 30, 2017 were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0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780" w:type="dxa"/>
            <w:vAlign w:val="bottom"/>
            <w:gridSpan w:val="2"/>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Pension and</w:t>
            </w:r>
          </w:p>
        </w:tc>
        <w:tc>
          <w:tcPr>
            <w:tcW w:w="5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720" w:type="dxa"/>
            <w:vAlign w:val="bottom"/>
          </w:tcPr>
          <w:p>
            <w:pPr>
              <w:spacing w:after="0"/>
              <w:rPr>
                <w:sz w:val="18"/>
                <w:szCs w:val="18"/>
                <w:color w:val="auto"/>
              </w:rPr>
            </w:pPr>
          </w:p>
        </w:tc>
      </w:tr>
      <w:tr>
        <w:trPr>
          <w:trHeight w:val="216"/>
        </w:trPr>
        <w:tc>
          <w:tcPr>
            <w:tcW w:w="50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40" w:type="dxa"/>
            <w:vAlign w:val="bottom"/>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Foreign</w:t>
            </w:r>
          </w:p>
        </w:tc>
        <w:tc>
          <w:tcPr>
            <w:tcW w:w="680" w:type="dxa"/>
            <w:vAlign w:val="bottom"/>
          </w:tcPr>
          <w:p>
            <w:pPr>
              <w:spacing w:after="0"/>
              <w:rPr>
                <w:sz w:val="18"/>
                <w:szCs w:val="18"/>
                <w:color w:val="auto"/>
              </w:rPr>
            </w:pPr>
          </w:p>
        </w:tc>
        <w:tc>
          <w:tcPr>
            <w:tcW w:w="1100" w:type="dxa"/>
            <w:vAlign w:val="bottom"/>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Other</w:t>
            </w:r>
          </w:p>
        </w:tc>
        <w:tc>
          <w:tcPr>
            <w:tcW w:w="5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720" w:type="dxa"/>
            <w:vAlign w:val="bottom"/>
          </w:tcPr>
          <w:p>
            <w:pPr>
              <w:spacing w:after="0"/>
              <w:rPr>
                <w:sz w:val="18"/>
                <w:szCs w:val="18"/>
                <w:color w:val="auto"/>
              </w:rPr>
            </w:pPr>
          </w:p>
        </w:tc>
      </w:tr>
      <w:tr>
        <w:trPr>
          <w:trHeight w:val="216"/>
        </w:trPr>
        <w:tc>
          <w:tcPr>
            <w:tcW w:w="50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40" w:type="dxa"/>
            <w:vAlign w:val="bottom"/>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w w:val="99"/>
              </w:rPr>
              <w:t>Currency</w:t>
            </w:r>
          </w:p>
        </w:tc>
        <w:tc>
          <w:tcPr>
            <w:tcW w:w="1780" w:type="dxa"/>
            <w:vAlign w:val="bottom"/>
            <w:gridSpan w:val="2"/>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Postretirement</w:t>
            </w:r>
          </w:p>
        </w:tc>
        <w:tc>
          <w:tcPr>
            <w:tcW w:w="1640" w:type="dxa"/>
            <w:vAlign w:val="bottom"/>
            <w:gridSpan w:val="2"/>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Cash Flow</w:t>
            </w:r>
          </w:p>
        </w:tc>
        <w:tc>
          <w:tcPr>
            <w:tcW w:w="620" w:type="dxa"/>
            <w:vAlign w:val="bottom"/>
          </w:tcPr>
          <w:p>
            <w:pPr>
              <w:spacing w:after="0"/>
              <w:rPr>
                <w:sz w:val="18"/>
                <w:szCs w:val="18"/>
                <w:color w:val="auto"/>
              </w:rPr>
            </w:pPr>
          </w:p>
        </w:tc>
        <w:tc>
          <w:tcPr>
            <w:tcW w:w="720" w:type="dxa"/>
            <w:vAlign w:val="bottom"/>
          </w:tcPr>
          <w:p>
            <w:pPr>
              <w:spacing w:after="0"/>
              <w:rPr>
                <w:sz w:val="18"/>
                <w:szCs w:val="18"/>
                <w:color w:val="auto"/>
              </w:rPr>
            </w:pPr>
          </w:p>
        </w:tc>
      </w:tr>
      <w:tr>
        <w:trPr>
          <w:trHeight w:val="238"/>
        </w:trPr>
        <w:tc>
          <w:tcPr>
            <w:tcW w:w="50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(In millions)</w:t>
            </w:r>
          </w:p>
        </w:tc>
        <w:tc>
          <w:tcPr>
            <w:tcW w:w="1580" w:type="dxa"/>
            <w:vAlign w:val="bottom"/>
            <w:tcBorders>
              <w:bottom w:val="single" w:sz="8" w:color="auto"/>
            </w:tcBorders>
            <w:gridSpan w:val="2"/>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Translation</w:t>
            </w:r>
          </w:p>
        </w:tc>
        <w:tc>
          <w:tcPr>
            <w:tcW w:w="68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Benefits</w:t>
            </w:r>
          </w:p>
        </w:tc>
        <w:tc>
          <w:tcPr>
            <w:tcW w:w="56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Hedges</w:t>
            </w:r>
          </w:p>
        </w:tc>
        <w:tc>
          <w:tcPr>
            <w:tcW w:w="62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10"/>
        </w:trPr>
        <w:tc>
          <w:tcPr>
            <w:tcW w:w="5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as of December 31, 2016</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(212.6)</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(540.3)</w:t>
            </w:r>
          </w:p>
        </w:tc>
        <w:tc>
          <w:tcPr>
            <w:tcW w:w="5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1.0</w:t>
            </w:r>
          </w:p>
        </w:tc>
        <w:tc>
          <w:tcPr>
            <w:tcW w:w="62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(751.9)</w:t>
            </w:r>
          </w:p>
        </w:tc>
      </w:tr>
      <w:tr>
        <w:trPr>
          <w:trHeight w:val="198"/>
        </w:trPr>
        <w:tc>
          <w:tcPr>
            <w:tcW w:w="508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Other comprehensive income (loss) before reclassifications, net</w:t>
            </w:r>
          </w:p>
        </w:tc>
        <w:tc>
          <w:tcPr>
            <w:tcW w:w="5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720" w:type="dxa"/>
            <w:vAlign w:val="bottom"/>
          </w:tcPr>
          <w:p>
            <w:pPr>
              <w:spacing w:after="0"/>
              <w:rPr>
                <w:sz w:val="17"/>
                <w:szCs w:val="17"/>
                <w:color w:val="auto"/>
              </w:rPr>
            </w:pPr>
          </w:p>
        </w:tc>
      </w:tr>
      <w:tr>
        <w:trPr>
          <w:trHeight w:val="234"/>
        </w:trPr>
        <w:tc>
          <w:tcPr>
            <w:tcW w:w="50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of tax</w:t>
            </w:r>
          </w:p>
        </w:tc>
        <w:tc>
          <w:tcPr>
            <w:tcW w:w="540" w:type="dxa"/>
            <w:vAlign w:val="bottom"/>
          </w:tcPr>
          <w:p>
            <w:pPr>
              <w:spacing w:after="0"/>
              <w:rPr>
                <w:sz w:val="20"/>
                <w:szCs w:val="20"/>
                <w:color w:val="auto"/>
              </w:rPr>
            </w:pPr>
          </w:p>
        </w:tc>
        <w:tc>
          <w:tcPr>
            <w:tcW w:w="104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39.3</w:t>
            </w:r>
          </w:p>
        </w:tc>
        <w:tc>
          <w:tcPr>
            <w:tcW w:w="680" w:type="dxa"/>
            <w:vAlign w:val="bottom"/>
          </w:tcPr>
          <w:p>
            <w:pPr>
              <w:spacing w:after="0"/>
              <w:rPr>
                <w:sz w:val="20"/>
                <w:szCs w:val="20"/>
                <w:color w:val="auto"/>
              </w:rPr>
            </w:pPr>
          </w:p>
        </w:tc>
        <w:tc>
          <w:tcPr>
            <w:tcW w:w="110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spacing w:after="0"/>
              <w:rPr>
                <w:sz w:val="20"/>
                <w:szCs w:val="20"/>
                <w:color w:val="auto"/>
              </w:rPr>
            </w:pPr>
          </w:p>
        </w:tc>
        <w:tc>
          <w:tcPr>
            <w:tcW w:w="108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(2.1)</w:t>
            </w:r>
          </w:p>
        </w:tc>
        <w:tc>
          <w:tcPr>
            <w:tcW w:w="620" w:type="dxa"/>
            <w:vAlign w:val="bottom"/>
          </w:tcPr>
          <w:p>
            <w:pPr>
              <w:spacing w:after="0"/>
              <w:rPr>
                <w:sz w:val="20"/>
                <w:szCs w:val="20"/>
                <w:color w:val="auto"/>
              </w:rPr>
            </w:pPr>
          </w:p>
        </w:tc>
        <w:tc>
          <w:tcPr>
            <w:tcW w:w="7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37.2</w:t>
            </w:r>
          </w:p>
        </w:tc>
      </w:tr>
      <w:tr>
        <w:trPr>
          <w:trHeight w:val="216"/>
        </w:trPr>
        <w:tc>
          <w:tcPr>
            <w:tcW w:w="508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Reclassifications to net income, net of tax</w:t>
            </w:r>
          </w:p>
        </w:tc>
        <w:tc>
          <w:tcPr>
            <w:tcW w:w="54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14.6</w:t>
            </w:r>
          </w:p>
        </w:tc>
        <w:tc>
          <w:tcPr>
            <w:tcW w:w="56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1.0</w:t>
            </w:r>
          </w:p>
        </w:tc>
        <w:tc>
          <w:tcPr>
            <w:tcW w:w="62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15.6</w:t>
            </w:r>
          </w:p>
        </w:tc>
      </w:tr>
      <w:tr>
        <w:trPr>
          <w:trHeight w:val="210"/>
        </w:trPr>
        <w:tc>
          <w:tcPr>
            <w:tcW w:w="50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Net current-period other comprehensive income (loss), net of tax</w:t>
            </w:r>
          </w:p>
        </w:tc>
        <w:tc>
          <w:tcPr>
            <w:tcW w:w="5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39.3</w:t>
            </w:r>
          </w:p>
        </w:tc>
        <w:tc>
          <w:tcPr>
            <w:tcW w:w="68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rPr>
              <w:t>14.6</w:t>
            </w:r>
          </w:p>
        </w:tc>
        <w:tc>
          <w:tcPr>
            <w:tcW w:w="56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(1.1)</w:t>
            </w:r>
          </w:p>
        </w:tc>
        <w:tc>
          <w:tcPr>
            <w:tcW w:w="62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52.8</w:t>
            </w:r>
          </w:p>
        </w:tc>
      </w:tr>
      <w:tr>
        <w:trPr>
          <w:trHeight w:val="217"/>
        </w:trPr>
        <w:tc>
          <w:tcPr>
            <w:tcW w:w="508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as of September 30, 2017</w:t>
            </w: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(173.3)</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(525.7)</w:t>
            </w:r>
          </w:p>
        </w:tc>
        <w:tc>
          <w:tcPr>
            <w:tcW w:w="5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(.1)</w:t>
            </w:r>
          </w:p>
        </w:tc>
        <w:tc>
          <w:tcPr>
            <w:tcW w:w="62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(699.1)</w:t>
            </w: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changes in “Accumulated other comprehensive loss” (net of tax) for the nine-month period ended October 1, 2016 were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2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820" w:type="dxa"/>
            <w:vAlign w:val="bottom"/>
            <w:gridSpan w:val="2"/>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Pension and</w:t>
            </w: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w w:val="99"/>
              </w:rPr>
              <w:t>Foreign</w:t>
            </w:r>
          </w:p>
        </w:tc>
        <w:tc>
          <w:tcPr>
            <w:tcW w:w="900" w:type="dxa"/>
            <w:vAlign w:val="bottom"/>
          </w:tcPr>
          <w:p>
            <w:pPr>
              <w:spacing w:after="0"/>
              <w:rPr>
                <w:sz w:val="18"/>
                <w:szCs w:val="18"/>
                <w:color w:val="auto"/>
              </w:rPr>
            </w:pPr>
          </w:p>
        </w:tc>
        <w:tc>
          <w:tcPr>
            <w:tcW w:w="920" w:type="dxa"/>
            <w:vAlign w:val="bottom"/>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Other</w:t>
            </w: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gridSpan w:val="2"/>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w w:val="97"/>
              </w:rPr>
              <w:t>Currency</w:t>
            </w:r>
          </w:p>
        </w:tc>
        <w:tc>
          <w:tcPr>
            <w:tcW w:w="1820" w:type="dxa"/>
            <w:vAlign w:val="bottom"/>
            <w:gridSpan w:val="2"/>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Postretirement</w:t>
            </w:r>
          </w:p>
        </w:tc>
        <w:tc>
          <w:tcPr>
            <w:tcW w:w="2000" w:type="dxa"/>
            <w:vAlign w:val="bottom"/>
            <w:gridSpan w:val="3"/>
          </w:tcPr>
          <w:p>
            <w:pPr>
              <w:jc w:val="right"/>
              <w:ind w:right="690"/>
              <w:spacing w:after="0"/>
              <w:rPr>
                <w:sz w:val="20"/>
                <w:szCs w:val="20"/>
                <w:color w:val="auto"/>
              </w:rPr>
            </w:pPr>
            <w:r>
              <w:rPr>
                <w:rFonts w:ascii="Times New Roman" w:cs="Times New Roman" w:eastAsia="Times New Roman" w:hAnsi="Times New Roman"/>
                <w:sz w:val="18"/>
                <w:szCs w:val="18"/>
                <w:b w:val="1"/>
                <w:bCs w:val="1"/>
                <w:color w:val="auto"/>
              </w:rPr>
              <w:t>Cash Flow</w:t>
            </w:r>
          </w:p>
        </w:tc>
        <w:tc>
          <w:tcPr>
            <w:tcW w:w="3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228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(In millions)</w:t>
            </w:r>
          </w:p>
        </w:tc>
        <w:tc>
          <w:tcPr>
            <w:tcW w:w="50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680" w:type="dxa"/>
            <w:vAlign w:val="bottom"/>
            <w:gridSpan w:val="4"/>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Translation</w:t>
            </w:r>
          </w:p>
        </w:tc>
        <w:tc>
          <w:tcPr>
            <w:tcW w:w="1820" w:type="dxa"/>
            <w:vAlign w:val="bottom"/>
            <w:gridSpan w:val="2"/>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Benefits</w:t>
            </w:r>
          </w:p>
        </w:tc>
        <w:tc>
          <w:tcPr>
            <w:tcW w:w="640" w:type="dxa"/>
            <w:vAlign w:val="bottom"/>
          </w:tcPr>
          <w:p>
            <w:pPr>
              <w:spacing w:after="0"/>
              <w:rPr>
                <w:sz w:val="20"/>
                <w:szCs w:val="20"/>
                <w:color w:val="auto"/>
              </w:rPr>
            </w:pPr>
          </w:p>
        </w:tc>
        <w:tc>
          <w:tcPr>
            <w:tcW w:w="1360" w:type="dxa"/>
            <w:vAlign w:val="bottom"/>
            <w:gridSpan w:val="2"/>
          </w:tcPr>
          <w:p>
            <w:pPr>
              <w:jc w:val="right"/>
              <w:ind w:right="690"/>
              <w:spacing w:after="0"/>
              <w:rPr>
                <w:sz w:val="20"/>
                <w:szCs w:val="20"/>
                <w:color w:val="auto"/>
              </w:rPr>
            </w:pPr>
            <w:r>
              <w:rPr>
                <w:rFonts w:ascii="Times New Roman" w:cs="Times New Roman" w:eastAsia="Times New Roman" w:hAnsi="Times New Roman"/>
                <w:sz w:val="18"/>
                <w:szCs w:val="18"/>
                <w:b w:val="1"/>
                <w:bCs w:val="1"/>
                <w:color w:val="auto"/>
                <w:w w:val="99"/>
              </w:rPr>
              <w:t>Hedges</w:t>
            </w:r>
          </w:p>
        </w:tc>
        <w:tc>
          <w:tcPr>
            <w:tcW w:w="380" w:type="dxa"/>
            <w:vAlign w:val="bottom"/>
          </w:tcPr>
          <w:p>
            <w:pPr>
              <w:spacing w:after="0"/>
              <w:rPr>
                <w:sz w:val="20"/>
                <w:szCs w:val="20"/>
                <w:color w:val="auto"/>
              </w:rPr>
            </w:pPr>
          </w:p>
        </w:tc>
        <w:tc>
          <w:tcPr>
            <w:tcW w:w="6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210"/>
        </w:trPr>
        <w:tc>
          <w:tcPr>
            <w:tcW w:w="2280" w:type="dxa"/>
            <w:vAlign w:val="bottom"/>
            <w:tcBorders>
              <w:top w:val="single" w:sz="8" w:color="auto"/>
            </w:tcBorders>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as of January 2, 2016</w:t>
            </w:r>
          </w:p>
        </w:tc>
        <w:tc>
          <w:tcPr>
            <w:tcW w:w="50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top w:val="single" w:sz="8" w:color="auto"/>
            </w:tcBorders>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(158.9)</w:t>
            </w:r>
          </w:p>
        </w:tc>
        <w:tc>
          <w:tcPr>
            <w:tcW w:w="900" w:type="dxa"/>
            <w:vAlign w:val="bottom"/>
            <w:tcBorders>
              <w:top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(521.6)</w:t>
            </w:r>
          </w:p>
        </w:tc>
        <w:tc>
          <w:tcPr>
            <w:tcW w:w="640" w:type="dxa"/>
            <w:vAlign w:val="bottom"/>
            <w:tcBorders>
              <w:top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auto"/>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jc w:val="right"/>
              <w:ind w:right="630"/>
              <w:spacing w:after="0"/>
              <w:rPr>
                <w:sz w:val="20"/>
                <w:szCs w:val="20"/>
                <w:color w:val="auto"/>
              </w:rPr>
            </w:pPr>
            <w:r>
              <w:rPr>
                <w:rFonts w:ascii="Times New Roman" w:cs="Times New Roman" w:eastAsia="Times New Roman" w:hAnsi="Times New Roman"/>
                <w:sz w:val="18"/>
                <w:szCs w:val="18"/>
                <w:color w:val="auto"/>
              </w:rPr>
              <w:t>(2.5)</w:t>
            </w:r>
          </w:p>
        </w:tc>
        <w:tc>
          <w:tcPr>
            <w:tcW w:w="380" w:type="dxa"/>
            <w:vAlign w:val="bottom"/>
            <w:tcBorders>
              <w:top w:val="single" w:sz="8" w:color="auto"/>
            </w:tcBorders>
            <w:shd w:val="clear" w:color="auto" w:fill="CCEEFF"/>
          </w:tcPr>
          <w:p>
            <w:pPr>
              <w:jc w:val="right"/>
              <w:ind w:right="215"/>
              <w:spacing w:after="0"/>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(683.0)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4960" w:type="dxa"/>
            <w:vAlign w:val="bottom"/>
            <w:gridSpan w:val="6"/>
          </w:tcPr>
          <w:p>
            <w:pPr>
              <w:spacing w:after="0" w:line="198" w:lineRule="exact"/>
              <w:rPr>
                <w:sz w:val="20"/>
                <w:szCs w:val="20"/>
                <w:color w:val="auto"/>
              </w:rPr>
            </w:pPr>
            <w:r>
              <w:rPr>
                <w:rFonts w:ascii="Times New Roman" w:cs="Times New Roman" w:eastAsia="Times New Roman" w:hAnsi="Times New Roman"/>
                <w:sz w:val="18"/>
                <w:szCs w:val="18"/>
                <w:color w:val="auto"/>
              </w:rPr>
              <w:t>Other comprehensive income (loss) before reclassifications, net</w:t>
            </w:r>
          </w:p>
        </w:tc>
        <w:tc>
          <w:tcPr>
            <w:tcW w:w="5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28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of tax</w:t>
            </w:r>
          </w:p>
        </w:tc>
        <w:tc>
          <w:tcPr>
            <w:tcW w:w="50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20" w:type="dxa"/>
            <w:vAlign w:val="bottom"/>
            <w:gridSpan w:val="2"/>
          </w:tcPr>
          <w:p>
            <w:pPr>
              <w:jc w:val="right"/>
              <w:ind w:right="190"/>
              <w:spacing w:after="0"/>
              <w:rPr>
                <w:sz w:val="20"/>
                <w:szCs w:val="20"/>
                <w:color w:val="auto"/>
              </w:rPr>
            </w:pPr>
            <w:r>
              <w:rPr>
                <w:rFonts w:ascii="Times New Roman" w:cs="Times New Roman" w:eastAsia="Times New Roman" w:hAnsi="Times New Roman"/>
                <w:sz w:val="18"/>
                <w:szCs w:val="18"/>
                <w:color w:val="auto"/>
              </w:rPr>
              <w:t>21.1</w:t>
            </w:r>
          </w:p>
        </w:tc>
        <w:tc>
          <w:tcPr>
            <w:tcW w:w="900" w:type="dxa"/>
            <w:vAlign w:val="bottom"/>
          </w:tcPr>
          <w:p>
            <w:pPr>
              <w:spacing w:after="0"/>
              <w:rPr>
                <w:sz w:val="20"/>
                <w:szCs w:val="20"/>
                <w:color w:val="auto"/>
              </w:rPr>
            </w:pPr>
          </w:p>
        </w:tc>
        <w:tc>
          <w:tcPr>
            <w:tcW w:w="92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(46.7)</w:t>
            </w:r>
          </w:p>
        </w:tc>
        <w:tc>
          <w:tcPr>
            <w:tcW w:w="6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tcPr>
          <w:p>
            <w:pPr>
              <w:jc w:val="right"/>
              <w:ind w:right="630"/>
              <w:spacing w:after="0"/>
              <w:rPr>
                <w:sz w:val="20"/>
                <w:szCs w:val="20"/>
                <w:color w:val="auto"/>
              </w:rPr>
            </w:pPr>
            <w:r>
              <w:rPr>
                <w:rFonts w:ascii="Times New Roman" w:cs="Times New Roman" w:eastAsia="Times New Roman" w:hAnsi="Times New Roman"/>
                <w:sz w:val="18"/>
                <w:szCs w:val="18"/>
                <w:color w:val="auto"/>
              </w:rPr>
              <w:t>(2.2)</w:t>
            </w:r>
          </w:p>
        </w:tc>
        <w:tc>
          <w:tcPr>
            <w:tcW w:w="38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(27.8)</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960" w:type="dxa"/>
            <w:vAlign w:val="bottom"/>
            <w:tcBorders>
              <w:bottom w:val="single" w:sz="8" w:color="auto"/>
            </w:tcBorders>
            <w:gridSpan w:val="5"/>
            <w:shd w:val="clear" w:color="auto" w:fill="CCEEFF"/>
          </w:tcPr>
          <w:p>
            <w:pPr>
              <w:spacing w:after="0"/>
              <w:rPr>
                <w:sz w:val="20"/>
                <w:szCs w:val="20"/>
                <w:color w:val="auto"/>
              </w:rPr>
            </w:pPr>
            <w:r>
              <w:rPr>
                <w:rFonts w:ascii="Times New Roman" w:cs="Times New Roman" w:eastAsia="Times New Roman" w:hAnsi="Times New Roman"/>
                <w:sz w:val="18"/>
                <w:szCs w:val="18"/>
                <w:color w:val="auto"/>
              </w:rPr>
              <w:t>Reclassifications to net income, net of tax</w:t>
            </w:r>
          </w:p>
        </w:tc>
        <w:tc>
          <w:tcPr>
            <w:tcW w:w="10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39.8</w:t>
            </w:r>
          </w:p>
        </w:tc>
        <w:tc>
          <w:tcPr>
            <w:tcW w:w="64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ind w:right="690"/>
              <w:spacing w:after="0"/>
              <w:rPr>
                <w:sz w:val="20"/>
                <w:szCs w:val="20"/>
                <w:color w:val="auto"/>
              </w:rPr>
            </w:pPr>
            <w:r>
              <w:rPr>
                <w:rFonts w:ascii="Times New Roman" w:cs="Times New Roman" w:eastAsia="Times New Roman" w:hAnsi="Times New Roman"/>
                <w:sz w:val="18"/>
                <w:szCs w:val="18"/>
                <w:color w:val="auto"/>
              </w:rPr>
              <w:t>2.0</w:t>
            </w:r>
          </w:p>
        </w:tc>
        <w:tc>
          <w:tcPr>
            <w:tcW w:w="38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41.8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960" w:type="dxa"/>
            <w:vAlign w:val="bottom"/>
            <w:tcBorders>
              <w:bottom w:val="single" w:sz="8" w:color="auto"/>
            </w:tcBorders>
            <w:gridSpan w:val="6"/>
          </w:tcPr>
          <w:p>
            <w:pPr>
              <w:spacing w:after="0"/>
              <w:rPr>
                <w:sz w:val="20"/>
                <w:szCs w:val="20"/>
                <w:color w:val="auto"/>
              </w:rPr>
            </w:pPr>
            <w:r>
              <w:rPr>
                <w:rFonts w:ascii="Times New Roman" w:cs="Times New Roman" w:eastAsia="Times New Roman" w:hAnsi="Times New Roman"/>
                <w:sz w:val="18"/>
                <w:szCs w:val="18"/>
                <w:color w:val="auto"/>
              </w:rPr>
              <w:t>Net current-period other comprehensive income (loss), net of tax</w:t>
            </w:r>
          </w:p>
        </w:tc>
        <w:tc>
          <w:tcPr>
            <w:tcW w:w="58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gridSpan w:val="2"/>
          </w:tcPr>
          <w:p>
            <w:pPr>
              <w:jc w:val="right"/>
              <w:ind w:right="190"/>
              <w:spacing w:after="0"/>
              <w:rPr>
                <w:sz w:val="20"/>
                <w:szCs w:val="20"/>
                <w:color w:val="auto"/>
              </w:rPr>
            </w:pPr>
            <w:r>
              <w:rPr>
                <w:rFonts w:ascii="Times New Roman" w:cs="Times New Roman" w:eastAsia="Times New Roman" w:hAnsi="Times New Roman"/>
                <w:sz w:val="18"/>
                <w:szCs w:val="18"/>
                <w:color w:val="auto"/>
              </w:rPr>
              <w:t>21.1</w:t>
            </w:r>
          </w:p>
        </w:tc>
        <w:tc>
          <w:tcPr>
            <w:tcW w:w="9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(6.9)</w:t>
            </w:r>
          </w:p>
        </w:tc>
        <w:tc>
          <w:tcPr>
            <w:tcW w:w="64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630"/>
              <w:spacing w:after="0"/>
              <w:rPr>
                <w:sz w:val="20"/>
                <w:szCs w:val="20"/>
                <w:color w:val="auto"/>
              </w:rPr>
            </w:pPr>
            <w:r>
              <w:rPr>
                <w:rFonts w:ascii="Times New Roman" w:cs="Times New Roman" w:eastAsia="Times New Roman" w:hAnsi="Times New Roman"/>
                <w:sz w:val="18"/>
                <w:szCs w:val="18"/>
                <w:color w:val="auto"/>
              </w:rPr>
              <w:t>(.2)</w:t>
            </w:r>
          </w:p>
        </w:tc>
        <w:tc>
          <w:tcPr>
            <w:tcW w:w="38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14.0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280" w:type="dxa"/>
            <w:vAlign w:val="bottom"/>
            <w:tcBorders>
              <w:bottom w:val="single" w:sz="8" w:color="auto"/>
            </w:tcBorders>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as of October 1, 2016</w:t>
            </w:r>
          </w:p>
        </w:tc>
        <w:tc>
          <w:tcPr>
            <w:tcW w:w="50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(137.8)</w:t>
            </w:r>
          </w:p>
        </w:tc>
        <w:tc>
          <w:tcPr>
            <w:tcW w:w="90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(528.5)</w:t>
            </w:r>
          </w:p>
        </w:tc>
        <w:tc>
          <w:tcPr>
            <w:tcW w:w="6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ind w:right="630"/>
              <w:spacing w:after="0"/>
              <w:rPr>
                <w:sz w:val="20"/>
                <w:szCs w:val="20"/>
                <w:color w:val="auto"/>
              </w:rPr>
            </w:pPr>
            <w:r>
              <w:rPr>
                <w:rFonts w:ascii="Times New Roman" w:cs="Times New Roman" w:eastAsia="Times New Roman" w:hAnsi="Times New Roman"/>
                <w:sz w:val="18"/>
                <w:szCs w:val="18"/>
                <w:color w:val="auto"/>
              </w:rPr>
              <w:t>(2.7)</w:t>
            </w:r>
          </w:p>
        </w:tc>
        <w:tc>
          <w:tcPr>
            <w:tcW w:w="380" w:type="dxa"/>
            <w:vAlign w:val="bottom"/>
            <w:tcBorders>
              <w:bottom w:val="single" w:sz="8" w:color="auto"/>
            </w:tcBorders>
            <w:shd w:val="clear" w:color="auto" w:fill="CCEEFF"/>
          </w:tcPr>
          <w:p>
            <w:pPr>
              <w:jc w:val="right"/>
              <w:ind w:right="215"/>
              <w:spacing w:after="0"/>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(669.0)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12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13</w:t>
            </w:r>
          </w:p>
        </w:tc>
        <w:tc>
          <w:tcPr>
            <w:tcW w:w="0" w:type="dxa"/>
            <w:vAlign w:val="bottom"/>
          </w:tcPr>
          <w:p>
            <w:pPr>
              <w:spacing w:after="0"/>
              <w:rPr>
                <w:sz w:val="1"/>
                <w:szCs w:val="1"/>
                <w:color w:val="auto"/>
              </w:rPr>
            </w:pPr>
          </w:p>
        </w:tc>
      </w:tr>
      <w:tr>
        <w:trPr>
          <w:trHeight w:val="132"/>
        </w:trPr>
        <w:tc>
          <w:tcPr>
            <w:tcW w:w="1280" w:type="dxa"/>
            <w:vAlign w:val="bottom"/>
            <w:tcBorders>
              <w:bottom w:val="single" w:sz="8" w:color="808080"/>
            </w:tcBorders>
          </w:tcPr>
          <w:p>
            <w:pPr>
              <w:spacing w:after="0"/>
              <w:rPr>
                <w:sz w:val="11"/>
                <w:szCs w:val="11"/>
                <w:color w:val="auto"/>
              </w:rPr>
            </w:pPr>
          </w:p>
        </w:tc>
        <w:tc>
          <w:tcPr>
            <w:tcW w:w="760" w:type="dxa"/>
            <w:vAlign w:val="bottom"/>
            <w:tcBorders>
              <w:bottom w:val="single" w:sz="8" w:color="808080"/>
            </w:tcBorders>
          </w:tcPr>
          <w:p>
            <w:pPr>
              <w:spacing w:after="0"/>
              <w:rPr>
                <w:sz w:val="11"/>
                <w:szCs w:val="11"/>
                <w:color w:val="auto"/>
              </w:rPr>
            </w:pPr>
          </w:p>
        </w:tc>
        <w:tc>
          <w:tcPr>
            <w:tcW w:w="240" w:type="dxa"/>
            <w:vAlign w:val="bottom"/>
            <w:tcBorders>
              <w:bottom w:val="single" w:sz="8" w:color="808080"/>
            </w:tcBorders>
          </w:tcPr>
          <w:p>
            <w:pPr>
              <w:spacing w:after="0"/>
              <w:rPr>
                <w:sz w:val="11"/>
                <w:szCs w:val="11"/>
                <w:color w:val="auto"/>
              </w:rPr>
            </w:pPr>
          </w:p>
        </w:tc>
        <w:tc>
          <w:tcPr>
            <w:tcW w:w="500" w:type="dxa"/>
            <w:vAlign w:val="bottom"/>
            <w:tcBorders>
              <w:bottom w:val="single" w:sz="8" w:color="808080"/>
            </w:tcBorders>
          </w:tcPr>
          <w:p>
            <w:pPr>
              <w:spacing w:after="0"/>
              <w:rPr>
                <w:sz w:val="11"/>
                <w:szCs w:val="11"/>
                <w:color w:val="auto"/>
              </w:rPr>
            </w:pPr>
          </w:p>
        </w:tc>
        <w:tc>
          <w:tcPr>
            <w:tcW w:w="1180" w:type="dxa"/>
            <w:vAlign w:val="bottom"/>
            <w:tcBorders>
              <w:bottom w:val="single" w:sz="8" w:color="808080"/>
            </w:tcBorders>
          </w:tcPr>
          <w:p>
            <w:pPr>
              <w:spacing w:after="0"/>
              <w:rPr>
                <w:sz w:val="11"/>
                <w:szCs w:val="11"/>
                <w:color w:val="auto"/>
              </w:rPr>
            </w:pPr>
          </w:p>
        </w:tc>
        <w:tc>
          <w:tcPr>
            <w:tcW w:w="1000" w:type="dxa"/>
            <w:vAlign w:val="bottom"/>
            <w:tcBorders>
              <w:bottom w:val="single" w:sz="8" w:color="808080"/>
            </w:tcBorders>
          </w:tcPr>
          <w:p>
            <w:pPr>
              <w:spacing w:after="0"/>
              <w:rPr>
                <w:sz w:val="11"/>
                <w:szCs w:val="11"/>
                <w:color w:val="auto"/>
              </w:rPr>
            </w:pPr>
          </w:p>
        </w:tc>
        <w:tc>
          <w:tcPr>
            <w:tcW w:w="580" w:type="dxa"/>
            <w:vAlign w:val="bottom"/>
            <w:tcBorders>
              <w:bottom w:val="single" w:sz="8" w:color="808080"/>
            </w:tcBorders>
          </w:tcPr>
          <w:p>
            <w:pPr>
              <w:spacing w:after="0"/>
              <w:rPr>
                <w:sz w:val="11"/>
                <w:szCs w:val="11"/>
                <w:color w:val="auto"/>
              </w:rPr>
            </w:pPr>
          </w:p>
        </w:tc>
        <w:tc>
          <w:tcPr>
            <w:tcW w:w="80" w:type="dxa"/>
            <w:vAlign w:val="bottom"/>
            <w:tcBorders>
              <w:bottom w:val="single" w:sz="8" w:color="808080"/>
            </w:tcBorders>
          </w:tcPr>
          <w:p>
            <w:pPr>
              <w:spacing w:after="0"/>
              <w:rPr>
                <w:sz w:val="11"/>
                <w:szCs w:val="11"/>
                <w:color w:val="auto"/>
              </w:rPr>
            </w:pPr>
          </w:p>
        </w:tc>
        <w:tc>
          <w:tcPr>
            <w:tcW w:w="120" w:type="dxa"/>
            <w:vAlign w:val="bottom"/>
            <w:tcBorders>
              <w:bottom w:val="single" w:sz="8" w:color="808080"/>
            </w:tcBorders>
          </w:tcPr>
          <w:p>
            <w:pPr>
              <w:spacing w:after="0"/>
              <w:rPr>
                <w:sz w:val="11"/>
                <w:szCs w:val="11"/>
                <w:color w:val="auto"/>
              </w:rPr>
            </w:pPr>
          </w:p>
        </w:tc>
        <w:tc>
          <w:tcPr>
            <w:tcW w:w="900" w:type="dxa"/>
            <w:vAlign w:val="bottom"/>
            <w:tcBorders>
              <w:bottom w:val="single" w:sz="8" w:color="808080"/>
            </w:tcBorders>
          </w:tcPr>
          <w:p>
            <w:pPr>
              <w:spacing w:after="0"/>
              <w:rPr>
                <w:sz w:val="11"/>
                <w:szCs w:val="11"/>
                <w:color w:val="auto"/>
              </w:rPr>
            </w:pPr>
          </w:p>
        </w:tc>
        <w:tc>
          <w:tcPr>
            <w:tcW w:w="900" w:type="dxa"/>
            <w:vAlign w:val="bottom"/>
            <w:tcBorders>
              <w:bottom w:val="single" w:sz="8" w:color="808080"/>
            </w:tcBorders>
          </w:tcPr>
          <w:p>
            <w:pPr>
              <w:spacing w:after="0"/>
              <w:rPr>
                <w:sz w:val="11"/>
                <w:szCs w:val="11"/>
                <w:color w:val="auto"/>
              </w:rPr>
            </w:pPr>
          </w:p>
        </w:tc>
        <w:tc>
          <w:tcPr>
            <w:tcW w:w="920" w:type="dxa"/>
            <w:vAlign w:val="bottom"/>
            <w:tcBorders>
              <w:bottom w:val="single" w:sz="8" w:color="808080"/>
            </w:tcBorders>
          </w:tcPr>
          <w:p>
            <w:pPr>
              <w:spacing w:after="0"/>
              <w:rPr>
                <w:sz w:val="11"/>
                <w:szCs w:val="11"/>
                <w:color w:val="auto"/>
              </w:rPr>
            </w:pPr>
          </w:p>
        </w:tc>
        <w:tc>
          <w:tcPr>
            <w:tcW w:w="640" w:type="dxa"/>
            <w:vAlign w:val="bottom"/>
            <w:tcBorders>
              <w:bottom w:val="single" w:sz="8" w:color="808080"/>
            </w:tcBorders>
          </w:tcPr>
          <w:p>
            <w:pPr>
              <w:spacing w:after="0"/>
              <w:rPr>
                <w:sz w:val="11"/>
                <w:szCs w:val="11"/>
                <w:color w:val="auto"/>
              </w:rPr>
            </w:pPr>
          </w:p>
        </w:tc>
        <w:tc>
          <w:tcPr>
            <w:tcW w:w="120" w:type="dxa"/>
            <w:vAlign w:val="bottom"/>
            <w:tcBorders>
              <w:bottom w:val="single" w:sz="8" w:color="808080"/>
            </w:tcBorders>
          </w:tcPr>
          <w:p>
            <w:pPr>
              <w:spacing w:after="0"/>
              <w:rPr>
                <w:sz w:val="11"/>
                <w:szCs w:val="11"/>
                <w:color w:val="auto"/>
              </w:rPr>
            </w:pPr>
          </w:p>
        </w:tc>
        <w:tc>
          <w:tcPr>
            <w:tcW w:w="1240" w:type="dxa"/>
            <w:vAlign w:val="bottom"/>
            <w:tcBorders>
              <w:bottom w:val="single" w:sz="8" w:color="808080"/>
            </w:tcBorders>
          </w:tcPr>
          <w:p>
            <w:pPr>
              <w:spacing w:after="0"/>
              <w:rPr>
                <w:sz w:val="11"/>
                <w:szCs w:val="11"/>
                <w:color w:val="auto"/>
              </w:rPr>
            </w:pPr>
          </w:p>
        </w:tc>
        <w:tc>
          <w:tcPr>
            <w:tcW w:w="380" w:type="dxa"/>
            <w:vAlign w:val="bottom"/>
            <w:tcBorders>
              <w:bottom w:val="single" w:sz="8" w:color="808080"/>
            </w:tcBorders>
          </w:tcPr>
          <w:p>
            <w:pPr>
              <w:spacing w:after="0"/>
              <w:rPr>
                <w:sz w:val="11"/>
                <w:szCs w:val="11"/>
                <w:color w:val="auto"/>
              </w:rPr>
            </w:pPr>
          </w:p>
        </w:tc>
        <w:tc>
          <w:tcPr>
            <w:tcW w:w="58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0" w:type="dxa"/>
            <w:vAlign w:val="bottom"/>
          </w:tcPr>
          <w:p>
            <w:pPr>
              <w:spacing w:after="0"/>
              <w:rPr>
                <w:sz w:val="1"/>
                <w:szCs w:val="1"/>
                <w:color w:val="auto"/>
              </w:rPr>
            </w:pPr>
          </w:p>
        </w:tc>
      </w:tr>
      <w:tr>
        <w:trPr>
          <w:trHeight w:val="523"/>
        </w:trPr>
        <w:tc>
          <w:tcPr>
            <w:tcW w:w="2280" w:type="dxa"/>
            <w:vAlign w:val="bottom"/>
            <w:gridSpan w:val="3"/>
          </w:tcPr>
          <w:p>
            <w:pPr>
              <w:spacing w:after="0"/>
              <w:rPr>
                <w:rFonts w:ascii="Times New Roman" w:cs="Times New Roman" w:eastAsia="Times New Roman" w:hAnsi="Times New Roman"/>
                <w:sz w:val="18"/>
                <w:szCs w:val="18"/>
                <w:color w:val="0000EE"/>
              </w:rPr>
            </w:pPr>
            <w:hyperlink w:anchor="page1">
              <w:r>
                <w:rPr>
                  <w:rFonts w:ascii="Times New Roman" w:cs="Times New Roman" w:eastAsia="Times New Roman" w:hAnsi="Times New Roman"/>
                  <w:sz w:val="18"/>
                  <w:szCs w:val="18"/>
                  <w:color w:val="0000EE"/>
                </w:rPr>
                <w:t>Table of Contents</w:t>
              </w:r>
            </w:hyperlink>
          </w:p>
        </w:tc>
        <w:tc>
          <w:tcPr>
            <w:tcW w:w="5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3"/>
        </w:trPr>
        <w:tc>
          <w:tcPr>
            <w:tcW w:w="1280" w:type="dxa"/>
            <w:vAlign w:val="bottom"/>
            <w:tcBorders>
              <w:top w:val="single" w:sz="8" w:color="0000EE"/>
            </w:tcBorders>
          </w:tcPr>
          <w:p>
            <w:pPr>
              <w:spacing w:after="0"/>
              <w:rPr>
                <w:sz w:val="24"/>
                <w:szCs w:val="24"/>
                <w:color w:val="auto"/>
              </w:rPr>
            </w:pPr>
          </w:p>
        </w:tc>
        <w:tc>
          <w:tcPr>
            <w:tcW w:w="7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40" w:type="dxa"/>
            <w:vAlign w:val="bottom"/>
            <w:gridSpan w:val="4"/>
          </w:tcPr>
          <w:p>
            <w:pPr>
              <w:jc w:val="right"/>
              <w:ind w:right="40"/>
              <w:spacing w:after="0"/>
              <w:rPr>
                <w:sz w:val="20"/>
                <w:szCs w:val="20"/>
                <w:color w:val="auto"/>
              </w:rPr>
            </w:pPr>
            <w:r>
              <w:rPr>
                <w:rFonts w:ascii="Times New Roman" w:cs="Times New Roman" w:eastAsia="Times New Roman" w:hAnsi="Times New Roman"/>
                <w:sz w:val="18"/>
                <w:szCs w:val="18"/>
                <w:color w:val="auto"/>
              </w:rPr>
              <w:t>Avery Dennison Corporation</w:t>
            </w:r>
          </w:p>
        </w:tc>
        <w:tc>
          <w:tcPr>
            <w:tcW w:w="0" w:type="dxa"/>
            <w:vAlign w:val="bottom"/>
          </w:tcPr>
          <w:p>
            <w:pPr>
              <w:spacing w:after="0"/>
              <w:rPr>
                <w:sz w:val="1"/>
                <w:szCs w:val="1"/>
                <w:color w:val="auto"/>
              </w:rPr>
            </w:pPr>
          </w:p>
        </w:tc>
      </w:tr>
      <w:tr>
        <w:trPr>
          <w:trHeight w:val="432"/>
        </w:trPr>
        <w:tc>
          <w:tcPr>
            <w:tcW w:w="9220" w:type="dxa"/>
            <w:vAlign w:val="bottom"/>
            <w:gridSpan w:val="14"/>
          </w:tcPr>
          <w:p>
            <w:pPr>
              <w:spacing w:after="0"/>
              <w:rPr>
                <w:sz w:val="20"/>
                <w:szCs w:val="20"/>
                <w:color w:val="auto"/>
              </w:rPr>
            </w:pPr>
            <w:r>
              <w:rPr>
                <w:rFonts w:ascii="Times New Roman" w:cs="Times New Roman" w:eastAsia="Times New Roman" w:hAnsi="Times New Roman"/>
                <w:sz w:val="18"/>
                <w:szCs w:val="18"/>
                <w:color w:val="auto"/>
              </w:rPr>
              <w:t>The amounts reclassified from “Accumulated other comprehensive loss” to increase (decrease) net income were as follows:</w:t>
            </w:r>
          </w:p>
        </w:tc>
        <w:tc>
          <w:tcPr>
            <w:tcW w:w="12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0"/>
        </w:trPr>
        <w:tc>
          <w:tcPr>
            <w:tcW w:w="12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3580" w:type="dxa"/>
            <w:vAlign w:val="bottom"/>
            <w:gridSpan w:val="6"/>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Amounts Reclassified from Accumulated</w:t>
            </w:r>
          </w:p>
        </w:tc>
        <w:tc>
          <w:tcPr>
            <w:tcW w:w="9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8"/>
        </w:trPr>
        <w:tc>
          <w:tcPr>
            <w:tcW w:w="12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50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spacing w:after="0"/>
              <w:rPr>
                <w:sz w:val="20"/>
                <w:szCs w:val="20"/>
                <w:color w:val="auto"/>
              </w:rPr>
            </w:pPr>
          </w:p>
        </w:tc>
        <w:tc>
          <w:tcPr>
            <w:tcW w:w="2680" w:type="dxa"/>
            <w:vAlign w:val="bottom"/>
            <w:tcBorders>
              <w:bottom w:val="single" w:sz="8" w:color="auto"/>
            </w:tcBorders>
            <w:gridSpan w:val="5"/>
          </w:tcPr>
          <w:p>
            <w:pPr>
              <w:jc w:val="right"/>
              <w:spacing w:after="0"/>
              <w:rPr>
                <w:sz w:val="20"/>
                <w:szCs w:val="20"/>
                <w:color w:val="auto"/>
              </w:rPr>
            </w:pPr>
            <w:r>
              <w:rPr>
                <w:rFonts w:ascii="Times New Roman" w:cs="Times New Roman" w:eastAsia="Times New Roman" w:hAnsi="Times New Roman"/>
                <w:sz w:val="18"/>
                <w:szCs w:val="18"/>
                <w:b w:val="1"/>
                <w:bCs w:val="1"/>
                <w:color w:val="auto"/>
              </w:rPr>
              <w:t>Other Comprehensive Loss</w:t>
            </w:r>
          </w:p>
        </w:tc>
        <w:tc>
          <w:tcPr>
            <w:tcW w:w="9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12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2180" w:type="dxa"/>
            <w:vAlign w:val="bottom"/>
            <w:tcBorders>
              <w:bottom w:val="single" w:sz="8" w:color="auto"/>
            </w:tcBorders>
            <w:gridSpan w:val="2"/>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58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1820" w:type="dxa"/>
            <w:vAlign w:val="bottom"/>
            <w:tcBorders>
              <w:bottom w:val="single" w:sz="8" w:color="auto"/>
            </w:tcBorders>
            <w:gridSpan w:val="2"/>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w w:val="99"/>
              </w:rPr>
              <w:t>Nine Months Ended</w:t>
            </w:r>
          </w:p>
        </w:tc>
        <w:tc>
          <w:tcPr>
            <w:tcW w:w="64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620" w:type="dxa"/>
            <w:vAlign w:val="bottom"/>
            <w:gridSpan w:val="2"/>
            <w:vMerge w:val="restart"/>
          </w:tcPr>
          <w:p>
            <w:pPr>
              <w:ind w:left="60"/>
              <w:spacing w:after="0"/>
              <w:rPr>
                <w:sz w:val="20"/>
                <w:szCs w:val="20"/>
                <w:color w:val="auto"/>
              </w:rPr>
            </w:pPr>
            <w:r>
              <w:rPr>
                <w:rFonts w:ascii="Times New Roman" w:cs="Times New Roman" w:eastAsia="Times New Roman" w:hAnsi="Times New Roman"/>
                <w:sz w:val="18"/>
                <w:szCs w:val="18"/>
                <w:b w:val="1"/>
                <w:bCs w:val="1"/>
                <w:color w:val="auto"/>
              </w:rPr>
              <w:t>Affected Line Item</w:t>
            </w:r>
          </w:p>
        </w:tc>
        <w:tc>
          <w:tcPr>
            <w:tcW w:w="5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4"/>
        </w:trPr>
        <w:tc>
          <w:tcPr>
            <w:tcW w:w="12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20" w:type="dxa"/>
            <w:vAlign w:val="bottom"/>
            <w:gridSpan w:val="2"/>
            <w:vMerge w:val="continue"/>
          </w:tcPr>
          <w:p>
            <w:pPr>
              <w:spacing w:after="0"/>
              <w:rPr>
                <w:sz w:val="15"/>
                <w:szCs w:val="15"/>
                <w:color w:val="auto"/>
              </w:rPr>
            </w:pPr>
          </w:p>
        </w:tc>
        <w:tc>
          <w:tcPr>
            <w:tcW w:w="5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12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2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in the Statements</w:t>
            </w:r>
          </w:p>
        </w:tc>
        <w:tc>
          <w:tcPr>
            <w:tcW w:w="5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2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Where Net Income</w:t>
            </w:r>
          </w:p>
        </w:tc>
        <w:tc>
          <w:tcPr>
            <w:tcW w:w="5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228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4"/>
                <w:szCs w:val="14"/>
                <w:color w:val="auto"/>
              </w:rPr>
              <w:t>(In millions)</w:t>
            </w:r>
          </w:p>
        </w:tc>
        <w:tc>
          <w:tcPr>
            <w:tcW w:w="1680" w:type="dxa"/>
            <w:vAlign w:val="bottom"/>
            <w:tcBorders>
              <w:bottom w:val="single" w:sz="8" w:color="auto"/>
            </w:tcBorders>
            <w:gridSpan w:val="2"/>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September 30, 2017</w:t>
            </w:r>
          </w:p>
        </w:tc>
        <w:tc>
          <w:tcPr>
            <w:tcW w:w="1660" w:type="dxa"/>
            <w:vAlign w:val="bottom"/>
            <w:tcBorders>
              <w:bottom w:val="single" w:sz="8" w:color="auto"/>
            </w:tcBorders>
            <w:gridSpan w:val="3"/>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October 1, 2016</w:t>
            </w:r>
          </w:p>
        </w:tc>
        <w:tc>
          <w:tcPr>
            <w:tcW w:w="120" w:type="dxa"/>
            <w:vAlign w:val="bottom"/>
            <w:tcBorders>
              <w:bottom w:val="single" w:sz="8" w:color="auto"/>
            </w:tcBorders>
          </w:tcPr>
          <w:p>
            <w:pPr>
              <w:spacing w:after="0"/>
              <w:rPr>
                <w:sz w:val="20"/>
                <w:szCs w:val="20"/>
                <w:color w:val="auto"/>
              </w:rPr>
            </w:pPr>
          </w:p>
        </w:tc>
        <w:tc>
          <w:tcPr>
            <w:tcW w:w="1800" w:type="dxa"/>
            <w:vAlign w:val="bottom"/>
            <w:tcBorders>
              <w:bottom w:val="single" w:sz="8" w:color="auto"/>
            </w:tcBorders>
            <w:gridSpan w:val="2"/>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September 30, 2017</w:t>
            </w:r>
          </w:p>
        </w:tc>
        <w:tc>
          <w:tcPr>
            <w:tcW w:w="1680" w:type="dxa"/>
            <w:vAlign w:val="bottom"/>
            <w:tcBorders>
              <w:bottom w:val="single" w:sz="8" w:color="auto"/>
            </w:tcBorders>
            <w:gridSpan w:val="3"/>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October 1, 2016</w:t>
            </w:r>
          </w:p>
        </w:tc>
        <w:tc>
          <w:tcPr>
            <w:tcW w:w="124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b w:val="1"/>
                <w:bCs w:val="1"/>
                <w:color w:val="auto"/>
              </w:rPr>
              <w:t>is Presented</w:t>
            </w:r>
          </w:p>
        </w:tc>
        <w:tc>
          <w:tcPr>
            <w:tcW w:w="38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2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flow hedges:</w:t>
            </w:r>
          </w:p>
        </w:tc>
        <w:tc>
          <w:tcPr>
            <w:tcW w:w="5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280" w:type="dxa"/>
            <w:vAlign w:val="bottom"/>
            <w:gridSpan w:val="3"/>
          </w:tcPr>
          <w:p>
            <w:pPr>
              <w:ind w:left="180"/>
              <w:spacing w:after="0" w:line="198" w:lineRule="exact"/>
              <w:rPr>
                <w:sz w:val="20"/>
                <w:szCs w:val="20"/>
                <w:color w:val="auto"/>
              </w:rPr>
            </w:pPr>
            <w:r>
              <w:rPr>
                <w:rFonts w:ascii="Times New Roman" w:cs="Times New Roman" w:eastAsia="Times New Roman" w:hAnsi="Times New Roman"/>
                <w:sz w:val="18"/>
                <w:szCs w:val="18"/>
                <w:color w:val="auto"/>
              </w:rPr>
              <w:t>Foreign exchange</w:t>
            </w:r>
          </w:p>
        </w:tc>
        <w:tc>
          <w:tcPr>
            <w:tcW w:w="5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280" w:type="dxa"/>
            <w:vAlign w:val="bottom"/>
            <w:gridSpan w:val="3"/>
          </w:tcPr>
          <w:p>
            <w:pPr>
              <w:ind w:left="360"/>
              <w:spacing w:after="0"/>
              <w:rPr>
                <w:sz w:val="20"/>
                <w:szCs w:val="20"/>
                <w:color w:val="auto"/>
              </w:rPr>
            </w:pPr>
            <w:r>
              <w:rPr>
                <w:rFonts w:ascii="Times New Roman" w:cs="Times New Roman" w:eastAsia="Times New Roman" w:hAnsi="Times New Roman"/>
                <w:sz w:val="18"/>
                <w:szCs w:val="18"/>
                <w:color w:val="auto"/>
              </w:rPr>
              <w:t>contracts</w:t>
            </w:r>
          </w:p>
        </w:tc>
        <w:tc>
          <w:tcPr>
            <w:tcW w:w="5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1.0</w:t>
            </w:r>
          </w:p>
        </w:tc>
        <w:tc>
          <w:tcPr>
            <w:tcW w:w="100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(1.2)</w:t>
            </w:r>
          </w:p>
        </w:tc>
        <w:tc>
          <w:tcPr>
            <w:tcW w:w="102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w:t>
            </w:r>
          </w:p>
        </w:tc>
        <w:tc>
          <w:tcPr>
            <w:tcW w:w="92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62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Cost of products sold</w:t>
            </w:r>
          </w:p>
        </w:tc>
        <w:tc>
          <w:tcPr>
            <w:tcW w:w="5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28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Commodity contracts</w:t>
            </w:r>
          </w:p>
        </w:tc>
        <w:tc>
          <w:tcPr>
            <w:tcW w:w="50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w:t>
            </w:r>
          </w:p>
        </w:tc>
        <w:tc>
          <w:tcPr>
            <w:tcW w:w="9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62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Cost of products sold</w:t>
            </w:r>
          </w:p>
        </w:tc>
        <w:tc>
          <w:tcPr>
            <w:tcW w:w="58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80" w:type="dxa"/>
            <w:vAlign w:val="bottom"/>
            <w:tcBorders>
              <w:bottom w:val="single" w:sz="8" w:color="auto"/>
            </w:tcBorders>
            <w:gridSpan w:val="3"/>
          </w:tcPr>
          <w:p>
            <w:pPr>
              <w:ind w:left="180"/>
              <w:spacing w:after="0"/>
              <w:rPr>
                <w:sz w:val="20"/>
                <w:szCs w:val="20"/>
                <w:color w:val="auto"/>
              </w:rPr>
            </w:pPr>
            <w:r>
              <w:rPr>
                <w:rFonts w:ascii="Times New Roman" w:cs="Times New Roman" w:eastAsia="Times New Roman" w:hAnsi="Times New Roman"/>
                <w:sz w:val="18"/>
                <w:szCs w:val="18"/>
                <w:color w:val="auto"/>
              </w:rPr>
              <w:t>Interest rate contracts</w:t>
            </w:r>
          </w:p>
        </w:tc>
        <w:tc>
          <w:tcPr>
            <w:tcW w:w="50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9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4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w w:val="99"/>
              </w:rPr>
              <w:t>Interest expense</w:t>
            </w:r>
          </w:p>
        </w:tc>
        <w:tc>
          <w:tcPr>
            <w:tcW w:w="38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2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w:t>
            </w:r>
          </w:p>
        </w:tc>
        <w:tc>
          <w:tcPr>
            <w:tcW w:w="10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(1.3)</w:t>
            </w: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9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124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Total before tax</w:t>
            </w:r>
          </w:p>
        </w:tc>
        <w:tc>
          <w:tcPr>
            <w:tcW w:w="3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8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.4</w:t>
            </w:r>
          </w:p>
        </w:tc>
        <w:tc>
          <w:tcPr>
            <w:tcW w:w="1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.5</w:t>
            </w:r>
          </w:p>
        </w:tc>
        <w:tc>
          <w:tcPr>
            <w:tcW w:w="9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.8</w:t>
            </w:r>
          </w:p>
        </w:tc>
        <w:tc>
          <w:tcPr>
            <w:tcW w:w="2200" w:type="dxa"/>
            <w:vAlign w:val="bottom"/>
            <w:tcBorders>
              <w:bottom w:val="single" w:sz="8" w:color="auto"/>
            </w:tcBorders>
            <w:gridSpan w:val="3"/>
          </w:tcPr>
          <w:p>
            <w:pPr>
              <w:ind w:left="6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28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w:t>
            </w:r>
          </w:p>
        </w:tc>
        <w:tc>
          <w:tcPr>
            <w:tcW w:w="100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(.9)</w:t>
            </w:r>
          </w:p>
        </w:tc>
        <w:tc>
          <w:tcPr>
            <w:tcW w:w="12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92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240" w:type="dxa"/>
            <w:vAlign w:val="bottom"/>
            <w:tcBorders>
              <w:bottom w:val="single" w:sz="8" w:color="auto"/>
            </w:tcBorders>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Net of tax</w:t>
            </w:r>
          </w:p>
        </w:tc>
        <w:tc>
          <w:tcPr>
            <w:tcW w:w="38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1"/>
        </w:trPr>
        <w:tc>
          <w:tcPr>
            <w:tcW w:w="2280" w:type="dxa"/>
            <w:vAlign w:val="bottom"/>
            <w:gridSpan w:val="3"/>
          </w:tcPr>
          <w:p>
            <w:pPr>
              <w:spacing w:after="0" w:line="191" w:lineRule="exact"/>
              <w:rPr>
                <w:sz w:val="20"/>
                <w:szCs w:val="20"/>
                <w:color w:val="auto"/>
              </w:rPr>
            </w:pPr>
            <w:r>
              <w:rPr>
                <w:rFonts w:ascii="Times New Roman" w:cs="Times New Roman" w:eastAsia="Times New Roman" w:hAnsi="Times New Roman"/>
                <w:sz w:val="18"/>
                <w:szCs w:val="18"/>
                <w:color w:val="auto"/>
              </w:rPr>
              <w:t>Pension and other</w:t>
            </w:r>
          </w:p>
        </w:tc>
        <w:tc>
          <w:tcPr>
            <w:tcW w:w="5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28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postretirement</w:t>
            </w:r>
          </w:p>
        </w:tc>
        <w:tc>
          <w:tcPr>
            <w:tcW w:w="5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280" w:type="dxa"/>
            <w:vAlign w:val="bottom"/>
            <w:gridSpan w:val="3"/>
          </w:tcPr>
          <w:p>
            <w:pPr>
              <w:ind w:left="180"/>
              <w:spacing w:after="0" w:line="234" w:lineRule="exact"/>
              <w:rPr>
                <w:sz w:val="20"/>
                <w:szCs w:val="20"/>
                <w:color w:val="auto"/>
              </w:rPr>
            </w:pPr>
            <w:r>
              <w:rPr>
                <w:rFonts w:ascii="Times New Roman" w:cs="Times New Roman" w:eastAsia="Times New Roman" w:hAnsi="Times New Roman"/>
                <w:sz w:val="18"/>
                <w:szCs w:val="18"/>
                <w:color w:val="auto"/>
              </w:rPr>
              <w:t>benefits</w:t>
            </w:r>
            <w:r>
              <w:rPr>
                <w:rFonts w:ascii="Times New Roman" w:cs="Times New Roman" w:eastAsia="Times New Roman" w:hAnsi="Times New Roman"/>
                <w:sz w:val="23"/>
                <w:szCs w:val="23"/>
                <w:color w:val="auto"/>
                <w:vertAlign w:val="superscript"/>
              </w:rPr>
              <w:t>(1)</w:t>
            </w:r>
          </w:p>
        </w:tc>
        <w:tc>
          <w:tcPr>
            <w:tcW w:w="50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1000" w:type="dxa"/>
            <w:vAlign w:val="bottom"/>
          </w:tcPr>
          <w:p>
            <w:pPr>
              <w:spacing w:after="0"/>
              <w:rPr>
                <w:sz w:val="20"/>
                <w:szCs w:val="20"/>
                <w:color w:val="auto"/>
              </w:rPr>
            </w:pPr>
          </w:p>
        </w:tc>
        <w:tc>
          <w:tcPr>
            <w:tcW w:w="6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(6.5)</w:t>
            </w:r>
          </w:p>
        </w:tc>
        <w:tc>
          <w:tcPr>
            <w:tcW w:w="1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(21.1)</w:t>
            </w:r>
          </w:p>
        </w:tc>
        <w:tc>
          <w:tcPr>
            <w:tcW w:w="920" w:type="dxa"/>
            <w:vAlign w:val="bottom"/>
          </w:tcPr>
          <w:p>
            <w:pPr>
              <w:spacing w:after="0"/>
              <w:rPr>
                <w:sz w:val="20"/>
                <w:szCs w:val="20"/>
                <w:color w:val="auto"/>
              </w:rPr>
            </w:pP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(60.3)</w:t>
            </w:r>
          </w:p>
        </w:tc>
        <w:tc>
          <w:tcPr>
            <w:tcW w:w="12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28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2.2</w:t>
            </w:r>
          </w:p>
        </w:tc>
        <w:tc>
          <w:tcPr>
            <w:tcW w:w="100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2.1</w:t>
            </w:r>
          </w:p>
        </w:tc>
        <w:tc>
          <w:tcPr>
            <w:tcW w:w="12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6.5</w:t>
            </w:r>
          </w:p>
        </w:tc>
        <w:tc>
          <w:tcPr>
            <w:tcW w:w="92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20.5</w:t>
            </w:r>
          </w:p>
        </w:tc>
        <w:tc>
          <w:tcPr>
            <w:tcW w:w="2200" w:type="dxa"/>
            <w:vAlign w:val="bottom"/>
            <w:tcBorders>
              <w:bottom w:val="single" w:sz="8" w:color="auto"/>
            </w:tcBorders>
            <w:gridSpan w:val="3"/>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28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100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(4.4)</w:t>
            </w:r>
          </w:p>
        </w:tc>
        <w:tc>
          <w:tcPr>
            <w:tcW w:w="1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(14.6)</w:t>
            </w:r>
          </w:p>
        </w:tc>
        <w:tc>
          <w:tcPr>
            <w:tcW w:w="9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(39.8)</w:t>
            </w:r>
          </w:p>
        </w:tc>
        <w:tc>
          <w:tcPr>
            <w:tcW w:w="124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Net of tax</w:t>
            </w:r>
          </w:p>
        </w:tc>
        <w:tc>
          <w:tcPr>
            <w:tcW w:w="38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1"/>
        </w:trPr>
        <w:tc>
          <w:tcPr>
            <w:tcW w:w="2280" w:type="dxa"/>
            <w:vAlign w:val="bottom"/>
            <w:gridSpan w:val="3"/>
            <w:shd w:val="clear" w:color="auto" w:fill="CCEEFF"/>
          </w:tcPr>
          <w:p>
            <w:pPr>
              <w:spacing w:after="0" w:line="191" w:lineRule="exact"/>
              <w:rPr>
                <w:sz w:val="20"/>
                <w:szCs w:val="20"/>
                <w:color w:val="auto"/>
              </w:rPr>
            </w:pPr>
            <w:r>
              <w:rPr>
                <w:rFonts w:ascii="Times New Roman" w:cs="Times New Roman" w:eastAsia="Times New Roman" w:hAnsi="Times New Roman"/>
                <w:sz w:val="18"/>
                <w:szCs w:val="18"/>
                <w:color w:val="auto"/>
              </w:rPr>
              <w:t>Total reclassifications</w:t>
            </w:r>
          </w:p>
        </w:tc>
        <w:tc>
          <w:tcPr>
            <w:tcW w:w="50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1"/>
        </w:trPr>
        <w:tc>
          <w:tcPr>
            <w:tcW w:w="2280" w:type="dxa"/>
            <w:vAlign w:val="bottom"/>
            <w:tcBorders>
              <w:bottom w:val="single" w:sz="8" w:color="auto"/>
            </w:tcBorders>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for the period</w:t>
            </w:r>
          </w:p>
        </w:tc>
        <w:tc>
          <w:tcPr>
            <w:tcW w:w="5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1000" w:type="dxa"/>
            <w:vAlign w:val="bottom"/>
            <w:tcBorders>
              <w:bottom w:val="single" w:sz="8" w:color="auto"/>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bottom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(5.3)</w:t>
            </w:r>
          </w:p>
        </w:tc>
        <w:tc>
          <w:tcPr>
            <w:tcW w:w="1020" w:type="dxa"/>
            <w:vAlign w:val="bottom"/>
            <w:tcBorders>
              <w:bottom w:val="single" w:sz="8" w:color="auto"/>
            </w:tcBorders>
            <w:gridSpan w:val="2"/>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w:t>
            </w:r>
          </w:p>
        </w:tc>
        <w:tc>
          <w:tcPr>
            <w:tcW w:w="920" w:type="dxa"/>
            <w:vAlign w:val="bottom"/>
            <w:tcBorders>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(41.8)</w:t>
            </w:r>
          </w:p>
        </w:tc>
        <w:tc>
          <w:tcPr>
            <w:tcW w:w="1240" w:type="dxa"/>
            <w:vAlign w:val="bottom"/>
            <w:tcBorders>
              <w:bottom w:val="single" w:sz="8" w:color="auto"/>
            </w:tcBorders>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Total, net of tax</w:t>
            </w:r>
          </w:p>
        </w:tc>
        <w:tc>
          <w:tcPr>
            <w:tcW w:w="380" w:type="dxa"/>
            <w:vAlign w:val="bottom"/>
            <w:tcBorders>
              <w:bottom w:val="single" w:sz="8" w:color="auto"/>
            </w:tcBorders>
            <w:shd w:val="clear" w:color="auto" w:fill="CCEEFF"/>
          </w:tcPr>
          <w:p>
            <w:pPr>
              <w:spacing w:after="0"/>
              <w:rPr>
                <w:sz w:val="20"/>
                <w:szCs w:val="20"/>
                <w:color w:val="auto"/>
              </w:rPr>
            </w:pPr>
          </w:p>
        </w:tc>
        <w:tc>
          <w:tcPr>
            <w:tcW w:w="580" w:type="dxa"/>
            <w:vAlign w:val="bottom"/>
            <w:tcBorders>
              <w:bottom w:val="single" w:sz="8" w:color="auto"/>
            </w:tcBorders>
            <w:shd w:val="clear" w:color="auto" w:fill="CCEEFF"/>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-4169410</wp:posOffset>
            </wp:positionV>
            <wp:extent cx="12700" cy="298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-4169410</wp:posOffset>
            </wp:positionV>
            <wp:extent cx="12700" cy="298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ind w:left="240" w:hanging="151"/>
        <w:spacing w:after="0"/>
        <w:tabs>
          <w:tab w:leader="none" w:pos="240" w:val="left"/>
        </w:tabs>
        <w:numPr>
          <w:ilvl w:val="0"/>
          <w:numId w:val="4"/>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3"/>
          <w:szCs w:val="13"/>
          <w:color w:val="auto"/>
        </w:rPr>
        <w:t>See Note 6, “Pension and Other Postretirement Benefits,” for more information.</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14. Fair Value Measurements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Recurring Fair Value Measurements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shows the assets and liabilities carried at fair value, measured on a recurring basis, as of September 30, 2017:</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78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(In millions)</w:t>
            </w:r>
          </w:p>
        </w:tc>
        <w:tc>
          <w:tcPr>
            <w:tcW w:w="2740" w:type="dxa"/>
            <w:vAlign w:val="bottom"/>
            <w:vMerge w:val="restart"/>
          </w:tcPr>
          <w:p>
            <w:pPr>
              <w:ind w:left="206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620" w:type="dxa"/>
            <w:vAlign w:val="bottom"/>
            <w:tcBorders>
              <w:bottom w:val="single" w:sz="8" w:color="auto"/>
            </w:tcBorders>
          </w:tcPr>
          <w:p>
            <w:pPr>
              <w:spacing w:after="0"/>
              <w:rPr>
                <w:sz w:val="20"/>
                <w:szCs w:val="20"/>
                <w:color w:val="auto"/>
              </w:rPr>
            </w:pPr>
          </w:p>
        </w:tc>
        <w:tc>
          <w:tcPr>
            <w:tcW w:w="2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99"/>
              </w:rPr>
              <w:t>Fair Value Measurements Using</w:t>
            </w:r>
          </w:p>
        </w:tc>
        <w:tc>
          <w:tcPr>
            <w:tcW w:w="174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87"/>
        </w:trPr>
        <w:tc>
          <w:tcPr>
            <w:tcW w:w="2780" w:type="dxa"/>
            <w:vAlign w:val="bottom"/>
            <w:vMerge w:val="continue"/>
          </w:tcPr>
          <w:p>
            <w:pPr>
              <w:spacing w:after="0"/>
              <w:rPr>
                <w:sz w:val="16"/>
                <w:szCs w:val="16"/>
                <w:color w:val="auto"/>
              </w:rPr>
            </w:pPr>
          </w:p>
        </w:tc>
        <w:tc>
          <w:tcPr>
            <w:tcW w:w="2740" w:type="dxa"/>
            <w:vAlign w:val="bottom"/>
            <w:vMerge w:val="continue"/>
          </w:tcPr>
          <w:p>
            <w:pPr>
              <w:spacing w:after="0"/>
              <w:rPr>
                <w:sz w:val="16"/>
                <w:szCs w:val="16"/>
                <w:color w:val="auto"/>
              </w:rPr>
            </w:pPr>
          </w:p>
        </w:tc>
        <w:tc>
          <w:tcPr>
            <w:tcW w:w="1620" w:type="dxa"/>
            <w:vAlign w:val="bottom"/>
          </w:tcPr>
          <w:p>
            <w:pPr>
              <w:jc w:val="right"/>
              <w:spacing w:after="0" w:line="188" w:lineRule="exact"/>
              <w:rPr>
                <w:sz w:val="20"/>
                <w:szCs w:val="20"/>
                <w:color w:val="auto"/>
              </w:rPr>
            </w:pPr>
            <w:r>
              <w:rPr>
                <w:rFonts w:ascii="Times New Roman" w:cs="Times New Roman" w:eastAsia="Times New Roman" w:hAnsi="Times New Roman"/>
                <w:sz w:val="18"/>
                <w:szCs w:val="18"/>
                <w:b w:val="1"/>
                <w:bCs w:val="1"/>
                <w:color w:val="auto"/>
              </w:rPr>
              <w:t>Quoted Prices in</w:t>
            </w:r>
          </w:p>
        </w:tc>
        <w:tc>
          <w:tcPr>
            <w:tcW w:w="2540" w:type="dxa"/>
            <w:vAlign w:val="bottom"/>
          </w:tcPr>
          <w:p>
            <w:pPr>
              <w:jc w:val="right"/>
              <w:ind w:right="490"/>
              <w:spacing w:after="0" w:line="188" w:lineRule="exact"/>
              <w:rPr>
                <w:sz w:val="20"/>
                <w:szCs w:val="20"/>
                <w:color w:val="auto"/>
              </w:rPr>
            </w:pPr>
            <w:r>
              <w:rPr>
                <w:rFonts w:ascii="Times New Roman" w:cs="Times New Roman" w:eastAsia="Times New Roman" w:hAnsi="Times New Roman"/>
                <w:sz w:val="18"/>
                <w:szCs w:val="18"/>
                <w:b w:val="1"/>
                <w:bCs w:val="1"/>
                <w:color w:val="auto"/>
              </w:rPr>
              <w:t>Significant Other</w:t>
            </w:r>
          </w:p>
        </w:tc>
        <w:tc>
          <w:tcPr>
            <w:tcW w:w="1740" w:type="dxa"/>
            <w:vAlign w:val="bottom"/>
          </w:tcPr>
          <w:p>
            <w:pPr>
              <w:jc w:val="right"/>
              <w:ind w:right="10"/>
              <w:spacing w:after="0" w:line="188" w:lineRule="exact"/>
              <w:rPr>
                <w:sz w:val="20"/>
                <w:szCs w:val="20"/>
                <w:color w:val="auto"/>
              </w:rPr>
            </w:pPr>
            <w:r>
              <w:rPr>
                <w:rFonts w:ascii="Times New Roman" w:cs="Times New Roman" w:eastAsia="Times New Roman" w:hAnsi="Times New Roman"/>
                <w:sz w:val="18"/>
                <w:szCs w:val="18"/>
                <w:b w:val="1"/>
                <w:bCs w:val="1"/>
                <w:color w:val="auto"/>
              </w:rPr>
              <w:t>Significant Other</w:t>
            </w:r>
          </w:p>
        </w:tc>
        <w:tc>
          <w:tcPr>
            <w:tcW w:w="0" w:type="dxa"/>
            <w:vAlign w:val="bottom"/>
          </w:tcPr>
          <w:p>
            <w:pPr>
              <w:spacing w:after="0"/>
              <w:rPr>
                <w:sz w:val="1"/>
                <w:szCs w:val="1"/>
                <w:color w:val="auto"/>
              </w:rPr>
            </w:pPr>
          </w:p>
        </w:tc>
      </w:tr>
      <w:tr>
        <w:trPr>
          <w:trHeight w:val="238"/>
        </w:trPr>
        <w:tc>
          <w:tcPr>
            <w:tcW w:w="2780" w:type="dxa"/>
            <w:vAlign w:val="bottom"/>
          </w:tcPr>
          <w:p>
            <w:pPr>
              <w:spacing w:after="0"/>
              <w:rPr>
                <w:sz w:val="20"/>
                <w:szCs w:val="20"/>
                <w:color w:val="auto"/>
              </w:rPr>
            </w:pPr>
          </w:p>
        </w:tc>
        <w:tc>
          <w:tcPr>
            <w:tcW w:w="2740" w:type="dxa"/>
            <w:vAlign w:val="bottom"/>
          </w:tcPr>
          <w:p>
            <w:pPr>
              <w:spacing w:after="0"/>
              <w:rPr>
                <w:sz w:val="20"/>
                <w:szCs w:val="20"/>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Active Markets</w:t>
            </w:r>
          </w:p>
        </w:tc>
        <w:tc>
          <w:tcPr>
            <w:tcW w:w="2540" w:type="dxa"/>
            <w:vAlign w:val="bottom"/>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Observable Inputs</w:t>
            </w:r>
          </w:p>
        </w:tc>
        <w:tc>
          <w:tcPr>
            <w:tcW w:w="174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Unobservable Inputs</w:t>
            </w:r>
          </w:p>
        </w:tc>
        <w:tc>
          <w:tcPr>
            <w:tcW w:w="0" w:type="dxa"/>
            <w:vAlign w:val="bottom"/>
          </w:tcPr>
          <w:p>
            <w:pPr>
              <w:spacing w:after="0"/>
              <w:rPr>
                <w:sz w:val="1"/>
                <w:szCs w:val="1"/>
                <w:color w:val="auto"/>
              </w:rPr>
            </w:pPr>
          </w:p>
        </w:tc>
      </w:tr>
    </w:tbl>
    <w:p>
      <w:pPr>
        <w:sectPr>
          <w:pgSz w:w="11900" w:h="16911" w:orient="portrait"/>
          <w:cols w:equalWidth="0" w:num="1">
            <w:col w:w="11460"/>
          </w:cols>
          <w:pgMar w:left="240" w:top="337" w:right="199" w:bottom="0" w:gutter="0" w:footer="0" w:header="0"/>
        </w:sectPr>
      </w:pPr>
    </w:p>
    <w:bookmarkStart w:id="11" w:name="page12"/>
    <w:bookmarkEnd w:id="1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3000" w:type="dxa"/>
            <w:vAlign w:val="bottom"/>
            <w:tcBorders>
              <w:bottom w:val="single" w:sz="8" w:color="auto"/>
            </w:tcBorders>
          </w:tcPr>
          <w:p>
            <w:pPr>
              <w:spacing w:after="0"/>
              <w:rPr>
                <w:sz w:val="20"/>
                <w:szCs w:val="20"/>
                <w:color w:val="auto"/>
              </w:rPr>
            </w:pPr>
          </w:p>
        </w:tc>
        <w:tc>
          <w:tcPr>
            <w:tcW w:w="16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(Level 1)</w:t>
            </w:r>
          </w:p>
        </w:tc>
        <w:tc>
          <w:tcPr>
            <w:tcW w:w="70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(Level 2)</w:t>
            </w:r>
          </w:p>
        </w:tc>
        <w:tc>
          <w:tcPr>
            <w:tcW w:w="82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(Level 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6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Trading securities</w:t>
            </w:r>
          </w:p>
        </w:tc>
        <w:tc>
          <w:tcPr>
            <w:tcW w:w="168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rPr>
              <w:t>22.6</w:t>
            </w:r>
          </w:p>
        </w:tc>
        <w:tc>
          <w:tcPr>
            <w:tcW w:w="6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ind w:right="370"/>
              <w:spacing w:after="0"/>
              <w:rPr>
                <w:sz w:val="20"/>
                <w:szCs w:val="20"/>
                <w:color w:val="auto"/>
              </w:rPr>
            </w:pPr>
            <w:r>
              <w:rPr>
                <w:rFonts w:ascii="Times New Roman" w:cs="Times New Roman" w:eastAsia="Times New Roman" w:hAnsi="Times New Roman"/>
                <w:sz w:val="18"/>
                <w:szCs w:val="18"/>
                <w:color w:val="auto"/>
              </w:rPr>
              <w:t>14.2</w:t>
            </w:r>
          </w:p>
        </w:tc>
        <w:tc>
          <w:tcPr>
            <w:tcW w:w="7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ind w:right="450"/>
              <w:spacing w:after="0"/>
              <w:rPr>
                <w:sz w:val="20"/>
                <w:szCs w:val="20"/>
                <w:color w:val="auto"/>
              </w:rPr>
            </w:pPr>
            <w:r>
              <w:rPr>
                <w:rFonts w:ascii="Times New Roman" w:cs="Times New Roman" w:eastAsia="Times New Roman" w:hAnsi="Times New Roman"/>
                <w:sz w:val="18"/>
                <w:szCs w:val="18"/>
                <w:color w:val="auto"/>
              </w:rPr>
              <w:t>8.4</w:t>
            </w:r>
          </w:p>
        </w:tc>
        <w:tc>
          <w:tcPr>
            <w:tcW w:w="82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Derivative assets</w:t>
            </w:r>
          </w:p>
        </w:tc>
        <w:tc>
          <w:tcPr>
            <w:tcW w:w="168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rPr>
              <w:t>5.7</w:t>
            </w:r>
          </w:p>
        </w:tc>
        <w:tc>
          <w:tcPr>
            <w:tcW w:w="64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spacing w:after="0"/>
              <w:rPr>
                <w:sz w:val="18"/>
                <w:szCs w:val="18"/>
                <w:color w:val="auto"/>
              </w:rPr>
            </w:pPr>
          </w:p>
        </w:tc>
        <w:tc>
          <w:tcPr>
            <w:tcW w:w="1360" w:type="dxa"/>
            <w:vAlign w:val="bottom"/>
            <w:shd w:val="clear" w:color="auto" w:fill="CCEEFF"/>
          </w:tcPr>
          <w:p>
            <w:pPr>
              <w:jc w:val="right"/>
              <w:ind w:right="450"/>
              <w:spacing w:after="0"/>
              <w:rPr>
                <w:sz w:val="20"/>
                <w:szCs w:val="20"/>
                <w:color w:val="auto"/>
              </w:rPr>
            </w:pPr>
            <w:r>
              <w:rPr>
                <w:rFonts w:ascii="Times New Roman" w:cs="Times New Roman" w:eastAsia="Times New Roman" w:hAnsi="Times New Roman"/>
                <w:sz w:val="18"/>
                <w:szCs w:val="18"/>
                <w:color w:val="auto"/>
              </w:rPr>
              <w:t>5.7</w:t>
            </w:r>
          </w:p>
        </w:tc>
        <w:tc>
          <w:tcPr>
            <w:tcW w:w="82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Bank drafts</w:t>
            </w:r>
          </w:p>
        </w:tc>
        <w:tc>
          <w:tcPr>
            <w:tcW w:w="1680" w:type="dxa"/>
            <w:vAlign w:val="bottom"/>
          </w:tcPr>
          <w:p>
            <w:pPr>
              <w:spacing w:after="0"/>
              <w:rPr>
                <w:sz w:val="18"/>
                <w:szCs w:val="18"/>
                <w:color w:val="auto"/>
              </w:rPr>
            </w:pPr>
          </w:p>
        </w:tc>
        <w:tc>
          <w:tcPr>
            <w:tcW w:w="98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rPr>
              <w:t>13.4</w:t>
            </w:r>
          </w:p>
        </w:tc>
        <w:tc>
          <w:tcPr>
            <w:tcW w:w="640" w:type="dxa"/>
            <w:vAlign w:val="bottom"/>
          </w:tcPr>
          <w:p>
            <w:pPr>
              <w:spacing w:after="0"/>
              <w:rPr>
                <w:sz w:val="18"/>
                <w:szCs w:val="18"/>
                <w:color w:val="auto"/>
              </w:rPr>
            </w:pPr>
          </w:p>
        </w:tc>
        <w:tc>
          <w:tcPr>
            <w:tcW w:w="1260" w:type="dxa"/>
            <w:vAlign w:val="bottom"/>
          </w:tcPr>
          <w:p>
            <w:pPr>
              <w:jc w:val="right"/>
              <w:ind w:right="370"/>
              <w:spacing w:after="0"/>
              <w:rPr>
                <w:sz w:val="20"/>
                <w:szCs w:val="20"/>
                <w:color w:val="auto"/>
              </w:rPr>
            </w:pPr>
            <w:r>
              <w:rPr>
                <w:rFonts w:ascii="Times New Roman" w:cs="Times New Roman" w:eastAsia="Times New Roman" w:hAnsi="Times New Roman"/>
                <w:sz w:val="18"/>
                <w:szCs w:val="18"/>
                <w:color w:val="auto"/>
              </w:rPr>
              <w:t>13.4</w:t>
            </w:r>
          </w:p>
        </w:tc>
        <w:tc>
          <w:tcPr>
            <w:tcW w:w="700" w:type="dxa"/>
            <w:vAlign w:val="bottom"/>
          </w:tcPr>
          <w:p>
            <w:pPr>
              <w:spacing w:after="0"/>
              <w:rPr>
                <w:sz w:val="18"/>
                <w:szCs w:val="18"/>
                <w:color w:val="auto"/>
              </w:rPr>
            </w:pPr>
          </w:p>
        </w:tc>
        <w:tc>
          <w:tcPr>
            <w:tcW w:w="1360" w:type="dxa"/>
            <w:vAlign w:val="bottom"/>
          </w:tcPr>
          <w:p>
            <w:pPr>
              <w:jc w:val="right"/>
              <w:ind w:right="45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spacing w:after="0"/>
              <w:rPr>
                <w:sz w:val="18"/>
                <w:szCs w:val="18"/>
                <w:color w:val="auto"/>
              </w:rPr>
            </w:pPr>
          </w:p>
        </w:tc>
        <w:tc>
          <w:tcPr>
            <w:tcW w:w="9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00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0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16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000" w:type="dxa"/>
            <w:vAlign w:val="bottom"/>
            <w:tcBorders>
              <w:bottom w:val="single" w:sz="8" w:color="auto"/>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Derivative liabilities</w:t>
            </w:r>
          </w:p>
        </w:tc>
        <w:tc>
          <w:tcPr>
            <w:tcW w:w="168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rPr>
              <w:t>3.0</w:t>
            </w:r>
          </w:p>
        </w:tc>
        <w:tc>
          <w:tcPr>
            <w:tcW w:w="6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auto"/>
            </w:tcBorders>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bottom w:val="single" w:sz="8" w:color="auto"/>
            </w:tcBorders>
            <w:shd w:val="clear" w:color="auto" w:fill="CCEEFF"/>
          </w:tcPr>
          <w:p>
            <w:pPr>
              <w:jc w:val="right"/>
              <w:ind w:right="450"/>
              <w:spacing w:after="0"/>
              <w:rPr>
                <w:sz w:val="20"/>
                <w:szCs w:val="20"/>
                <w:color w:val="auto"/>
              </w:rPr>
            </w:pPr>
            <w:r>
              <w:rPr>
                <w:rFonts w:ascii="Times New Roman" w:cs="Times New Roman" w:eastAsia="Times New Roman" w:hAnsi="Times New Roman"/>
                <w:sz w:val="18"/>
                <w:szCs w:val="18"/>
                <w:color w:val="auto"/>
              </w:rPr>
              <w:t>3.0</w:t>
            </w:r>
          </w:p>
        </w:tc>
        <w:tc>
          <w:tcPr>
            <w:tcW w:w="82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shows the assets and liabilities carried at fair value, measured on a recurring basis, as of December 31, 2016:</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292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7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25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w w:val="99"/>
              </w:rPr>
              <w:t>Fair Value Measurements Using</w:t>
            </w:r>
          </w:p>
        </w:tc>
        <w:tc>
          <w:tcPr>
            <w:tcW w:w="7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292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620" w:type="dxa"/>
            <w:vAlign w:val="bottom"/>
            <w:gridSpan w:val="2"/>
          </w:tcPr>
          <w:p>
            <w:pPr>
              <w:jc w:val="right"/>
              <w:spacing w:after="0" w:line="188" w:lineRule="exact"/>
              <w:rPr>
                <w:sz w:val="20"/>
                <w:szCs w:val="20"/>
                <w:color w:val="auto"/>
              </w:rPr>
            </w:pPr>
            <w:r>
              <w:rPr>
                <w:rFonts w:ascii="Times New Roman" w:cs="Times New Roman" w:eastAsia="Times New Roman" w:hAnsi="Times New Roman"/>
                <w:sz w:val="18"/>
                <w:szCs w:val="18"/>
                <w:b w:val="1"/>
                <w:bCs w:val="1"/>
                <w:color w:val="auto"/>
              </w:rPr>
              <w:t>Quoted Prices in</w:t>
            </w:r>
          </w:p>
        </w:tc>
        <w:tc>
          <w:tcPr>
            <w:tcW w:w="2520" w:type="dxa"/>
            <w:vAlign w:val="bottom"/>
            <w:gridSpan w:val="2"/>
          </w:tcPr>
          <w:p>
            <w:pPr>
              <w:jc w:val="right"/>
              <w:ind w:right="490"/>
              <w:spacing w:after="0" w:line="188" w:lineRule="exact"/>
              <w:rPr>
                <w:sz w:val="20"/>
                <w:szCs w:val="20"/>
                <w:color w:val="auto"/>
              </w:rPr>
            </w:pPr>
            <w:r>
              <w:rPr>
                <w:rFonts w:ascii="Times New Roman" w:cs="Times New Roman" w:eastAsia="Times New Roman" w:hAnsi="Times New Roman"/>
                <w:sz w:val="18"/>
                <w:szCs w:val="18"/>
                <w:b w:val="1"/>
                <w:bCs w:val="1"/>
                <w:color w:val="auto"/>
              </w:rPr>
              <w:t>Significant Other</w:t>
            </w:r>
          </w:p>
        </w:tc>
        <w:tc>
          <w:tcPr>
            <w:tcW w:w="1740" w:type="dxa"/>
            <w:vAlign w:val="bottom"/>
            <w:gridSpan w:val="2"/>
          </w:tcPr>
          <w:p>
            <w:pPr>
              <w:jc w:val="right"/>
              <w:ind w:right="10"/>
              <w:spacing w:after="0" w:line="188" w:lineRule="exact"/>
              <w:rPr>
                <w:sz w:val="20"/>
                <w:szCs w:val="20"/>
                <w:color w:val="auto"/>
              </w:rPr>
            </w:pPr>
            <w:r>
              <w:rPr>
                <w:rFonts w:ascii="Times New Roman" w:cs="Times New Roman" w:eastAsia="Times New Roman" w:hAnsi="Times New Roman"/>
                <w:sz w:val="18"/>
                <w:szCs w:val="18"/>
                <w:b w:val="1"/>
                <w:bCs w:val="1"/>
                <w:color w:val="auto"/>
              </w:rPr>
              <w:t>Significant Other</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2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2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Active Markets</w:t>
            </w:r>
          </w:p>
        </w:tc>
        <w:tc>
          <w:tcPr>
            <w:tcW w:w="2520" w:type="dxa"/>
            <w:vAlign w:val="bottom"/>
            <w:gridSpan w:val="2"/>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Observable Inputs</w:t>
            </w:r>
          </w:p>
        </w:tc>
        <w:tc>
          <w:tcPr>
            <w:tcW w:w="178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Unobservable Inputs</w:t>
            </w:r>
          </w:p>
        </w:tc>
        <w:tc>
          <w:tcPr>
            <w:tcW w:w="0" w:type="dxa"/>
            <w:vAlign w:val="bottom"/>
          </w:tcPr>
          <w:p>
            <w:pPr>
              <w:spacing w:after="0"/>
              <w:rPr>
                <w:sz w:val="1"/>
                <w:szCs w:val="1"/>
                <w:color w:val="auto"/>
              </w:rPr>
            </w:pPr>
          </w:p>
        </w:tc>
      </w:tr>
      <w:tr>
        <w:trPr>
          <w:trHeight w:val="238"/>
        </w:trPr>
        <w:tc>
          <w:tcPr>
            <w:tcW w:w="29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(In millions)</w:t>
            </w:r>
          </w:p>
        </w:tc>
        <w:tc>
          <w:tcPr>
            <w:tcW w:w="1640" w:type="dxa"/>
            <w:vAlign w:val="bottom"/>
          </w:tcPr>
          <w:p>
            <w:pPr>
              <w:spacing w:after="0"/>
              <w:rPr>
                <w:sz w:val="20"/>
                <w:szCs w:val="20"/>
                <w:color w:val="auto"/>
              </w:rPr>
            </w:pPr>
          </w:p>
        </w:tc>
        <w:tc>
          <w:tcPr>
            <w:tcW w:w="960" w:type="dxa"/>
            <w:vAlign w:val="bottom"/>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7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(Level 1)</w:t>
            </w:r>
          </w:p>
        </w:tc>
        <w:tc>
          <w:tcPr>
            <w:tcW w:w="1080" w:type="dxa"/>
            <w:vAlign w:val="bottom"/>
          </w:tcPr>
          <w:p>
            <w:pPr>
              <w:spacing w:after="0"/>
              <w:rPr>
                <w:sz w:val="20"/>
                <w:szCs w:val="20"/>
                <w:color w:val="auto"/>
              </w:rPr>
            </w:pPr>
          </w:p>
        </w:tc>
        <w:tc>
          <w:tcPr>
            <w:tcW w:w="1440" w:type="dxa"/>
            <w:vAlign w:val="bottom"/>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(Level 2)</w:t>
            </w:r>
          </w:p>
        </w:tc>
        <w:tc>
          <w:tcPr>
            <w:tcW w:w="720" w:type="dxa"/>
            <w:vAlign w:val="bottom"/>
          </w:tcPr>
          <w:p>
            <w:pPr>
              <w:spacing w:after="0"/>
              <w:rPr>
                <w:sz w:val="20"/>
                <w:szCs w:val="20"/>
                <w:color w:val="auto"/>
              </w:rPr>
            </w:pPr>
          </w:p>
        </w:tc>
        <w:tc>
          <w:tcPr>
            <w:tcW w:w="10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(Level 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9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64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144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Trading securities</w:t>
            </w:r>
          </w:p>
        </w:tc>
        <w:tc>
          <w:tcPr>
            <w:tcW w:w="164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18.1</w:t>
            </w:r>
          </w:p>
        </w:tc>
        <w:tc>
          <w:tcPr>
            <w:tcW w:w="74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w:t>
            </w:r>
          </w:p>
        </w:tc>
        <w:tc>
          <w:tcPr>
            <w:tcW w:w="108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Pr>
          <w:p>
            <w:pPr>
              <w:jc w:val="right"/>
              <w:ind w:right="490"/>
              <w:spacing w:after="0"/>
              <w:rPr>
                <w:sz w:val="20"/>
                <w:szCs w:val="20"/>
                <w:color w:val="auto"/>
              </w:rPr>
            </w:pPr>
            <w:r>
              <w:rPr>
                <w:rFonts w:ascii="Times New Roman" w:cs="Times New Roman" w:eastAsia="Times New Roman" w:hAnsi="Times New Roman"/>
                <w:sz w:val="18"/>
                <w:szCs w:val="18"/>
                <w:color w:val="auto"/>
              </w:rPr>
              <w:t>6.4</w:t>
            </w:r>
          </w:p>
        </w:tc>
        <w:tc>
          <w:tcPr>
            <w:tcW w:w="72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Derivative assets</w:t>
            </w:r>
          </w:p>
        </w:tc>
        <w:tc>
          <w:tcPr>
            <w:tcW w:w="164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5.2</w:t>
            </w:r>
          </w:p>
        </w:tc>
        <w:tc>
          <w:tcPr>
            <w:tcW w:w="7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080" w:type="dxa"/>
            <w:vAlign w:val="bottom"/>
            <w:shd w:val="clear" w:color="auto" w:fill="CCEEFF"/>
          </w:tcPr>
          <w:p>
            <w:pPr>
              <w:spacing w:after="0"/>
              <w:rPr>
                <w:sz w:val="18"/>
                <w:szCs w:val="18"/>
                <w:color w:val="auto"/>
              </w:rPr>
            </w:pPr>
          </w:p>
        </w:tc>
        <w:tc>
          <w:tcPr>
            <w:tcW w:w="1440" w:type="dxa"/>
            <w:vAlign w:val="bottom"/>
            <w:shd w:val="clear" w:color="auto" w:fill="CCEEFF"/>
          </w:tcPr>
          <w:p>
            <w:pPr>
              <w:jc w:val="right"/>
              <w:ind w:right="490"/>
              <w:spacing w:after="0"/>
              <w:rPr>
                <w:sz w:val="20"/>
                <w:szCs w:val="20"/>
                <w:color w:val="auto"/>
              </w:rPr>
            </w:pPr>
            <w:r>
              <w:rPr>
                <w:rFonts w:ascii="Times New Roman" w:cs="Times New Roman" w:eastAsia="Times New Roman" w:hAnsi="Times New Roman"/>
                <w:sz w:val="18"/>
                <w:szCs w:val="18"/>
                <w:color w:val="auto"/>
              </w:rPr>
              <w:t>4.6</w:t>
            </w:r>
          </w:p>
        </w:tc>
        <w:tc>
          <w:tcPr>
            <w:tcW w:w="72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Bank drafts</w:t>
            </w:r>
          </w:p>
        </w:tc>
        <w:tc>
          <w:tcPr>
            <w:tcW w:w="1640" w:type="dxa"/>
            <w:vAlign w:val="bottom"/>
          </w:tcPr>
          <w:p>
            <w:pPr>
              <w:spacing w:after="0"/>
              <w:rPr>
                <w:sz w:val="18"/>
                <w:szCs w:val="18"/>
                <w:color w:val="auto"/>
              </w:rPr>
            </w:pPr>
          </w:p>
        </w:tc>
        <w:tc>
          <w:tcPr>
            <w:tcW w:w="96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14.3</w:t>
            </w:r>
          </w:p>
        </w:tc>
        <w:tc>
          <w:tcPr>
            <w:tcW w:w="7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w:t>
            </w:r>
          </w:p>
        </w:tc>
        <w:tc>
          <w:tcPr>
            <w:tcW w:w="1080" w:type="dxa"/>
            <w:vAlign w:val="bottom"/>
          </w:tcPr>
          <w:p>
            <w:pPr>
              <w:spacing w:after="0"/>
              <w:rPr>
                <w:sz w:val="18"/>
                <w:szCs w:val="18"/>
                <w:color w:val="auto"/>
              </w:rPr>
            </w:pPr>
          </w:p>
        </w:tc>
        <w:tc>
          <w:tcPr>
            <w:tcW w:w="1440" w:type="dxa"/>
            <w:vAlign w:val="bottom"/>
          </w:tcPr>
          <w:p>
            <w:pPr>
              <w:jc w:val="right"/>
              <w:ind w:right="49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spacing w:after="0"/>
              <w:rPr>
                <w:sz w:val="18"/>
                <w:szCs w:val="18"/>
                <w:color w:val="auto"/>
              </w:rPr>
            </w:pPr>
          </w:p>
        </w:tc>
        <w:tc>
          <w:tcPr>
            <w:tcW w:w="10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920" w:type="dxa"/>
            <w:vAlign w:val="bottom"/>
            <w:shd w:val="clear" w:color="auto" w:fill="CCEEFF"/>
          </w:tcPr>
          <w:p>
            <w:pPr>
              <w:spacing w:after="0"/>
              <w:rPr>
                <w:sz w:val="18"/>
                <w:szCs w:val="18"/>
                <w:color w:val="auto"/>
              </w:rPr>
            </w:pPr>
          </w:p>
        </w:tc>
        <w:tc>
          <w:tcPr>
            <w:tcW w:w="16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9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16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920" w:type="dxa"/>
            <w:vAlign w:val="bottom"/>
            <w:tcBorders>
              <w:bottom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Derivative liabilities</w:t>
            </w:r>
          </w:p>
        </w:tc>
        <w:tc>
          <w:tcPr>
            <w:tcW w:w="164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7.8</w:t>
            </w:r>
          </w:p>
        </w:tc>
        <w:tc>
          <w:tcPr>
            <w:tcW w:w="74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bottom w:val="single" w:sz="8" w:color="auto"/>
            </w:tcBorders>
            <w:shd w:val="clear" w:color="auto" w:fill="CCEEFF"/>
          </w:tcPr>
          <w:p>
            <w:pPr>
              <w:jc w:val="right"/>
              <w:ind w:right="490"/>
              <w:spacing w:after="0"/>
              <w:rPr>
                <w:sz w:val="20"/>
                <w:szCs w:val="20"/>
                <w:color w:val="auto"/>
              </w:rPr>
            </w:pPr>
            <w:r>
              <w:rPr>
                <w:rFonts w:ascii="Times New Roman" w:cs="Times New Roman" w:eastAsia="Times New Roman" w:hAnsi="Times New Roman"/>
                <w:sz w:val="18"/>
                <w:szCs w:val="18"/>
                <w:color w:val="auto"/>
              </w:rPr>
              <w:t>7.8</w:t>
            </w:r>
          </w:p>
        </w:tc>
        <w:tc>
          <w:tcPr>
            <w:tcW w:w="72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292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14</w:t>
            </w:r>
          </w:p>
        </w:tc>
        <w:tc>
          <w:tcPr>
            <w:tcW w:w="0" w:type="dxa"/>
            <w:vAlign w:val="bottom"/>
          </w:tcPr>
          <w:p>
            <w:pPr>
              <w:spacing w:after="0"/>
              <w:rPr>
                <w:sz w:val="1"/>
                <w:szCs w:val="1"/>
                <w:color w:val="auto"/>
              </w:rPr>
            </w:pPr>
          </w:p>
        </w:tc>
      </w:tr>
      <w:tr>
        <w:trPr>
          <w:trHeight w:val="132"/>
        </w:trPr>
        <w:tc>
          <w:tcPr>
            <w:tcW w:w="20" w:type="dxa"/>
            <w:vAlign w:val="bottom"/>
            <w:tcBorders>
              <w:bottom w:val="single" w:sz="8" w:color="808080"/>
            </w:tcBorders>
          </w:tcPr>
          <w:p>
            <w:pPr>
              <w:spacing w:after="0"/>
              <w:rPr>
                <w:sz w:val="11"/>
                <w:szCs w:val="11"/>
                <w:color w:val="auto"/>
              </w:rPr>
            </w:pPr>
          </w:p>
        </w:tc>
        <w:tc>
          <w:tcPr>
            <w:tcW w:w="2920" w:type="dxa"/>
            <w:vAlign w:val="bottom"/>
            <w:tcBorders>
              <w:bottom w:val="single" w:sz="8" w:color="808080"/>
            </w:tcBorders>
          </w:tcPr>
          <w:p>
            <w:pPr>
              <w:spacing w:after="0"/>
              <w:rPr>
                <w:sz w:val="11"/>
                <w:szCs w:val="11"/>
                <w:color w:val="auto"/>
              </w:rPr>
            </w:pPr>
          </w:p>
        </w:tc>
        <w:tc>
          <w:tcPr>
            <w:tcW w:w="1640" w:type="dxa"/>
            <w:vAlign w:val="bottom"/>
            <w:tcBorders>
              <w:bottom w:val="single" w:sz="8" w:color="808080"/>
            </w:tcBorders>
          </w:tcPr>
          <w:p>
            <w:pPr>
              <w:spacing w:after="0"/>
              <w:rPr>
                <w:sz w:val="11"/>
                <w:szCs w:val="11"/>
                <w:color w:val="auto"/>
              </w:rPr>
            </w:pPr>
          </w:p>
        </w:tc>
        <w:tc>
          <w:tcPr>
            <w:tcW w:w="960" w:type="dxa"/>
            <w:vAlign w:val="bottom"/>
            <w:tcBorders>
              <w:bottom w:val="single" w:sz="8" w:color="808080"/>
            </w:tcBorders>
          </w:tcPr>
          <w:p>
            <w:pPr>
              <w:spacing w:after="0"/>
              <w:rPr>
                <w:sz w:val="11"/>
                <w:szCs w:val="11"/>
                <w:color w:val="auto"/>
              </w:rPr>
            </w:pPr>
          </w:p>
        </w:tc>
        <w:tc>
          <w:tcPr>
            <w:tcW w:w="740" w:type="dxa"/>
            <w:vAlign w:val="bottom"/>
            <w:tcBorders>
              <w:bottom w:val="single" w:sz="8" w:color="808080"/>
            </w:tcBorders>
          </w:tcPr>
          <w:p>
            <w:pPr>
              <w:spacing w:after="0"/>
              <w:rPr>
                <w:sz w:val="11"/>
                <w:szCs w:val="11"/>
                <w:color w:val="auto"/>
              </w:rPr>
            </w:pPr>
          </w:p>
        </w:tc>
        <w:tc>
          <w:tcPr>
            <w:tcW w:w="880" w:type="dxa"/>
            <w:vAlign w:val="bottom"/>
            <w:tcBorders>
              <w:bottom w:val="single" w:sz="8" w:color="808080"/>
            </w:tcBorders>
          </w:tcPr>
          <w:p>
            <w:pPr>
              <w:spacing w:after="0"/>
              <w:rPr>
                <w:sz w:val="11"/>
                <w:szCs w:val="11"/>
                <w:color w:val="auto"/>
              </w:rPr>
            </w:pPr>
          </w:p>
        </w:tc>
        <w:tc>
          <w:tcPr>
            <w:tcW w:w="1080" w:type="dxa"/>
            <w:vAlign w:val="bottom"/>
            <w:tcBorders>
              <w:bottom w:val="single" w:sz="8" w:color="808080"/>
            </w:tcBorders>
          </w:tcPr>
          <w:p>
            <w:pPr>
              <w:spacing w:after="0"/>
              <w:rPr>
                <w:sz w:val="11"/>
                <w:szCs w:val="11"/>
                <w:color w:val="auto"/>
              </w:rPr>
            </w:pPr>
          </w:p>
        </w:tc>
        <w:tc>
          <w:tcPr>
            <w:tcW w:w="1440" w:type="dxa"/>
            <w:vAlign w:val="bottom"/>
            <w:tcBorders>
              <w:bottom w:val="single" w:sz="8" w:color="808080"/>
            </w:tcBorders>
          </w:tcPr>
          <w:p>
            <w:pPr>
              <w:spacing w:after="0"/>
              <w:rPr>
                <w:sz w:val="11"/>
                <w:szCs w:val="11"/>
                <w:color w:val="auto"/>
              </w:rPr>
            </w:pPr>
          </w:p>
        </w:tc>
        <w:tc>
          <w:tcPr>
            <w:tcW w:w="720" w:type="dxa"/>
            <w:vAlign w:val="bottom"/>
            <w:tcBorders>
              <w:bottom w:val="single" w:sz="8" w:color="808080"/>
            </w:tcBorders>
          </w:tcPr>
          <w:p>
            <w:pPr>
              <w:spacing w:after="0"/>
              <w:rPr>
                <w:sz w:val="11"/>
                <w:szCs w:val="11"/>
                <w:color w:val="auto"/>
              </w:rPr>
            </w:pPr>
          </w:p>
        </w:tc>
        <w:tc>
          <w:tcPr>
            <w:tcW w:w="102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310"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w:anchor="page1">
        <w:r>
          <w:rPr>
            <w:rFonts w:ascii="Times New Roman" w:cs="Times New Roman" w:eastAsia="Times New Roman" w:hAnsi="Times New Roman"/>
            <w:sz w:val="18"/>
            <w:szCs w:val="18"/>
            <w:u w:val="single" w:color="auto"/>
            <w:color w:val="0000EE"/>
          </w:rPr>
          <w:t>Table of Contents</w:t>
        </w:r>
      </w:hyperlink>
    </w:p>
    <w:p>
      <w:pPr>
        <w:spacing w:after="0" w:line="225" w:lineRule="exact"/>
        <w:rPr>
          <w:sz w:val="20"/>
          <w:szCs w:val="20"/>
          <w:color w:val="auto"/>
        </w:rPr>
      </w:pPr>
    </w:p>
    <w:p>
      <w:pPr>
        <w:ind w:left="9340"/>
        <w:spacing w:after="0"/>
        <w:rPr>
          <w:sz w:val="20"/>
          <w:szCs w:val="20"/>
          <w:color w:val="auto"/>
        </w:rPr>
      </w:pPr>
      <w:r>
        <w:rPr>
          <w:rFonts w:ascii="Times New Roman" w:cs="Times New Roman" w:eastAsia="Times New Roman" w:hAnsi="Times New Roman"/>
          <w:sz w:val="18"/>
          <w:szCs w:val="18"/>
          <w:color w:val="auto"/>
        </w:rPr>
        <w:t>Avery Dennison Corporation</w:t>
      </w:r>
    </w:p>
    <w:p>
      <w:pPr>
        <w:spacing w:after="0" w:line="225" w:lineRule="exact"/>
        <w:rPr>
          <w:sz w:val="20"/>
          <w:szCs w:val="20"/>
          <w:color w:val="auto"/>
        </w:rPr>
      </w:pPr>
    </w:p>
    <w:p>
      <w:pPr>
        <w:jc w:val="both"/>
        <w:ind w:right="40"/>
        <w:spacing w:after="0" w:line="255" w:lineRule="auto"/>
        <w:rPr>
          <w:sz w:val="20"/>
          <w:szCs w:val="20"/>
          <w:color w:val="auto"/>
        </w:rPr>
      </w:pPr>
      <w:r>
        <w:rPr>
          <w:rFonts w:ascii="Times New Roman" w:cs="Times New Roman" w:eastAsia="Times New Roman" w:hAnsi="Times New Roman"/>
          <w:sz w:val="18"/>
          <w:szCs w:val="18"/>
          <w:color w:val="auto"/>
        </w:rPr>
        <w:t>Trading securities include fixed income securities (primarily U.S. government and corporate debt securities) measured at fair value using quoted prices/bids and a money market fund measured at fair value using net asset value. As of September 30, 2017, trading securities of $1.1 million and $21.5 million were included in “Cash and cash equivalents” and “Other current assets,” respectively, in the unaudited Condensed Consolidated Balance Sheets. As of December 31, 2016, trading securities of $.5 million and $17.6 million were included in “Cash and cash equivalents” and “Other current assets,” respectively, in the unaudited Condensed Consolidated Balance Sheets. Derivatives that are exchange-traded are measured at fair value using quoted market prices and classified within Level 1 of the valuation hierarchy. Derivatives measured based on foreign exchange rate inputs that are readily available in public markets are classified within Level 2 of the valuation hierarchy. Bank drafts (maturities greater than three months) are valued at face value due to their short-term nature and are included in “Other current assets” in the unaudited Condensed Consolidated Balance Sheets.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15. Commitments and Contingencies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Legal Proceedings</w:t>
      </w:r>
    </w:p>
    <w:p>
      <w:pPr>
        <w:spacing w:after="0" w:line="31" w:lineRule="exact"/>
        <w:rPr>
          <w:sz w:val="20"/>
          <w:szCs w:val="20"/>
          <w:color w:val="auto"/>
        </w:rPr>
      </w:pPr>
    </w:p>
    <w:p>
      <w:pPr>
        <w:jc w:val="both"/>
        <w:ind w:right="40"/>
        <w:spacing w:after="0" w:line="253" w:lineRule="auto"/>
        <w:rPr>
          <w:sz w:val="20"/>
          <w:szCs w:val="20"/>
          <w:color w:val="auto"/>
        </w:rPr>
      </w:pPr>
      <w:r>
        <w:rPr>
          <w:rFonts w:ascii="Times New Roman" w:cs="Times New Roman" w:eastAsia="Times New Roman" w:hAnsi="Times New Roman"/>
          <w:sz w:val="18"/>
          <w:szCs w:val="18"/>
          <w:color w:val="auto"/>
        </w:rPr>
        <w:t>We are involved in various lawsuits, claims, inquiries, and other regulatory and compliance matters, most of which are routine to the nature of our business. When it is probable that a loss will be incurred and where a range of the loss can be reasonably estimated, the best estimate within the range is accrued. When the best estimate within the range cannot be determined, the low end of the range is accrued. The ultimate resolution of these claims could affect future results of operations should our exposure be materially different from our estimates or should liabilities be incurred that were not previously accrued. Potential insurance reimbursements are not offset against these liabilities.</w:t>
      </w:r>
    </w:p>
    <w:p>
      <w:pPr>
        <w:spacing w:after="0" w:line="187" w:lineRule="exact"/>
        <w:rPr>
          <w:sz w:val="20"/>
          <w:szCs w:val="20"/>
          <w:color w:val="auto"/>
        </w:rPr>
      </w:pPr>
    </w:p>
    <w:p>
      <w:pPr>
        <w:jc w:val="both"/>
        <w:ind w:right="40"/>
        <w:spacing w:after="0" w:line="255" w:lineRule="auto"/>
        <w:rPr>
          <w:sz w:val="20"/>
          <w:szCs w:val="20"/>
          <w:color w:val="auto"/>
        </w:rPr>
      </w:pPr>
      <w:r>
        <w:rPr>
          <w:rFonts w:ascii="Times New Roman" w:cs="Times New Roman" w:eastAsia="Times New Roman" w:hAnsi="Times New Roman"/>
          <w:sz w:val="18"/>
          <w:szCs w:val="18"/>
          <w:color w:val="auto"/>
        </w:rPr>
        <w:t>Because of the uncertainties associated with claims resolution and litigation, future expenses to resolve these matters could be higher than the liabilities we have accrued; however, we are unable to reasonably estimate a range of potential expenses. If information were to become available that allowed us to reasonably estimate a range of potential expenses in an amount higher or lower than what we have accrued, we would adjust our accrued liabilities accordingly. Additional lawsuits, claims, inquiries, and other regulatory and compliance matters could arise in the future. The range of expenses for resolving any future matters would be assessed as they arise; until then, a range of potential expenses for such resolution cannot be determined. Based upon current information, we believe that the impact of the resolution of these matters would not be, individually or in the aggregate, material to our financial position, results of operations or cash flows.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Environmental Expenditures</w:t>
      </w:r>
    </w:p>
    <w:p>
      <w:pPr>
        <w:spacing w:after="0" w:line="31" w:lineRule="exact"/>
        <w:rPr>
          <w:sz w:val="20"/>
          <w:szCs w:val="20"/>
          <w:color w:val="auto"/>
        </w:rPr>
      </w:pPr>
    </w:p>
    <w:p>
      <w:pPr>
        <w:jc w:val="both"/>
        <w:ind w:right="40"/>
        <w:spacing w:after="0" w:line="252" w:lineRule="auto"/>
        <w:rPr>
          <w:sz w:val="20"/>
          <w:szCs w:val="20"/>
          <w:color w:val="auto"/>
        </w:rPr>
      </w:pPr>
      <w:r>
        <w:rPr>
          <w:rFonts w:ascii="Times New Roman" w:cs="Times New Roman" w:eastAsia="Times New Roman" w:hAnsi="Times New Roman"/>
          <w:sz w:val="18"/>
          <w:szCs w:val="18"/>
          <w:color w:val="auto"/>
        </w:rPr>
        <w:t>Environmental expenditures are generally expensed. However, environmental expenditures for newly acquired assets and those which extend or improve the economic useful life of existing assets are capitalized and amortized over the shorter of the estimated useful life of the acquired asset or the remaining life of the existing asset. We review our estimates of the costs of complying with environmental laws related to remediation and cleanup of various sites, including sites in which governmental agencies have designated us as a potentially responsible party (“PRP”). When it is probable that a loss will be incurred and where a range of the loss can be reasonably estimated, the best estimate within the range is accrued. When the best estimate within the range cannot be determined, the low end of the range is accrued. Potential insurance reimbursements are not offset against these liabilities.</w:t>
      </w:r>
    </w:p>
    <w:p>
      <w:pPr>
        <w:spacing w:after="0" w:line="190" w:lineRule="exact"/>
        <w:rPr>
          <w:sz w:val="20"/>
          <w:szCs w:val="20"/>
          <w:color w:val="auto"/>
        </w:rPr>
      </w:pPr>
    </w:p>
    <w:p>
      <w:pPr>
        <w:jc w:val="both"/>
        <w:ind w:right="40"/>
        <w:spacing w:after="0" w:line="261" w:lineRule="auto"/>
        <w:rPr>
          <w:sz w:val="20"/>
          <w:szCs w:val="20"/>
          <w:color w:val="auto"/>
        </w:rPr>
      </w:pPr>
      <w:r>
        <w:rPr>
          <w:rFonts w:ascii="Times New Roman" w:cs="Times New Roman" w:eastAsia="Times New Roman" w:hAnsi="Times New Roman"/>
          <w:sz w:val="18"/>
          <w:szCs w:val="18"/>
          <w:color w:val="auto"/>
        </w:rPr>
        <w:t>As of September 30, 2017, we have been designated by the U.S. Environmental Protection Agency (“EPA”) and/or other responsible state agencies as a PRP at thirteen waste disposal or waste recycling sites that are the subject of separate investigations or proceedings concerning alleged soil and/or groundwater contamination. No settlement of our liability related to any of these sites has been agreed upon. We are participating with other PRPs at these sites and anticipate that our share of remediation costs will be determined pursuant to agreements that we negotiate with the EPA or other governmental authorities.</w:t>
      </w:r>
    </w:p>
    <w:p>
      <w:pPr>
        <w:spacing w:after="0" w:line="180" w:lineRule="exact"/>
        <w:rPr>
          <w:sz w:val="20"/>
          <w:szCs w:val="20"/>
          <w:color w:val="auto"/>
        </w:rPr>
      </w:pPr>
    </w:p>
    <w:p>
      <w:pPr>
        <w:jc w:val="both"/>
        <w:ind w:right="40"/>
        <w:spacing w:after="0" w:line="258" w:lineRule="auto"/>
        <w:rPr>
          <w:sz w:val="20"/>
          <w:szCs w:val="20"/>
          <w:color w:val="auto"/>
        </w:rPr>
      </w:pPr>
      <w:r>
        <w:rPr>
          <w:rFonts w:ascii="Times New Roman" w:cs="Times New Roman" w:eastAsia="Times New Roman" w:hAnsi="Times New Roman"/>
          <w:sz w:val="18"/>
          <w:szCs w:val="18"/>
          <w:color w:val="auto"/>
        </w:rPr>
        <w:t>These estimates could change as a result of changes in planned remedial actions, remediation technologies, site conditions, the estimated time to complete remediation, environmental laws and regulations, and other factors. Because of the uncertainties associated with environmental assessment and remediation activities, future expenses to remediate these sites could be higher than the liabilities we have accrued; however, we are unable to reasonably estimate a range of potential expenses. If information were to become available that allowed us to reasonably estimate a range of potential expenses in an amount higher or lower than what we have accrued, we would adjust our environmental liabilities accordingly. In addition, we may be identified as a PRP at additional sites in</w:t>
      </w:r>
    </w:p>
    <w:p>
      <w:pPr>
        <w:sectPr>
          <w:pgSz w:w="11900" w:h="16838" w:orient="portrait"/>
          <w:cols w:equalWidth="0" w:num="1">
            <w:col w:w="11460"/>
          </w:cols>
          <w:pgMar w:left="240" w:top="117" w:right="199" w:bottom="0" w:gutter="0" w:footer="0" w:header="0"/>
        </w:sectPr>
      </w:pPr>
    </w:p>
    <w:bookmarkStart w:id="12" w:name="page13"/>
    <w:bookmarkEnd w:id="12"/>
    <w:p>
      <w:pPr>
        <w:jc w:val="both"/>
        <w:ind w:right="40"/>
        <w:spacing w:after="0" w:line="282" w:lineRule="auto"/>
        <w:rPr>
          <w:sz w:val="20"/>
          <w:szCs w:val="20"/>
          <w:color w:val="auto"/>
        </w:rPr>
      </w:pPr>
      <w:r>
        <w:rPr>
          <w:rFonts w:ascii="Times New Roman" w:cs="Times New Roman" w:eastAsia="Times New Roman" w:hAnsi="Times New Roman"/>
          <w:sz w:val="18"/>
          <w:szCs w:val="18"/>
          <w:color w:val="auto"/>
        </w:rPr>
        <w:t>the future. The range of expenses for remediation of any future-identified sites would be addressed as they arise; until then, a range of expenses for such remediation cannot be determined.</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280" w:type="dxa"/>
            <w:vAlign w:val="bottom"/>
          </w:tcPr>
          <w:p>
            <w:pPr>
              <w:spacing w:after="0"/>
              <w:rPr>
                <w:sz w:val="20"/>
                <w:szCs w:val="20"/>
                <w:color w:val="auto"/>
              </w:rPr>
            </w:pPr>
          </w:p>
        </w:tc>
        <w:tc>
          <w:tcPr>
            <w:tcW w:w="7500" w:type="dxa"/>
            <w:vAlign w:val="bottom"/>
          </w:tcPr>
          <w:p>
            <w:pPr>
              <w:spacing w:after="0"/>
              <w:rPr>
                <w:sz w:val="20"/>
                <w:szCs w:val="20"/>
                <w:color w:val="auto"/>
              </w:rPr>
            </w:pPr>
          </w:p>
        </w:tc>
        <w:tc>
          <w:tcPr>
            <w:tcW w:w="2040" w:type="dxa"/>
            <w:vAlign w:val="bottom"/>
          </w:tcPr>
          <w:p>
            <w:pPr>
              <w:spacing w:after="0"/>
              <w:rPr>
                <w:sz w:val="20"/>
                <w:szCs w:val="20"/>
                <w:color w:val="auto"/>
              </w:rPr>
            </w:pPr>
          </w:p>
        </w:tc>
        <w:tc>
          <w:tcPr>
            <w:tcW w:w="6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15</w:t>
            </w:r>
          </w:p>
        </w:tc>
      </w:tr>
      <w:tr>
        <w:trPr>
          <w:trHeight w:val="132"/>
        </w:trPr>
        <w:tc>
          <w:tcPr>
            <w:tcW w:w="1280" w:type="dxa"/>
            <w:vAlign w:val="bottom"/>
            <w:tcBorders>
              <w:bottom w:val="single" w:sz="8" w:color="808080"/>
            </w:tcBorders>
          </w:tcPr>
          <w:p>
            <w:pPr>
              <w:spacing w:after="0"/>
              <w:rPr>
                <w:sz w:val="11"/>
                <w:szCs w:val="11"/>
                <w:color w:val="auto"/>
              </w:rPr>
            </w:pPr>
          </w:p>
        </w:tc>
        <w:tc>
          <w:tcPr>
            <w:tcW w:w="7500" w:type="dxa"/>
            <w:vAlign w:val="bottom"/>
            <w:tcBorders>
              <w:bottom w:val="single" w:sz="8" w:color="808080"/>
            </w:tcBorders>
          </w:tcPr>
          <w:p>
            <w:pPr>
              <w:spacing w:after="0"/>
              <w:rPr>
                <w:sz w:val="11"/>
                <w:szCs w:val="11"/>
                <w:color w:val="auto"/>
              </w:rPr>
            </w:pPr>
          </w:p>
        </w:tc>
        <w:tc>
          <w:tcPr>
            <w:tcW w:w="2040" w:type="dxa"/>
            <w:vAlign w:val="bottom"/>
            <w:tcBorders>
              <w:bottom w:val="single" w:sz="8" w:color="808080"/>
            </w:tcBorders>
          </w:tcPr>
          <w:p>
            <w:pPr>
              <w:spacing w:after="0"/>
              <w:rPr>
                <w:sz w:val="11"/>
                <w:szCs w:val="11"/>
                <w:color w:val="auto"/>
              </w:rPr>
            </w:pPr>
          </w:p>
        </w:tc>
        <w:tc>
          <w:tcPr>
            <w:tcW w:w="60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r>
      <w:tr>
        <w:trPr>
          <w:trHeight w:val="523"/>
        </w:trPr>
        <w:tc>
          <w:tcPr>
            <w:tcW w:w="8780" w:type="dxa"/>
            <w:vAlign w:val="bottom"/>
            <w:gridSpan w:val="2"/>
          </w:tcPr>
          <w:p>
            <w:pPr>
              <w:spacing w:after="0"/>
              <w:rPr>
                <w:rFonts w:ascii="Times New Roman" w:cs="Times New Roman" w:eastAsia="Times New Roman" w:hAnsi="Times New Roman"/>
                <w:sz w:val="18"/>
                <w:szCs w:val="18"/>
                <w:color w:val="0000EE"/>
              </w:rPr>
            </w:pPr>
            <w:hyperlink w:anchor="page1">
              <w:r>
                <w:rPr>
                  <w:rFonts w:ascii="Times New Roman" w:cs="Times New Roman" w:eastAsia="Times New Roman" w:hAnsi="Times New Roman"/>
                  <w:sz w:val="18"/>
                  <w:szCs w:val="18"/>
                  <w:color w:val="0000EE"/>
                </w:rPr>
                <w:t>Table of Contents</w:t>
              </w:r>
            </w:hyperlink>
          </w:p>
        </w:tc>
        <w:tc>
          <w:tcPr>
            <w:tcW w:w="20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453"/>
        </w:trPr>
        <w:tc>
          <w:tcPr>
            <w:tcW w:w="1280" w:type="dxa"/>
            <w:vAlign w:val="bottom"/>
            <w:tcBorders>
              <w:top w:val="single" w:sz="8" w:color="0000EE"/>
            </w:tcBorders>
          </w:tcPr>
          <w:p>
            <w:pPr>
              <w:spacing w:after="0"/>
              <w:rPr>
                <w:sz w:val="24"/>
                <w:szCs w:val="24"/>
                <w:color w:val="auto"/>
              </w:rPr>
            </w:pPr>
          </w:p>
        </w:tc>
        <w:tc>
          <w:tcPr>
            <w:tcW w:w="7500" w:type="dxa"/>
            <w:vAlign w:val="bottom"/>
          </w:tcPr>
          <w:p>
            <w:pPr>
              <w:spacing w:after="0"/>
              <w:rPr>
                <w:sz w:val="24"/>
                <w:szCs w:val="24"/>
                <w:color w:val="auto"/>
              </w:rPr>
            </w:pPr>
          </w:p>
        </w:tc>
        <w:tc>
          <w:tcPr>
            <w:tcW w:w="268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Avery Dennison Corporation</w:t>
            </w:r>
          </w:p>
        </w:tc>
      </w:tr>
      <w:tr>
        <w:trPr>
          <w:trHeight w:val="432"/>
        </w:trPr>
        <w:tc>
          <w:tcPr>
            <w:tcW w:w="87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The activity for the nine months ended September 30, 2017 related to our environmental liabilities was as follows:</w:t>
            </w:r>
          </w:p>
        </w:tc>
        <w:tc>
          <w:tcPr>
            <w:tcW w:w="20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365"/>
        </w:trPr>
        <w:tc>
          <w:tcPr>
            <w:tcW w:w="87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4"/>
                <w:szCs w:val="14"/>
                <w:color w:val="auto"/>
              </w:rPr>
              <w:t>(In millions)</w:t>
            </w:r>
          </w:p>
        </w:tc>
        <w:tc>
          <w:tcPr>
            <w:tcW w:w="204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40" w:type="dxa"/>
            <w:vAlign w:val="bottom"/>
          </w:tcPr>
          <w:p>
            <w:pPr>
              <w:spacing w:after="0"/>
              <w:rPr>
                <w:sz w:val="24"/>
                <w:szCs w:val="24"/>
                <w:color w:val="auto"/>
              </w:rPr>
            </w:pPr>
          </w:p>
        </w:tc>
      </w:tr>
      <w:tr>
        <w:trPr>
          <w:trHeight w:val="210"/>
        </w:trPr>
        <w:tc>
          <w:tcPr>
            <w:tcW w:w="87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December 31, 2016</w:t>
            </w:r>
          </w:p>
        </w:tc>
        <w:tc>
          <w:tcPr>
            <w:tcW w:w="204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21.3</w:t>
            </w:r>
          </w:p>
        </w:tc>
        <w:tc>
          <w:tcPr>
            <w:tcW w:w="40" w:type="dxa"/>
            <w:vAlign w:val="bottom"/>
          </w:tcPr>
          <w:p>
            <w:pPr>
              <w:spacing w:after="0"/>
              <w:rPr>
                <w:sz w:val="18"/>
                <w:szCs w:val="18"/>
                <w:color w:val="auto"/>
              </w:rPr>
            </w:pPr>
          </w:p>
        </w:tc>
      </w:tr>
      <w:tr>
        <w:trPr>
          <w:trHeight w:val="216"/>
        </w:trPr>
        <w:tc>
          <w:tcPr>
            <w:tcW w:w="87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Acquisitions</w:t>
            </w:r>
          </w:p>
        </w:tc>
        <w:tc>
          <w:tcPr>
            <w:tcW w:w="2040" w:type="dxa"/>
            <w:vAlign w:val="bottom"/>
          </w:tcPr>
          <w:p>
            <w:pPr>
              <w:spacing w:after="0"/>
              <w:rPr>
                <w:sz w:val="18"/>
                <w:szCs w:val="18"/>
                <w:color w:val="auto"/>
              </w:rPr>
            </w:pPr>
          </w:p>
        </w:tc>
        <w:tc>
          <w:tcPr>
            <w:tcW w:w="6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3.1</w:t>
            </w:r>
          </w:p>
        </w:tc>
        <w:tc>
          <w:tcPr>
            <w:tcW w:w="40" w:type="dxa"/>
            <w:vAlign w:val="bottom"/>
          </w:tcPr>
          <w:p>
            <w:pPr>
              <w:spacing w:after="0"/>
              <w:rPr>
                <w:sz w:val="18"/>
                <w:szCs w:val="18"/>
                <w:color w:val="auto"/>
              </w:rPr>
            </w:pPr>
          </w:p>
        </w:tc>
      </w:tr>
      <w:tr>
        <w:trPr>
          <w:trHeight w:val="216"/>
        </w:trPr>
        <w:tc>
          <w:tcPr>
            <w:tcW w:w="87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Charges (reversals), net</w:t>
            </w:r>
          </w:p>
        </w:tc>
        <w:tc>
          <w:tcPr>
            <w:tcW w:w="2040" w:type="dxa"/>
            <w:vAlign w:val="bottom"/>
            <w:shd w:val="clear" w:color="auto" w:fill="CCEEFF"/>
          </w:tcPr>
          <w:p>
            <w:pPr>
              <w:spacing w:after="0"/>
              <w:rPr>
                <w:sz w:val="18"/>
                <w:szCs w:val="18"/>
                <w:color w:val="auto"/>
              </w:rPr>
            </w:pPr>
          </w:p>
        </w:tc>
        <w:tc>
          <w:tcPr>
            <w:tcW w:w="6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3.1</w:t>
            </w:r>
          </w:p>
        </w:tc>
        <w:tc>
          <w:tcPr>
            <w:tcW w:w="40" w:type="dxa"/>
            <w:vAlign w:val="bottom"/>
          </w:tcPr>
          <w:p>
            <w:pPr>
              <w:spacing w:after="0"/>
              <w:rPr>
                <w:sz w:val="18"/>
                <w:szCs w:val="18"/>
                <w:color w:val="auto"/>
              </w:rPr>
            </w:pPr>
          </w:p>
        </w:tc>
      </w:tr>
      <w:tr>
        <w:trPr>
          <w:trHeight w:val="216"/>
        </w:trPr>
        <w:tc>
          <w:tcPr>
            <w:tcW w:w="87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Payments</w:t>
            </w:r>
          </w:p>
        </w:tc>
        <w:tc>
          <w:tcPr>
            <w:tcW w:w="204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40" w:type="dxa"/>
            <w:vAlign w:val="bottom"/>
          </w:tcPr>
          <w:p>
            <w:pPr>
              <w:spacing w:after="0"/>
              <w:rPr>
                <w:sz w:val="18"/>
                <w:szCs w:val="18"/>
                <w:color w:val="auto"/>
              </w:rPr>
            </w:pPr>
          </w:p>
        </w:tc>
      </w:tr>
      <w:tr>
        <w:trPr>
          <w:trHeight w:val="217"/>
        </w:trPr>
        <w:tc>
          <w:tcPr>
            <w:tcW w:w="8780" w:type="dxa"/>
            <w:vAlign w:val="bottom"/>
            <w:tcBorders>
              <w:bottom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September 30, 2017</w:t>
            </w:r>
          </w:p>
        </w:tc>
        <w:tc>
          <w:tcPr>
            <w:tcW w:w="204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22.8</w:t>
            </w:r>
          </w:p>
        </w:tc>
        <w:tc>
          <w:tcPr>
            <w:tcW w:w="40" w:type="dxa"/>
            <w:vAlign w:val="bottom"/>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-1887855</wp:posOffset>
            </wp:positionV>
            <wp:extent cx="12700" cy="298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-1887855</wp:posOffset>
            </wp:positionV>
            <wp:extent cx="12700" cy="298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178" w:lineRule="exact"/>
        <w:rPr>
          <w:sz w:val="20"/>
          <w:szCs w:val="20"/>
          <w:color w:val="auto"/>
        </w:rPr>
      </w:pPr>
    </w:p>
    <w:p>
      <w:pPr>
        <w:ind w:right="400"/>
        <w:spacing w:after="0" w:line="282" w:lineRule="auto"/>
        <w:rPr>
          <w:sz w:val="20"/>
          <w:szCs w:val="20"/>
          <w:color w:val="auto"/>
        </w:rPr>
      </w:pPr>
      <w:r>
        <w:rPr>
          <w:rFonts w:ascii="Times New Roman" w:cs="Times New Roman" w:eastAsia="Times New Roman" w:hAnsi="Times New Roman"/>
          <w:sz w:val="18"/>
          <w:szCs w:val="18"/>
          <w:color w:val="auto"/>
        </w:rPr>
        <w:t>Approximately $8 million of the balance was classified as short-term and included in “Other current liabilities” in the unaudited Condensed Consolidated Balance Sheets as of both September 30, 2017 and December 31, 2016.</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16. Segment Information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Financial information by reportable segment is set forth below:</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980" w:type="dxa"/>
            <w:vAlign w:val="bottom"/>
          </w:tcPr>
          <w:p>
            <w:pPr>
              <w:spacing w:after="0"/>
              <w:rPr>
                <w:sz w:val="20"/>
                <w:szCs w:val="20"/>
                <w:color w:val="auto"/>
              </w:rPr>
            </w:pPr>
          </w:p>
        </w:tc>
        <w:tc>
          <w:tcPr>
            <w:tcW w:w="740" w:type="dxa"/>
            <w:vAlign w:val="bottom"/>
            <w:tcBorders>
              <w:bottom w:val="single" w:sz="8" w:color="auto"/>
            </w:tcBorders>
          </w:tcPr>
          <w:p>
            <w:pPr>
              <w:spacing w:after="0"/>
              <w:rPr>
                <w:sz w:val="20"/>
                <w:szCs w:val="20"/>
                <w:color w:val="auto"/>
              </w:rPr>
            </w:pPr>
          </w:p>
        </w:tc>
        <w:tc>
          <w:tcPr>
            <w:tcW w:w="2060" w:type="dxa"/>
            <w:vAlign w:val="bottom"/>
            <w:tcBorders>
              <w:bottom w:val="single" w:sz="8" w:color="auto"/>
            </w:tcBorders>
            <w:gridSpan w:val="2"/>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740" w:type="dxa"/>
            <w:vAlign w:val="bottom"/>
            <w:tcBorders>
              <w:bottom w:val="single" w:sz="8" w:color="auto"/>
            </w:tcBorders>
          </w:tcPr>
          <w:p>
            <w:pPr>
              <w:spacing w:after="0"/>
              <w:rPr>
                <w:sz w:val="20"/>
                <w:szCs w:val="20"/>
                <w:color w:val="auto"/>
              </w:rPr>
            </w:pPr>
          </w:p>
        </w:tc>
        <w:tc>
          <w:tcPr>
            <w:tcW w:w="260" w:type="dxa"/>
            <w:vAlign w:val="bottom"/>
          </w:tcPr>
          <w:p>
            <w:pPr>
              <w:spacing w:after="0"/>
              <w:rPr>
                <w:sz w:val="20"/>
                <w:szCs w:val="20"/>
                <w:color w:val="auto"/>
              </w:rPr>
            </w:pPr>
          </w:p>
        </w:tc>
        <w:tc>
          <w:tcPr>
            <w:tcW w:w="760" w:type="dxa"/>
            <w:vAlign w:val="bottom"/>
            <w:tcBorders>
              <w:bottom w:val="single" w:sz="8" w:color="auto"/>
            </w:tcBorders>
          </w:tcPr>
          <w:p>
            <w:pPr>
              <w:spacing w:after="0"/>
              <w:rPr>
                <w:sz w:val="20"/>
                <w:szCs w:val="20"/>
                <w:color w:val="auto"/>
              </w:rPr>
            </w:pPr>
          </w:p>
        </w:tc>
        <w:tc>
          <w:tcPr>
            <w:tcW w:w="2020" w:type="dxa"/>
            <w:vAlign w:val="bottom"/>
            <w:tcBorders>
              <w:bottom w:val="single" w:sz="8" w:color="auto"/>
            </w:tcBorders>
            <w:gridSpan w:val="2"/>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Nine Months Ended</w:t>
            </w:r>
          </w:p>
        </w:tc>
        <w:tc>
          <w:tcPr>
            <w:tcW w:w="860" w:type="dxa"/>
            <w:vAlign w:val="bottom"/>
            <w:tcBorders>
              <w:bottom w:val="single" w:sz="8" w:color="auto"/>
            </w:tcBorders>
          </w:tcPr>
          <w:p>
            <w:pPr>
              <w:spacing w:after="0"/>
              <w:rPr>
                <w:sz w:val="20"/>
                <w:szCs w:val="20"/>
                <w:color w:val="auto"/>
              </w:rPr>
            </w:pPr>
          </w:p>
        </w:tc>
        <w:tc>
          <w:tcPr>
            <w:tcW w:w="40" w:type="dxa"/>
            <w:vAlign w:val="bottom"/>
          </w:tcPr>
          <w:p>
            <w:pPr>
              <w:spacing w:after="0"/>
              <w:rPr>
                <w:sz w:val="20"/>
                <w:szCs w:val="20"/>
                <w:color w:val="auto"/>
              </w:rPr>
            </w:pPr>
          </w:p>
        </w:tc>
      </w:tr>
      <w:tr>
        <w:trPr>
          <w:trHeight w:val="210"/>
        </w:trPr>
        <w:tc>
          <w:tcPr>
            <w:tcW w:w="39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(In millions)</w:t>
            </w:r>
          </w:p>
        </w:tc>
        <w:tc>
          <w:tcPr>
            <w:tcW w:w="2100" w:type="dxa"/>
            <w:vAlign w:val="bottom"/>
            <w:tcBorders>
              <w:bottom w:val="single" w:sz="8" w:color="auto"/>
            </w:tcBorders>
            <w:gridSpan w:val="2"/>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September 30, 2017</w:t>
            </w:r>
          </w:p>
        </w:tc>
        <w:tc>
          <w:tcPr>
            <w:tcW w:w="14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October 1, 2016</w:t>
            </w:r>
          </w:p>
        </w:tc>
        <w:tc>
          <w:tcPr>
            <w:tcW w:w="260" w:type="dxa"/>
            <w:vAlign w:val="bottom"/>
            <w:tcBorders>
              <w:bottom w:val="single" w:sz="8" w:color="auto"/>
            </w:tcBorders>
          </w:tcPr>
          <w:p>
            <w:pPr>
              <w:spacing w:after="0"/>
              <w:rPr>
                <w:sz w:val="18"/>
                <w:szCs w:val="18"/>
                <w:color w:val="auto"/>
              </w:rPr>
            </w:pPr>
          </w:p>
        </w:tc>
        <w:tc>
          <w:tcPr>
            <w:tcW w:w="2100" w:type="dxa"/>
            <w:vAlign w:val="bottom"/>
            <w:tcBorders>
              <w:bottom w:val="single" w:sz="8" w:color="auto"/>
            </w:tcBorders>
            <w:gridSpan w:val="2"/>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September 30, 2017</w:t>
            </w:r>
          </w:p>
        </w:tc>
        <w:tc>
          <w:tcPr>
            <w:tcW w:w="1540" w:type="dxa"/>
            <w:vAlign w:val="bottom"/>
            <w:tcBorders>
              <w:bottom w:val="single" w:sz="8" w:color="auto"/>
            </w:tcBorders>
            <w:gridSpan w:val="2"/>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October 1, 2016</w:t>
            </w:r>
          </w:p>
        </w:tc>
        <w:tc>
          <w:tcPr>
            <w:tcW w:w="40" w:type="dxa"/>
            <w:vAlign w:val="bottom"/>
          </w:tcPr>
          <w:p>
            <w:pPr>
              <w:spacing w:after="0"/>
              <w:rPr>
                <w:sz w:val="18"/>
                <w:szCs w:val="18"/>
                <w:color w:val="auto"/>
              </w:rPr>
            </w:pPr>
          </w:p>
        </w:tc>
      </w:tr>
      <w:tr>
        <w:trPr>
          <w:trHeight w:val="210"/>
        </w:trPr>
        <w:tc>
          <w:tcPr>
            <w:tcW w:w="3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sales to unaffiliated customers</w:t>
            </w:r>
          </w:p>
        </w:tc>
        <w:tc>
          <w:tcPr>
            <w:tcW w:w="74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3980" w:type="dxa"/>
            <w:vAlign w:val="bottom"/>
          </w:tcPr>
          <w:p>
            <w:pPr>
              <w:spacing w:after="0"/>
              <w:rPr>
                <w:sz w:val="20"/>
                <w:szCs w:val="20"/>
                <w:color w:val="auto"/>
              </w:rPr>
            </w:pPr>
            <w:r>
              <w:rPr>
                <w:rFonts w:ascii="Times New Roman" w:cs="Times New Roman" w:eastAsia="Times New Roman" w:hAnsi="Times New Roman"/>
                <w:sz w:val="18"/>
                <w:szCs w:val="18"/>
                <w:color w:val="auto"/>
              </w:rPr>
              <w:t>Label and Graphic Materials</w:t>
            </w:r>
          </w:p>
        </w:tc>
        <w:tc>
          <w:tcPr>
            <w:tcW w:w="7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1,137.3</w:t>
            </w:r>
          </w:p>
        </w:tc>
        <w:tc>
          <w:tcPr>
            <w:tcW w:w="7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1,046.3</w:t>
            </w:r>
          </w:p>
        </w:tc>
        <w:tc>
          <w:tcPr>
            <w:tcW w:w="7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3,350.0</w:t>
            </w:r>
          </w:p>
        </w:tc>
        <w:tc>
          <w:tcPr>
            <w:tcW w:w="6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3,123.5</w:t>
            </w:r>
          </w:p>
        </w:tc>
        <w:tc>
          <w:tcPr>
            <w:tcW w:w="40" w:type="dxa"/>
            <w:vAlign w:val="bottom"/>
          </w:tcPr>
          <w:p>
            <w:pPr>
              <w:spacing w:after="0"/>
              <w:rPr>
                <w:sz w:val="18"/>
                <w:szCs w:val="18"/>
                <w:color w:val="auto"/>
              </w:rPr>
            </w:pPr>
          </w:p>
        </w:tc>
      </w:tr>
      <w:tr>
        <w:trPr>
          <w:trHeight w:val="216"/>
        </w:trPr>
        <w:tc>
          <w:tcPr>
            <w:tcW w:w="3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Retail Branding and Information Solutions</w:t>
            </w:r>
          </w:p>
        </w:tc>
        <w:tc>
          <w:tcPr>
            <w:tcW w:w="740" w:type="dxa"/>
            <w:vAlign w:val="bottom"/>
            <w:shd w:val="clear" w:color="auto" w:fill="CCEEFF"/>
          </w:tcPr>
          <w:p>
            <w:pPr>
              <w:spacing w:after="0"/>
              <w:rPr>
                <w:sz w:val="18"/>
                <w:szCs w:val="18"/>
                <w:color w:val="auto"/>
              </w:rPr>
            </w:pPr>
          </w:p>
        </w:tc>
        <w:tc>
          <w:tcPr>
            <w:tcW w:w="136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373.8</w:t>
            </w:r>
          </w:p>
        </w:tc>
        <w:tc>
          <w:tcPr>
            <w:tcW w:w="7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351.5</w:t>
            </w:r>
          </w:p>
        </w:tc>
        <w:tc>
          <w:tcPr>
            <w:tcW w:w="760" w:type="dxa"/>
            <w:vAlign w:val="bottom"/>
            <w:shd w:val="clear" w:color="auto" w:fill="CCEEFF"/>
          </w:tcPr>
          <w:p>
            <w:pPr>
              <w:spacing w:after="0"/>
              <w:rPr>
                <w:sz w:val="18"/>
                <w:szCs w:val="18"/>
                <w:color w:val="auto"/>
              </w:rPr>
            </w:pPr>
          </w:p>
        </w:tc>
        <w:tc>
          <w:tcPr>
            <w:tcW w:w="134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1,115.7</w:t>
            </w:r>
          </w:p>
        </w:tc>
        <w:tc>
          <w:tcPr>
            <w:tcW w:w="68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1,069.5</w:t>
            </w:r>
          </w:p>
        </w:tc>
        <w:tc>
          <w:tcPr>
            <w:tcW w:w="40" w:type="dxa"/>
            <w:vAlign w:val="bottom"/>
          </w:tcPr>
          <w:p>
            <w:pPr>
              <w:spacing w:after="0"/>
              <w:rPr>
                <w:sz w:val="18"/>
                <w:szCs w:val="18"/>
                <w:color w:val="auto"/>
              </w:rPr>
            </w:pPr>
          </w:p>
        </w:tc>
      </w:tr>
      <w:tr>
        <w:trPr>
          <w:trHeight w:val="216"/>
        </w:trPr>
        <w:tc>
          <w:tcPr>
            <w:tcW w:w="39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Industrial and Healthcare Materials</w:t>
            </w:r>
          </w:p>
        </w:tc>
        <w:tc>
          <w:tcPr>
            <w:tcW w:w="74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rPr>
              <w:t>168.4</w:t>
            </w:r>
          </w:p>
        </w:tc>
        <w:tc>
          <w:tcPr>
            <w:tcW w:w="7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110.9</w:t>
            </w:r>
          </w:p>
        </w:tc>
        <w:tc>
          <w:tcPr>
            <w:tcW w:w="76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rPr>
              <w:t>412.8</w:t>
            </w:r>
          </w:p>
        </w:tc>
        <w:tc>
          <w:tcPr>
            <w:tcW w:w="68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342.7</w:t>
            </w:r>
          </w:p>
        </w:tc>
        <w:tc>
          <w:tcPr>
            <w:tcW w:w="40" w:type="dxa"/>
            <w:vAlign w:val="bottom"/>
          </w:tcPr>
          <w:p>
            <w:pPr>
              <w:spacing w:after="0"/>
              <w:rPr>
                <w:sz w:val="18"/>
                <w:szCs w:val="18"/>
                <w:color w:val="auto"/>
              </w:rPr>
            </w:pPr>
          </w:p>
        </w:tc>
      </w:tr>
      <w:tr>
        <w:trPr>
          <w:trHeight w:val="217"/>
        </w:trPr>
        <w:tc>
          <w:tcPr>
            <w:tcW w:w="398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sales to unaffiliated customers</w:t>
            </w:r>
          </w:p>
        </w:tc>
        <w:tc>
          <w:tcPr>
            <w:tcW w:w="7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1,679.5</w:t>
            </w:r>
          </w:p>
        </w:tc>
        <w:tc>
          <w:tcPr>
            <w:tcW w:w="70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1,508.7</w:t>
            </w:r>
          </w:p>
        </w:tc>
        <w:tc>
          <w:tcPr>
            <w:tcW w:w="76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4,878.5</w:t>
            </w:r>
          </w:p>
        </w:tc>
        <w:tc>
          <w:tcPr>
            <w:tcW w:w="68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4,535.7</w:t>
            </w:r>
          </w:p>
        </w:tc>
        <w:tc>
          <w:tcPr>
            <w:tcW w:w="40" w:type="dxa"/>
            <w:vAlign w:val="bottom"/>
          </w:tcPr>
          <w:p>
            <w:pPr>
              <w:spacing w:after="0"/>
              <w:rPr>
                <w:sz w:val="18"/>
                <w:szCs w:val="18"/>
                <w:color w:val="auto"/>
              </w:rPr>
            </w:pPr>
          </w:p>
        </w:tc>
      </w:tr>
      <w:tr>
        <w:trPr>
          <w:trHeight w:val="216"/>
        </w:trPr>
        <w:tc>
          <w:tcPr>
            <w:tcW w:w="39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Intersegment sales</w:t>
            </w:r>
          </w:p>
        </w:tc>
        <w:tc>
          <w:tcPr>
            <w:tcW w:w="7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3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Label and Graphic Materials</w:t>
            </w:r>
          </w:p>
        </w:tc>
        <w:tc>
          <w:tcPr>
            <w:tcW w:w="7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16.2</w:t>
            </w:r>
          </w:p>
        </w:tc>
        <w:tc>
          <w:tcPr>
            <w:tcW w:w="7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16.6</w:t>
            </w:r>
          </w:p>
        </w:tc>
        <w:tc>
          <w:tcPr>
            <w:tcW w:w="7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47.9</w:t>
            </w:r>
          </w:p>
        </w:tc>
        <w:tc>
          <w:tcPr>
            <w:tcW w:w="6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49.3</w:t>
            </w:r>
          </w:p>
        </w:tc>
        <w:tc>
          <w:tcPr>
            <w:tcW w:w="40" w:type="dxa"/>
            <w:vAlign w:val="bottom"/>
          </w:tcPr>
          <w:p>
            <w:pPr>
              <w:spacing w:after="0"/>
              <w:rPr>
                <w:sz w:val="18"/>
                <w:szCs w:val="18"/>
                <w:color w:val="auto"/>
              </w:rPr>
            </w:pPr>
          </w:p>
        </w:tc>
      </w:tr>
      <w:tr>
        <w:trPr>
          <w:trHeight w:val="216"/>
        </w:trPr>
        <w:tc>
          <w:tcPr>
            <w:tcW w:w="3980" w:type="dxa"/>
            <w:vAlign w:val="bottom"/>
          </w:tcPr>
          <w:p>
            <w:pPr>
              <w:spacing w:after="0"/>
              <w:rPr>
                <w:sz w:val="20"/>
                <w:szCs w:val="20"/>
                <w:color w:val="auto"/>
              </w:rPr>
            </w:pPr>
            <w:r>
              <w:rPr>
                <w:rFonts w:ascii="Times New Roman" w:cs="Times New Roman" w:eastAsia="Times New Roman" w:hAnsi="Times New Roman"/>
                <w:sz w:val="18"/>
                <w:szCs w:val="18"/>
                <w:color w:val="auto"/>
              </w:rPr>
              <w:t>Retail Branding and Information Solutions</w:t>
            </w:r>
          </w:p>
        </w:tc>
        <w:tc>
          <w:tcPr>
            <w:tcW w:w="740" w:type="dxa"/>
            <w:vAlign w:val="bottom"/>
          </w:tcPr>
          <w:p>
            <w:pPr>
              <w:spacing w:after="0"/>
              <w:rPr>
                <w:sz w:val="18"/>
                <w:szCs w:val="18"/>
                <w:color w:val="auto"/>
              </w:rPr>
            </w:pPr>
          </w:p>
        </w:tc>
        <w:tc>
          <w:tcPr>
            <w:tcW w:w="136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.7</w:t>
            </w:r>
          </w:p>
        </w:tc>
        <w:tc>
          <w:tcPr>
            <w:tcW w:w="700" w:type="dxa"/>
            <w:vAlign w:val="bottom"/>
          </w:tcPr>
          <w:p>
            <w:pPr>
              <w:spacing w:after="0"/>
              <w:rPr>
                <w:sz w:val="18"/>
                <w:szCs w:val="18"/>
                <w:color w:val="auto"/>
              </w:rPr>
            </w:pPr>
          </w:p>
        </w:tc>
        <w:tc>
          <w:tcPr>
            <w:tcW w:w="10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.6</w:t>
            </w:r>
          </w:p>
        </w:tc>
        <w:tc>
          <w:tcPr>
            <w:tcW w:w="760" w:type="dxa"/>
            <w:vAlign w:val="bottom"/>
          </w:tcPr>
          <w:p>
            <w:pPr>
              <w:spacing w:after="0"/>
              <w:rPr>
                <w:sz w:val="18"/>
                <w:szCs w:val="18"/>
                <w:color w:val="auto"/>
              </w:rPr>
            </w:pPr>
          </w:p>
        </w:tc>
        <w:tc>
          <w:tcPr>
            <w:tcW w:w="134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2.3</w:t>
            </w:r>
          </w:p>
        </w:tc>
        <w:tc>
          <w:tcPr>
            <w:tcW w:w="680" w:type="dxa"/>
            <w:vAlign w:val="bottom"/>
          </w:tcPr>
          <w:p>
            <w:pPr>
              <w:spacing w:after="0"/>
              <w:rPr>
                <w:sz w:val="18"/>
                <w:szCs w:val="18"/>
                <w:color w:val="auto"/>
              </w:rPr>
            </w:pPr>
          </w:p>
        </w:tc>
        <w:tc>
          <w:tcPr>
            <w:tcW w:w="8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2.3</w:t>
            </w:r>
          </w:p>
        </w:tc>
        <w:tc>
          <w:tcPr>
            <w:tcW w:w="40" w:type="dxa"/>
            <w:vAlign w:val="bottom"/>
          </w:tcPr>
          <w:p>
            <w:pPr>
              <w:spacing w:after="0"/>
              <w:rPr>
                <w:sz w:val="18"/>
                <w:szCs w:val="18"/>
                <w:color w:val="auto"/>
              </w:rPr>
            </w:pPr>
          </w:p>
        </w:tc>
      </w:tr>
      <w:tr>
        <w:trPr>
          <w:trHeight w:val="216"/>
        </w:trPr>
        <w:tc>
          <w:tcPr>
            <w:tcW w:w="398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Industrial and Healthcare Materials</w:t>
            </w:r>
          </w:p>
        </w:tc>
        <w:tc>
          <w:tcPr>
            <w:tcW w:w="74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2.1</w:t>
            </w:r>
          </w:p>
        </w:tc>
        <w:tc>
          <w:tcPr>
            <w:tcW w:w="70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1.6</w:t>
            </w:r>
          </w:p>
        </w:tc>
        <w:tc>
          <w:tcPr>
            <w:tcW w:w="76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5.3</w:t>
            </w:r>
          </w:p>
        </w:tc>
        <w:tc>
          <w:tcPr>
            <w:tcW w:w="68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6.0</w:t>
            </w:r>
          </w:p>
        </w:tc>
        <w:tc>
          <w:tcPr>
            <w:tcW w:w="40" w:type="dxa"/>
            <w:vAlign w:val="bottom"/>
          </w:tcPr>
          <w:p>
            <w:pPr>
              <w:spacing w:after="0"/>
              <w:rPr>
                <w:sz w:val="18"/>
                <w:szCs w:val="18"/>
                <w:color w:val="auto"/>
              </w:rPr>
            </w:pPr>
          </w:p>
        </w:tc>
      </w:tr>
      <w:tr>
        <w:trPr>
          <w:trHeight w:val="217"/>
        </w:trPr>
        <w:tc>
          <w:tcPr>
            <w:tcW w:w="39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Intersegment sales</w:t>
            </w:r>
          </w:p>
        </w:tc>
        <w:tc>
          <w:tcPr>
            <w:tcW w:w="7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rPr>
              <w:t>19.0</w:t>
            </w:r>
          </w:p>
        </w:tc>
        <w:tc>
          <w:tcPr>
            <w:tcW w:w="70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18.8</w:t>
            </w:r>
          </w:p>
        </w:tc>
        <w:tc>
          <w:tcPr>
            <w:tcW w:w="76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rPr>
              <w:t>55.5</w:t>
            </w:r>
          </w:p>
        </w:tc>
        <w:tc>
          <w:tcPr>
            <w:tcW w:w="68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57.6</w:t>
            </w:r>
          </w:p>
        </w:tc>
        <w:tc>
          <w:tcPr>
            <w:tcW w:w="40" w:type="dxa"/>
            <w:vAlign w:val="bottom"/>
          </w:tcPr>
          <w:p>
            <w:pPr>
              <w:spacing w:after="0"/>
              <w:rPr>
                <w:sz w:val="18"/>
                <w:szCs w:val="18"/>
                <w:color w:val="auto"/>
              </w:rPr>
            </w:pPr>
          </w:p>
        </w:tc>
      </w:tr>
      <w:tr>
        <w:trPr>
          <w:trHeight w:val="216"/>
        </w:trPr>
        <w:tc>
          <w:tcPr>
            <w:tcW w:w="3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Income before taxes</w:t>
            </w:r>
          </w:p>
        </w:tc>
        <w:tc>
          <w:tcPr>
            <w:tcW w:w="74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3980" w:type="dxa"/>
            <w:vAlign w:val="bottom"/>
          </w:tcPr>
          <w:p>
            <w:pPr>
              <w:spacing w:after="0"/>
              <w:rPr>
                <w:sz w:val="20"/>
                <w:szCs w:val="20"/>
                <w:color w:val="auto"/>
              </w:rPr>
            </w:pPr>
            <w:r>
              <w:rPr>
                <w:rFonts w:ascii="Times New Roman" w:cs="Times New Roman" w:eastAsia="Times New Roman" w:hAnsi="Times New Roman"/>
                <w:sz w:val="18"/>
                <w:szCs w:val="18"/>
                <w:color w:val="auto"/>
              </w:rPr>
              <w:t>Label and Graphic Materials</w:t>
            </w:r>
          </w:p>
        </w:tc>
        <w:tc>
          <w:tcPr>
            <w:tcW w:w="7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145.5</w:t>
            </w:r>
          </w:p>
        </w:tc>
        <w:tc>
          <w:tcPr>
            <w:tcW w:w="7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130.7</w:t>
            </w:r>
          </w:p>
        </w:tc>
        <w:tc>
          <w:tcPr>
            <w:tcW w:w="7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429.3</w:t>
            </w:r>
          </w:p>
        </w:tc>
        <w:tc>
          <w:tcPr>
            <w:tcW w:w="6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395.6</w:t>
            </w:r>
          </w:p>
        </w:tc>
        <w:tc>
          <w:tcPr>
            <w:tcW w:w="40" w:type="dxa"/>
            <w:vAlign w:val="bottom"/>
          </w:tcPr>
          <w:p>
            <w:pPr>
              <w:spacing w:after="0"/>
              <w:rPr>
                <w:sz w:val="18"/>
                <w:szCs w:val="18"/>
                <w:color w:val="auto"/>
              </w:rPr>
            </w:pPr>
          </w:p>
        </w:tc>
      </w:tr>
      <w:tr>
        <w:trPr>
          <w:trHeight w:val="216"/>
        </w:trPr>
        <w:tc>
          <w:tcPr>
            <w:tcW w:w="3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Retail Branding and Information Solutions</w:t>
            </w:r>
          </w:p>
        </w:tc>
        <w:tc>
          <w:tcPr>
            <w:tcW w:w="740" w:type="dxa"/>
            <w:vAlign w:val="bottom"/>
            <w:shd w:val="clear" w:color="auto" w:fill="CCEEFF"/>
          </w:tcPr>
          <w:p>
            <w:pPr>
              <w:spacing w:after="0"/>
              <w:rPr>
                <w:sz w:val="18"/>
                <w:szCs w:val="18"/>
                <w:color w:val="auto"/>
              </w:rPr>
            </w:pPr>
          </w:p>
        </w:tc>
        <w:tc>
          <w:tcPr>
            <w:tcW w:w="136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25.3</w:t>
            </w:r>
          </w:p>
        </w:tc>
        <w:tc>
          <w:tcPr>
            <w:tcW w:w="7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23.2</w:t>
            </w:r>
          </w:p>
        </w:tc>
        <w:tc>
          <w:tcPr>
            <w:tcW w:w="760" w:type="dxa"/>
            <w:vAlign w:val="bottom"/>
            <w:shd w:val="clear" w:color="auto" w:fill="CCEEFF"/>
          </w:tcPr>
          <w:p>
            <w:pPr>
              <w:spacing w:after="0"/>
              <w:rPr>
                <w:sz w:val="18"/>
                <w:szCs w:val="18"/>
                <w:color w:val="auto"/>
              </w:rPr>
            </w:pPr>
          </w:p>
        </w:tc>
        <w:tc>
          <w:tcPr>
            <w:tcW w:w="134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80.1</w:t>
            </w:r>
          </w:p>
        </w:tc>
        <w:tc>
          <w:tcPr>
            <w:tcW w:w="68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67.8</w:t>
            </w:r>
          </w:p>
        </w:tc>
        <w:tc>
          <w:tcPr>
            <w:tcW w:w="40" w:type="dxa"/>
            <w:vAlign w:val="bottom"/>
          </w:tcPr>
          <w:p>
            <w:pPr>
              <w:spacing w:after="0"/>
              <w:rPr>
                <w:sz w:val="18"/>
                <w:szCs w:val="18"/>
                <w:color w:val="auto"/>
              </w:rPr>
            </w:pPr>
          </w:p>
        </w:tc>
      </w:tr>
      <w:tr>
        <w:trPr>
          <w:trHeight w:val="216"/>
        </w:trPr>
        <w:tc>
          <w:tcPr>
            <w:tcW w:w="3980" w:type="dxa"/>
            <w:vAlign w:val="bottom"/>
          </w:tcPr>
          <w:p>
            <w:pPr>
              <w:spacing w:after="0"/>
              <w:rPr>
                <w:sz w:val="20"/>
                <w:szCs w:val="20"/>
                <w:color w:val="auto"/>
              </w:rPr>
            </w:pPr>
            <w:r>
              <w:rPr>
                <w:rFonts w:ascii="Times New Roman" w:cs="Times New Roman" w:eastAsia="Times New Roman" w:hAnsi="Times New Roman"/>
                <w:sz w:val="18"/>
                <w:szCs w:val="18"/>
                <w:color w:val="auto"/>
              </w:rPr>
              <w:t>Industrial and Healthcare Materials</w:t>
            </w:r>
          </w:p>
        </w:tc>
        <w:tc>
          <w:tcPr>
            <w:tcW w:w="740" w:type="dxa"/>
            <w:vAlign w:val="bottom"/>
          </w:tcPr>
          <w:p>
            <w:pPr>
              <w:spacing w:after="0"/>
              <w:rPr>
                <w:sz w:val="18"/>
                <w:szCs w:val="18"/>
                <w:color w:val="auto"/>
              </w:rPr>
            </w:pPr>
          </w:p>
        </w:tc>
        <w:tc>
          <w:tcPr>
            <w:tcW w:w="136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13.8</w:t>
            </w:r>
          </w:p>
        </w:tc>
        <w:tc>
          <w:tcPr>
            <w:tcW w:w="700" w:type="dxa"/>
            <w:vAlign w:val="bottom"/>
          </w:tcPr>
          <w:p>
            <w:pPr>
              <w:spacing w:after="0"/>
              <w:rPr>
                <w:sz w:val="18"/>
                <w:szCs w:val="18"/>
                <w:color w:val="auto"/>
              </w:rPr>
            </w:pPr>
          </w:p>
        </w:tc>
        <w:tc>
          <w:tcPr>
            <w:tcW w:w="10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12.3</w:t>
            </w:r>
          </w:p>
        </w:tc>
        <w:tc>
          <w:tcPr>
            <w:tcW w:w="760" w:type="dxa"/>
            <w:vAlign w:val="bottom"/>
          </w:tcPr>
          <w:p>
            <w:pPr>
              <w:spacing w:after="0"/>
              <w:rPr>
                <w:sz w:val="18"/>
                <w:szCs w:val="18"/>
                <w:color w:val="auto"/>
              </w:rPr>
            </w:pPr>
          </w:p>
        </w:tc>
        <w:tc>
          <w:tcPr>
            <w:tcW w:w="134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37.6</w:t>
            </w:r>
          </w:p>
        </w:tc>
        <w:tc>
          <w:tcPr>
            <w:tcW w:w="680" w:type="dxa"/>
            <w:vAlign w:val="bottom"/>
          </w:tcPr>
          <w:p>
            <w:pPr>
              <w:spacing w:after="0"/>
              <w:rPr>
                <w:sz w:val="18"/>
                <w:szCs w:val="18"/>
                <w:color w:val="auto"/>
              </w:rPr>
            </w:pPr>
          </w:p>
        </w:tc>
        <w:tc>
          <w:tcPr>
            <w:tcW w:w="8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44.8</w:t>
            </w:r>
          </w:p>
        </w:tc>
        <w:tc>
          <w:tcPr>
            <w:tcW w:w="40" w:type="dxa"/>
            <w:vAlign w:val="bottom"/>
          </w:tcPr>
          <w:p>
            <w:pPr>
              <w:spacing w:after="0"/>
              <w:rPr>
                <w:sz w:val="18"/>
                <w:szCs w:val="18"/>
                <w:color w:val="auto"/>
              </w:rPr>
            </w:pPr>
          </w:p>
        </w:tc>
      </w:tr>
      <w:tr>
        <w:trPr>
          <w:trHeight w:val="216"/>
        </w:trPr>
        <w:tc>
          <w:tcPr>
            <w:tcW w:w="3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Corporate expense</w:t>
            </w:r>
          </w:p>
        </w:tc>
        <w:tc>
          <w:tcPr>
            <w:tcW w:w="740" w:type="dxa"/>
            <w:vAlign w:val="bottom"/>
            <w:shd w:val="clear" w:color="auto" w:fill="CCEEFF"/>
          </w:tcPr>
          <w:p>
            <w:pPr>
              <w:spacing w:after="0"/>
              <w:rPr>
                <w:sz w:val="18"/>
                <w:szCs w:val="18"/>
                <w:color w:val="auto"/>
              </w:rPr>
            </w:pPr>
          </w:p>
        </w:tc>
        <w:tc>
          <w:tcPr>
            <w:tcW w:w="1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(21.0)</w:t>
            </w:r>
          </w:p>
        </w:tc>
        <w:tc>
          <w:tcPr>
            <w:tcW w:w="7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(23.5)</w:t>
            </w:r>
          </w:p>
        </w:tc>
        <w:tc>
          <w:tcPr>
            <w:tcW w:w="760" w:type="dxa"/>
            <w:vAlign w:val="bottom"/>
            <w:shd w:val="clear" w:color="auto" w:fill="CCEEFF"/>
          </w:tcPr>
          <w:p>
            <w:pPr>
              <w:spacing w:after="0"/>
              <w:rPr>
                <w:sz w:val="18"/>
                <w:szCs w:val="18"/>
                <w:color w:val="auto"/>
              </w:rPr>
            </w:pPr>
          </w:p>
        </w:tc>
        <w:tc>
          <w:tcPr>
            <w:tcW w:w="1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(65.1)</w:t>
            </w:r>
          </w:p>
        </w:tc>
        <w:tc>
          <w:tcPr>
            <w:tcW w:w="6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(112.0)</w:t>
            </w:r>
          </w:p>
        </w:tc>
        <w:tc>
          <w:tcPr>
            <w:tcW w:w="40" w:type="dxa"/>
            <w:vAlign w:val="bottom"/>
          </w:tcPr>
          <w:p>
            <w:pPr>
              <w:spacing w:after="0"/>
              <w:rPr>
                <w:sz w:val="18"/>
                <w:szCs w:val="18"/>
                <w:color w:val="auto"/>
              </w:rPr>
            </w:pPr>
          </w:p>
        </w:tc>
      </w:tr>
      <w:tr>
        <w:trPr>
          <w:trHeight w:val="216"/>
        </w:trPr>
        <w:tc>
          <w:tcPr>
            <w:tcW w:w="39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74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(16.8)</w:t>
            </w:r>
          </w:p>
        </w:tc>
        <w:tc>
          <w:tcPr>
            <w:tcW w:w="7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(14.7)</w:t>
            </w:r>
          </w:p>
        </w:tc>
        <w:tc>
          <w:tcPr>
            <w:tcW w:w="76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(49.7)</w:t>
            </w:r>
          </w:p>
        </w:tc>
        <w:tc>
          <w:tcPr>
            <w:tcW w:w="68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(45.4)</w:t>
            </w:r>
          </w:p>
        </w:tc>
        <w:tc>
          <w:tcPr>
            <w:tcW w:w="40" w:type="dxa"/>
            <w:vAlign w:val="bottom"/>
          </w:tcPr>
          <w:p>
            <w:pPr>
              <w:spacing w:after="0"/>
              <w:rPr>
                <w:sz w:val="18"/>
                <w:szCs w:val="18"/>
                <w:color w:val="auto"/>
              </w:rPr>
            </w:pPr>
          </w:p>
        </w:tc>
      </w:tr>
      <w:tr>
        <w:trPr>
          <w:trHeight w:val="217"/>
        </w:trPr>
        <w:tc>
          <w:tcPr>
            <w:tcW w:w="398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before taxes</w:t>
            </w:r>
          </w:p>
        </w:tc>
        <w:tc>
          <w:tcPr>
            <w:tcW w:w="7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146.8</w:t>
            </w:r>
          </w:p>
        </w:tc>
        <w:tc>
          <w:tcPr>
            <w:tcW w:w="70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128.0</w:t>
            </w:r>
          </w:p>
        </w:tc>
        <w:tc>
          <w:tcPr>
            <w:tcW w:w="76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432.2</w:t>
            </w:r>
          </w:p>
        </w:tc>
        <w:tc>
          <w:tcPr>
            <w:tcW w:w="68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350.8</w:t>
            </w:r>
          </w:p>
        </w:tc>
        <w:tc>
          <w:tcPr>
            <w:tcW w:w="40" w:type="dxa"/>
            <w:vAlign w:val="bottom"/>
          </w:tcPr>
          <w:p>
            <w:pPr>
              <w:spacing w:after="0"/>
              <w:rPr>
                <w:sz w:val="18"/>
                <w:szCs w:val="18"/>
                <w:color w:val="auto"/>
              </w:rPr>
            </w:pPr>
          </w:p>
        </w:tc>
      </w:tr>
      <w:tr>
        <w:trPr>
          <w:trHeight w:val="216"/>
        </w:trPr>
        <w:tc>
          <w:tcPr>
            <w:tcW w:w="39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Other expense, net by reportable segment</w:t>
            </w:r>
          </w:p>
        </w:tc>
        <w:tc>
          <w:tcPr>
            <w:tcW w:w="7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3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Label and Graphic Materials</w:t>
            </w:r>
          </w:p>
        </w:tc>
        <w:tc>
          <w:tcPr>
            <w:tcW w:w="7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3.2</w:t>
            </w:r>
          </w:p>
        </w:tc>
        <w:tc>
          <w:tcPr>
            <w:tcW w:w="7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2.7</w:t>
            </w:r>
          </w:p>
        </w:tc>
        <w:tc>
          <w:tcPr>
            <w:tcW w:w="7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10.4</w:t>
            </w:r>
          </w:p>
        </w:tc>
        <w:tc>
          <w:tcPr>
            <w:tcW w:w="6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11.0</w:t>
            </w:r>
          </w:p>
        </w:tc>
        <w:tc>
          <w:tcPr>
            <w:tcW w:w="40" w:type="dxa"/>
            <w:vAlign w:val="bottom"/>
          </w:tcPr>
          <w:p>
            <w:pPr>
              <w:spacing w:after="0"/>
              <w:rPr>
                <w:sz w:val="18"/>
                <w:szCs w:val="18"/>
                <w:color w:val="auto"/>
              </w:rPr>
            </w:pPr>
          </w:p>
        </w:tc>
      </w:tr>
      <w:tr>
        <w:trPr>
          <w:trHeight w:val="216"/>
        </w:trPr>
        <w:tc>
          <w:tcPr>
            <w:tcW w:w="3980" w:type="dxa"/>
            <w:vAlign w:val="bottom"/>
          </w:tcPr>
          <w:p>
            <w:pPr>
              <w:spacing w:after="0"/>
              <w:rPr>
                <w:sz w:val="20"/>
                <w:szCs w:val="20"/>
                <w:color w:val="auto"/>
              </w:rPr>
            </w:pPr>
            <w:r>
              <w:rPr>
                <w:rFonts w:ascii="Times New Roman" w:cs="Times New Roman" w:eastAsia="Times New Roman" w:hAnsi="Times New Roman"/>
                <w:sz w:val="18"/>
                <w:szCs w:val="18"/>
                <w:color w:val="auto"/>
              </w:rPr>
              <w:t>Retail Branding and Information Solutions</w:t>
            </w:r>
          </w:p>
        </w:tc>
        <w:tc>
          <w:tcPr>
            <w:tcW w:w="740" w:type="dxa"/>
            <w:vAlign w:val="bottom"/>
          </w:tcPr>
          <w:p>
            <w:pPr>
              <w:spacing w:after="0"/>
              <w:rPr>
                <w:sz w:val="18"/>
                <w:szCs w:val="18"/>
                <w:color w:val="auto"/>
              </w:rPr>
            </w:pPr>
          </w:p>
        </w:tc>
        <w:tc>
          <w:tcPr>
            <w:tcW w:w="136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7.4</w:t>
            </w:r>
          </w:p>
        </w:tc>
        <w:tc>
          <w:tcPr>
            <w:tcW w:w="700" w:type="dxa"/>
            <w:vAlign w:val="bottom"/>
          </w:tcPr>
          <w:p>
            <w:pPr>
              <w:spacing w:after="0"/>
              <w:rPr>
                <w:sz w:val="18"/>
                <w:szCs w:val="18"/>
                <w:color w:val="auto"/>
              </w:rPr>
            </w:pPr>
          </w:p>
        </w:tc>
        <w:tc>
          <w:tcPr>
            <w:tcW w:w="10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1.5</w:t>
            </w:r>
          </w:p>
        </w:tc>
        <w:tc>
          <w:tcPr>
            <w:tcW w:w="760" w:type="dxa"/>
            <w:vAlign w:val="bottom"/>
          </w:tcPr>
          <w:p>
            <w:pPr>
              <w:spacing w:after="0"/>
              <w:rPr>
                <w:sz w:val="18"/>
                <w:szCs w:val="18"/>
                <w:color w:val="auto"/>
              </w:rPr>
            </w:pPr>
          </w:p>
        </w:tc>
        <w:tc>
          <w:tcPr>
            <w:tcW w:w="134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14.0</w:t>
            </w:r>
          </w:p>
        </w:tc>
        <w:tc>
          <w:tcPr>
            <w:tcW w:w="680" w:type="dxa"/>
            <w:vAlign w:val="bottom"/>
          </w:tcPr>
          <w:p>
            <w:pPr>
              <w:spacing w:after="0"/>
              <w:rPr>
                <w:sz w:val="18"/>
                <w:szCs w:val="18"/>
                <w:color w:val="auto"/>
              </w:rPr>
            </w:pPr>
          </w:p>
        </w:tc>
        <w:tc>
          <w:tcPr>
            <w:tcW w:w="8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7.1</w:t>
            </w:r>
          </w:p>
        </w:tc>
        <w:tc>
          <w:tcPr>
            <w:tcW w:w="40" w:type="dxa"/>
            <w:vAlign w:val="bottom"/>
          </w:tcPr>
          <w:p>
            <w:pPr>
              <w:spacing w:after="0"/>
              <w:rPr>
                <w:sz w:val="18"/>
                <w:szCs w:val="18"/>
                <w:color w:val="auto"/>
              </w:rPr>
            </w:pPr>
          </w:p>
        </w:tc>
      </w:tr>
      <w:tr>
        <w:trPr>
          <w:trHeight w:val="216"/>
        </w:trPr>
        <w:tc>
          <w:tcPr>
            <w:tcW w:w="3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Industrial and Healthcare Materials</w:t>
            </w:r>
          </w:p>
        </w:tc>
        <w:tc>
          <w:tcPr>
            <w:tcW w:w="740" w:type="dxa"/>
            <w:vAlign w:val="bottom"/>
            <w:shd w:val="clear" w:color="auto" w:fill="CCEEFF"/>
          </w:tcPr>
          <w:p>
            <w:pPr>
              <w:spacing w:after="0"/>
              <w:rPr>
                <w:sz w:val="18"/>
                <w:szCs w:val="18"/>
                <w:color w:val="auto"/>
              </w:rPr>
            </w:pPr>
          </w:p>
        </w:tc>
        <w:tc>
          <w:tcPr>
            <w:tcW w:w="136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.2</w:t>
            </w:r>
          </w:p>
        </w:tc>
        <w:tc>
          <w:tcPr>
            <w:tcW w:w="7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.4</w:t>
            </w:r>
          </w:p>
        </w:tc>
        <w:tc>
          <w:tcPr>
            <w:tcW w:w="760" w:type="dxa"/>
            <w:vAlign w:val="bottom"/>
            <w:shd w:val="clear" w:color="auto" w:fill="CCEEFF"/>
          </w:tcPr>
          <w:p>
            <w:pPr>
              <w:spacing w:after="0"/>
              <w:rPr>
                <w:sz w:val="18"/>
                <w:szCs w:val="18"/>
                <w:color w:val="auto"/>
              </w:rPr>
            </w:pPr>
          </w:p>
        </w:tc>
        <w:tc>
          <w:tcPr>
            <w:tcW w:w="134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3.1</w:t>
            </w:r>
          </w:p>
        </w:tc>
        <w:tc>
          <w:tcPr>
            <w:tcW w:w="68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w:t>
            </w:r>
          </w:p>
        </w:tc>
        <w:tc>
          <w:tcPr>
            <w:tcW w:w="40" w:type="dxa"/>
            <w:vAlign w:val="bottom"/>
          </w:tcPr>
          <w:p>
            <w:pPr>
              <w:spacing w:after="0"/>
              <w:rPr>
                <w:sz w:val="18"/>
                <w:szCs w:val="18"/>
                <w:color w:val="auto"/>
              </w:rPr>
            </w:pPr>
          </w:p>
        </w:tc>
      </w:tr>
      <w:tr>
        <w:trPr>
          <w:trHeight w:val="216"/>
        </w:trPr>
        <w:tc>
          <w:tcPr>
            <w:tcW w:w="39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Corporate</w:t>
            </w:r>
          </w:p>
        </w:tc>
        <w:tc>
          <w:tcPr>
            <w:tcW w:w="74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41.4</w:t>
            </w:r>
          </w:p>
        </w:tc>
        <w:tc>
          <w:tcPr>
            <w:tcW w:w="40" w:type="dxa"/>
            <w:vAlign w:val="bottom"/>
          </w:tcPr>
          <w:p>
            <w:pPr>
              <w:spacing w:after="0"/>
              <w:rPr>
                <w:sz w:val="18"/>
                <w:szCs w:val="18"/>
                <w:color w:val="auto"/>
              </w:rPr>
            </w:pPr>
          </w:p>
        </w:tc>
      </w:tr>
      <w:tr>
        <w:trPr>
          <w:trHeight w:val="217"/>
        </w:trPr>
        <w:tc>
          <w:tcPr>
            <w:tcW w:w="398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expense, net</w:t>
            </w:r>
          </w:p>
        </w:tc>
        <w:tc>
          <w:tcPr>
            <w:tcW w:w="7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10.8</w:t>
            </w:r>
          </w:p>
        </w:tc>
        <w:tc>
          <w:tcPr>
            <w:tcW w:w="70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4.6</w:t>
            </w:r>
          </w:p>
        </w:tc>
        <w:tc>
          <w:tcPr>
            <w:tcW w:w="76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27.5</w:t>
            </w:r>
          </w:p>
        </w:tc>
        <w:tc>
          <w:tcPr>
            <w:tcW w:w="68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60.4</w:t>
            </w:r>
          </w:p>
        </w:tc>
        <w:tc>
          <w:tcPr>
            <w:tcW w:w="40" w:type="dxa"/>
            <w:vAlign w:val="bottom"/>
          </w:tcPr>
          <w:p>
            <w:pPr>
              <w:spacing w:after="0"/>
              <w:rPr>
                <w:sz w:val="18"/>
                <w:szCs w:val="18"/>
                <w:color w:val="auto"/>
              </w:rPr>
            </w:pPr>
          </w:p>
        </w:tc>
      </w:tr>
      <w:tr>
        <w:trPr>
          <w:trHeight w:val="216"/>
        </w:trPr>
        <w:tc>
          <w:tcPr>
            <w:tcW w:w="39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Other expense, net by type</w:t>
            </w:r>
          </w:p>
        </w:tc>
        <w:tc>
          <w:tcPr>
            <w:tcW w:w="7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3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Restructuring charges:</w:t>
            </w:r>
          </w:p>
        </w:tc>
        <w:tc>
          <w:tcPr>
            <w:tcW w:w="74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3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Severance and related costs</w:t>
            </w:r>
          </w:p>
        </w:tc>
        <w:tc>
          <w:tcPr>
            <w:tcW w:w="7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8.7</w:t>
            </w:r>
          </w:p>
        </w:tc>
        <w:tc>
          <w:tcPr>
            <w:tcW w:w="7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1.9</w:t>
            </w:r>
          </w:p>
        </w:tc>
        <w:tc>
          <w:tcPr>
            <w:tcW w:w="7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21.7</w:t>
            </w:r>
          </w:p>
        </w:tc>
        <w:tc>
          <w:tcPr>
            <w:tcW w:w="6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10.7</w:t>
            </w:r>
          </w:p>
        </w:tc>
        <w:tc>
          <w:tcPr>
            <w:tcW w:w="40" w:type="dxa"/>
            <w:vAlign w:val="bottom"/>
          </w:tcPr>
          <w:p>
            <w:pPr>
              <w:spacing w:after="0"/>
              <w:rPr>
                <w:sz w:val="18"/>
                <w:szCs w:val="18"/>
                <w:color w:val="auto"/>
              </w:rPr>
            </w:pPr>
          </w:p>
        </w:tc>
      </w:tr>
      <w:tr>
        <w:trPr>
          <w:trHeight w:val="198"/>
        </w:trPr>
        <w:tc>
          <w:tcPr>
            <w:tcW w:w="3980" w:type="dxa"/>
            <w:vAlign w:val="bottom"/>
            <w:shd w:val="clear" w:color="auto" w:fill="CCEEFF"/>
          </w:tcPr>
          <w:p>
            <w:pPr>
              <w:ind w:left="180"/>
              <w:spacing w:after="0" w:line="198" w:lineRule="exact"/>
              <w:rPr>
                <w:sz w:val="20"/>
                <w:szCs w:val="20"/>
                <w:color w:val="auto"/>
              </w:rPr>
            </w:pPr>
            <w:r>
              <w:rPr>
                <w:rFonts w:ascii="Times New Roman" w:cs="Times New Roman" w:eastAsia="Times New Roman" w:hAnsi="Times New Roman"/>
                <w:sz w:val="18"/>
                <w:szCs w:val="18"/>
                <w:color w:val="auto"/>
              </w:rPr>
              <w:t>Asset impairment charges and lease cancellation</w:t>
            </w:r>
          </w:p>
        </w:tc>
        <w:tc>
          <w:tcPr>
            <w:tcW w:w="74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r>
      <w:tr>
        <w:trPr>
          <w:trHeight w:val="234"/>
        </w:trPr>
        <w:tc>
          <w:tcPr>
            <w:tcW w:w="39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costs</w:t>
            </w:r>
          </w:p>
        </w:tc>
        <w:tc>
          <w:tcPr>
            <w:tcW w:w="740" w:type="dxa"/>
            <w:vAlign w:val="bottom"/>
            <w:shd w:val="clear" w:color="auto" w:fill="CCEEFF"/>
          </w:tcPr>
          <w:p>
            <w:pPr>
              <w:spacing w:after="0"/>
              <w:rPr>
                <w:sz w:val="20"/>
                <w:szCs w:val="20"/>
                <w:color w:val="auto"/>
              </w:rPr>
            </w:pPr>
          </w:p>
        </w:tc>
        <w:tc>
          <w:tcPr>
            <w:tcW w:w="136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1.8</w:t>
            </w:r>
          </w:p>
        </w:tc>
        <w:tc>
          <w:tcPr>
            <w:tcW w:w="70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.7</w:t>
            </w:r>
          </w:p>
        </w:tc>
        <w:tc>
          <w:tcPr>
            <w:tcW w:w="760" w:type="dxa"/>
            <w:vAlign w:val="bottom"/>
            <w:shd w:val="clear" w:color="auto" w:fill="CCEEFF"/>
          </w:tcPr>
          <w:p>
            <w:pPr>
              <w:spacing w:after="0"/>
              <w:rPr>
                <w:sz w:val="20"/>
                <w:szCs w:val="20"/>
                <w:color w:val="auto"/>
              </w:rPr>
            </w:pPr>
          </w:p>
        </w:tc>
        <w:tc>
          <w:tcPr>
            <w:tcW w:w="134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2.1</w:t>
            </w:r>
          </w:p>
        </w:tc>
        <w:tc>
          <w:tcPr>
            <w:tcW w:w="680" w:type="dxa"/>
            <w:vAlign w:val="bottom"/>
            <w:shd w:val="clear" w:color="auto" w:fill="CCEEFF"/>
          </w:tcPr>
          <w:p>
            <w:pPr>
              <w:spacing w:after="0"/>
              <w:rPr>
                <w:sz w:val="20"/>
                <w:szCs w:val="20"/>
                <w:color w:val="auto"/>
              </w:rPr>
            </w:pPr>
          </w:p>
        </w:tc>
        <w:tc>
          <w:tcPr>
            <w:tcW w:w="8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3.9</w:t>
            </w:r>
          </w:p>
        </w:tc>
        <w:tc>
          <w:tcPr>
            <w:tcW w:w="40" w:type="dxa"/>
            <w:vAlign w:val="bottom"/>
          </w:tcPr>
          <w:p>
            <w:pPr>
              <w:spacing w:after="0"/>
              <w:rPr>
                <w:sz w:val="20"/>
                <w:szCs w:val="20"/>
                <w:color w:val="auto"/>
              </w:rPr>
            </w:pPr>
          </w:p>
        </w:tc>
      </w:tr>
      <w:tr>
        <w:trPr>
          <w:trHeight w:val="216"/>
        </w:trPr>
        <w:tc>
          <w:tcPr>
            <w:tcW w:w="3980" w:type="dxa"/>
            <w:vAlign w:val="bottom"/>
          </w:tcPr>
          <w:p>
            <w:pPr>
              <w:spacing w:after="0"/>
              <w:rPr>
                <w:sz w:val="20"/>
                <w:szCs w:val="20"/>
                <w:color w:val="auto"/>
              </w:rPr>
            </w:pPr>
            <w:r>
              <w:rPr>
                <w:rFonts w:ascii="Times New Roman" w:cs="Times New Roman" w:eastAsia="Times New Roman" w:hAnsi="Times New Roman"/>
                <w:sz w:val="18"/>
                <w:szCs w:val="18"/>
                <w:color w:val="auto"/>
              </w:rPr>
              <w:t>Other items:</w:t>
            </w:r>
          </w:p>
        </w:tc>
        <w:tc>
          <w:tcPr>
            <w:tcW w:w="7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39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Transaction costs</w:t>
            </w:r>
          </w:p>
        </w:tc>
        <w:tc>
          <w:tcPr>
            <w:tcW w:w="740" w:type="dxa"/>
            <w:vAlign w:val="bottom"/>
            <w:shd w:val="clear" w:color="auto" w:fill="CCEEFF"/>
          </w:tcPr>
          <w:p>
            <w:pPr>
              <w:spacing w:after="0"/>
              <w:rPr>
                <w:sz w:val="18"/>
                <w:szCs w:val="18"/>
                <w:color w:val="auto"/>
              </w:rPr>
            </w:pPr>
          </w:p>
        </w:tc>
        <w:tc>
          <w:tcPr>
            <w:tcW w:w="136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.3</w:t>
            </w:r>
          </w:p>
        </w:tc>
        <w:tc>
          <w:tcPr>
            <w:tcW w:w="7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2.0</w:t>
            </w:r>
          </w:p>
        </w:tc>
        <w:tc>
          <w:tcPr>
            <w:tcW w:w="760" w:type="dxa"/>
            <w:vAlign w:val="bottom"/>
            <w:shd w:val="clear" w:color="auto" w:fill="CCEEFF"/>
          </w:tcPr>
          <w:p>
            <w:pPr>
              <w:spacing w:after="0"/>
              <w:rPr>
                <w:sz w:val="18"/>
                <w:szCs w:val="18"/>
                <w:color w:val="auto"/>
              </w:rPr>
            </w:pPr>
          </w:p>
        </w:tc>
        <w:tc>
          <w:tcPr>
            <w:tcW w:w="134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3.7</w:t>
            </w:r>
          </w:p>
        </w:tc>
        <w:tc>
          <w:tcPr>
            <w:tcW w:w="68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4.1</w:t>
            </w:r>
          </w:p>
        </w:tc>
        <w:tc>
          <w:tcPr>
            <w:tcW w:w="40" w:type="dxa"/>
            <w:vAlign w:val="bottom"/>
          </w:tcPr>
          <w:p>
            <w:pPr>
              <w:spacing w:after="0"/>
              <w:rPr>
                <w:sz w:val="18"/>
                <w:szCs w:val="18"/>
                <w:color w:val="auto"/>
              </w:rPr>
            </w:pPr>
          </w:p>
        </w:tc>
      </w:tr>
      <w:tr>
        <w:trPr>
          <w:trHeight w:val="216"/>
        </w:trPr>
        <w:tc>
          <w:tcPr>
            <w:tcW w:w="3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Loss from settlement of pension obligations</w:t>
            </w:r>
          </w:p>
        </w:tc>
        <w:tc>
          <w:tcPr>
            <w:tcW w:w="740" w:type="dxa"/>
            <w:vAlign w:val="bottom"/>
          </w:tcPr>
          <w:p>
            <w:pPr>
              <w:spacing w:after="0"/>
              <w:rPr>
                <w:sz w:val="18"/>
                <w:szCs w:val="18"/>
                <w:color w:val="auto"/>
              </w:rPr>
            </w:pPr>
          </w:p>
        </w:tc>
        <w:tc>
          <w:tcPr>
            <w:tcW w:w="136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spacing w:after="0"/>
              <w:rPr>
                <w:sz w:val="18"/>
                <w:szCs w:val="18"/>
                <w:color w:val="auto"/>
              </w:rPr>
            </w:pPr>
          </w:p>
        </w:tc>
        <w:tc>
          <w:tcPr>
            <w:tcW w:w="10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spacing w:after="0"/>
              <w:rPr>
                <w:sz w:val="18"/>
                <w:szCs w:val="18"/>
                <w:color w:val="auto"/>
              </w:rPr>
            </w:pPr>
          </w:p>
        </w:tc>
        <w:tc>
          <w:tcPr>
            <w:tcW w:w="134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spacing w:after="0"/>
              <w:rPr>
                <w:sz w:val="18"/>
                <w:szCs w:val="18"/>
                <w:color w:val="auto"/>
              </w:rPr>
            </w:pPr>
          </w:p>
        </w:tc>
        <w:tc>
          <w:tcPr>
            <w:tcW w:w="8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41.4</w:t>
            </w:r>
          </w:p>
        </w:tc>
        <w:tc>
          <w:tcPr>
            <w:tcW w:w="40" w:type="dxa"/>
            <w:vAlign w:val="bottom"/>
          </w:tcPr>
          <w:p>
            <w:pPr>
              <w:spacing w:after="0"/>
              <w:rPr>
                <w:sz w:val="18"/>
                <w:szCs w:val="18"/>
                <w:color w:val="auto"/>
              </w:rPr>
            </w:pPr>
          </w:p>
        </w:tc>
      </w:tr>
      <w:tr>
        <w:trPr>
          <w:trHeight w:val="216"/>
        </w:trPr>
        <w:tc>
          <w:tcPr>
            <w:tcW w:w="3980" w:type="dxa"/>
            <w:vAlign w:val="bottom"/>
            <w:tcBorders>
              <w:bottom w:val="single" w:sz="8" w:color="auto"/>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Loss on sale of asset</w:t>
            </w:r>
          </w:p>
        </w:tc>
        <w:tc>
          <w:tcPr>
            <w:tcW w:w="74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w:t>
            </w:r>
          </w:p>
        </w:tc>
        <w:tc>
          <w:tcPr>
            <w:tcW w:w="40" w:type="dxa"/>
            <w:vAlign w:val="bottom"/>
          </w:tcPr>
          <w:p>
            <w:pPr>
              <w:spacing w:after="0"/>
              <w:rPr>
                <w:sz w:val="18"/>
                <w:szCs w:val="18"/>
                <w:color w:val="auto"/>
              </w:rPr>
            </w:pPr>
          </w:p>
        </w:tc>
      </w:tr>
      <w:tr>
        <w:trPr>
          <w:trHeight w:val="217"/>
        </w:trPr>
        <w:tc>
          <w:tcPr>
            <w:tcW w:w="39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Other expense, net</w:t>
            </w:r>
          </w:p>
        </w:tc>
        <w:tc>
          <w:tcPr>
            <w:tcW w:w="7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rPr>
              <w:t>10.8</w:t>
            </w:r>
          </w:p>
        </w:tc>
        <w:tc>
          <w:tcPr>
            <w:tcW w:w="70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4.6</w:t>
            </w:r>
          </w:p>
        </w:tc>
        <w:tc>
          <w:tcPr>
            <w:tcW w:w="76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rPr>
              <w:t>27.5</w:t>
            </w:r>
          </w:p>
        </w:tc>
        <w:tc>
          <w:tcPr>
            <w:tcW w:w="68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60.4</w:t>
            </w:r>
          </w:p>
        </w:tc>
        <w:tc>
          <w:tcPr>
            <w:tcW w:w="40" w:type="dxa"/>
            <w:vAlign w:val="bottom"/>
          </w:tcPr>
          <w:p>
            <w:pPr>
              <w:spacing w:after="0"/>
              <w:rPr>
                <w:sz w:val="18"/>
                <w:szCs w:val="18"/>
                <w:color w:val="auto"/>
              </w:rPr>
            </w:pPr>
          </w:p>
        </w:tc>
      </w:tr>
      <w:tr>
        <w:trPr>
          <w:trHeight w:val="432"/>
        </w:trPr>
        <w:tc>
          <w:tcPr>
            <w:tcW w:w="39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9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16</w:t>
            </w:r>
          </w:p>
        </w:tc>
      </w:tr>
      <w:tr>
        <w:trPr>
          <w:trHeight w:val="132"/>
        </w:trPr>
        <w:tc>
          <w:tcPr>
            <w:tcW w:w="3980" w:type="dxa"/>
            <w:vAlign w:val="bottom"/>
            <w:tcBorders>
              <w:bottom w:val="single" w:sz="8" w:color="808080"/>
            </w:tcBorders>
          </w:tcPr>
          <w:p>
            <w:pPr>
              <w:spacing w:after="0"/>
              <w:rPr>
                <w:sz w:val="11"/>
                <w:szCs w:val="11"/>
                <w:color w:val="auto"/>
              </w:rPr>
            </w:pPr>
          </w:p>
        </w:tc>
        <w:tc>
          <w:tcPr>
            <w:tcW w:w="740" w:type="dxa"/>
            <w:vAlign w:val="bottom"/>
            <w:tcBorders>
              <w:bottom w:val="single" w:sz="8" w:color="808080"/>
            </w:tcBorders>
          </w:tcPr>
          <w:p>
            <w:pPr>
              <w:spacing w:after="0"/>
              <w:rPr>
                <w:sz w:val="11"/>
                <w:szCs w:val="11"/>
                <w:color w:val="auto"/>
              </w:rPr>
            </w:pPr>
          </w:p>
        </w:tc>
        <w:tc>
          <w:tcPr>
            <w:tcW w:w="1360" w:type="dxa"/>
            <w:vAlign w:val="bottom"/>
            <w:tcBorders>
              <w:bottom w:val="single" w:sz="8" w:color="808080"/>
            </w:tcBorders>
          </w:tcPr>
          <w:p>
            <w:pPr>
              <w:spacing w:after="0"/>
              <w:rPr>
                <w:sz w:val="11"/>
                <w:szCs w:val="11"/>
                <w:color w:val="auto"/>
              </w:rPr>
            </w:pPr>
          </w:p>
        </w:tc>
        <w:tc>
          <w:tcPr>
            <w:tcW w:w="700" w:type="dxa"/>
            <w:vAlign w:val="bottom"/>
            <w:tcBorders>
              <w:bottom w:val="single" w:sz="8" w:color="808080"/>
            </w:tcBorders>
          </w:tcPr>
          <w:p>
            <w:pPr>
              <w:spacing w:after="0"/>
              <w:rPr>
                <w:sz w:val="11"/>
                <w:szCs w:val="11"/>
                <w:color w:val="auto"/>
              </w:rPr>
            </w:pPr>
          </w:p>
        </w:tc>
        <w:tc>
          <w:tcPr>
            <w:tcW w:w="740" w:type="dxa"/>
            <w:vAlign w:val="bottom"/>
            <w:tcBorders>
              <w:bottom w:val="single" w:sz="8" w:color="808080"/>
            </w:tcBorders>
          </w:tcPr>
          <w:p>
            <w:pPr>
              <w:spacing w:after="0"/>
              <w:rPr>
                <w:sz w:val="11"/>
                <w:szCs w:val="11"/>
                <w:color w:val="auto"/>
              </w:rPr>
            </w:pPr>
          </w:p>
        </w:tc>
        <w:tc>
          <w:tcPr>
            <w:tcW w:w="260" w:type="dxa"/>
            <w:vAlign w:val="bottom"/>
            <w:tcBorders>
              <w:bottom w:val="single" w:sz="8" w:color="808080"/>
            </w:tcBorders>
          </w:tcPr>
          <w:p>
            <w:pPr>
              <w:spacing w:after="0"/>
              <w:rPr>
                <w:sz w:val="11"/>
                <w:szCs w:val="11"/>
                <w:color w:val="auto"/>
              </w:rPr>
            </w:pPr>
          </w:p>
        </w:tc>
        <w:tc>
          <w:tcPr>
            <w:tcW w:w="760" w:type="dxa"/>
            <w:vAlign w:val="bottom"/>
            <w:tcBorders>
              <w:bottom w:val="single" w:sz="8" w:color="808080"/>
            </w:tcBorders>
          </w:tcPr>
          <w:p>
            <w:pPr>
              <w:spacing w:after="0"/>
              <w:rPr>
                <w:sz w:val="11"/>
                <w:szCs w:val="11"/>
                <w:color w:val="auto"/>
              </w:rPr>
            </w:pPr>
          </w:p>
        </w:tc>
        <w:tc>
          <w:tcPr>
            <w:tcW w:w="1340" w:type="dxa"/>
            <w:vAlign w:val="bottom"/>
            <w:tcBorders>
              <w:bottom w:val="single" w:sz="8" w:color="808080"/>
            </w:tcBorders>
          </w:tcPr>
          <w:p>
            <w:pPr>
              <w:spacing w:after="0"/>
              <w:rPr>
                <w:sz w:val="11"/>
                <w:szCs w:val="11"/>
                <w:color w:val="auto"/>
              </w:rPr>
            </w:pPr>
          </w:p>
        </w:tc>
        <w:tc>
          <w:tcPr>
            <w:tcW w:w="680" w:type="dxa"/>
            <w:vAlign w:val="bottom"/>
            <w:tcBorders>
              <w:bottom w:val="single" w:sz="8" w:color="808080"/>
            </w:tcBorders>
          </w:tcPr>
          <w:p>
            <w:pPr>
              <w:spacing w:after="0"/>
              <w:rPr>
                <w:sz w:val="11"/>
                <w:szCs w:val="11"/>
                <w:color w:val="auto"/>
              </w:rPr>
            </w:pPr>
          </w:p>
        </w:tc>
        <w:tc>
          <w:tcPr>
            <w:tcW w:w="86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310"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w:anchor="page1">
        <w:r>
          <w:rPr>
            <w:rFonts w:ascii="Times New Roman" w:cs="Times New Roman" w:eastAsia="Times New Roman" w:hAnsi="Times New Roman"/>
            <w:sz w:val="18"/>
            <w:szCs w:val="18"/>
            <w:u w:val="single" w:color="auto"/>
            <w:color w:val="0000EE"/>
          </w:rPr>
          <w:t>Table of Contents</w:t>
        </w:r>
      </w:hyperlink>
    </w:p>
    <w:p>
      <w:pPr>
        <w:spacing w:after="0" w:line="225" w:lineRule="exact"/>
        <w:rPr>
          <w:sz w:val="20"/>
          <w:szCs w:val="20"/>
          <w:color w:val="auto"/>
        </w:rPr>
      </w:pPr>
    </w:p>
    <w:p>
      <w:pPr>
        <w:ind w:left="9340"/>
        <w:spacing w:after="0"/>
        <w:rPr>
          <w:sz w:val="20"/>
          <w:szCs w:val="20"/>
          <w:color w:val="auto"/>
        </w:rPr>
      </w:pPr>
      <w:r>
        <w:rPr>
          <w:rFonts w:ascii="Times New Roman" w:cs="Times New Roman" w:eastAsia="Times New Roman" w:hAnsi="Times New Roman"/>
          <w:sz w:val="18"/>
          <w:szCs w:val="18"/>
          <w:color w:val="auto"/>
        </w:rPr>
        <w:t>Avery Dennison Corporation</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17. Recent Accounting Requirements</w:t>
      </w:r>
    </w:p>
    <w:p>
      <w:pPr>
        <w:spacing w:after="0" w:line="229" w:lineRule="exact"/>
        <w:rPr>
          <w:sz w:val="20"/>
          <w:szCs w:val="20"/>
          <w:color w:val="auto"/>
        </w:rPr>
      </w:pPr>
    </w:p>
    <w:p>
      <w:pPr>
        <w:jc w:val="both"/>
        <w:ind w:right="40"/>
        <w:spacing w:after="0" w:line="266" w:lineRule="auto"/>
        <w:rPr>
          <w:sz w:val="20"/>
          <w:szCs w:val="20"/>
          <w:color w:val="auto"/>
        </w:rPr>
      </w:pPr>
      <w:r>
        <w:rPr>
          <w:rFonts w:ascii="Times New Roman" w:cs="Times New Roman" w:eastAsia="Times New Roman" w:hAnsi="Times New Roman"/>
          <w:sz w:val="18"/>
          <w:szCs w:val="18"/>
          <w:color w:val="auto"/>
        </w:rPr>
        <w:t>In August 2017, the Financial Accounting Standards Board (“FASB”) issued amended guidance to improve the financial reporting of hedging relationships to better portray the economic results of an entity’s risk management activities in its financial statements, as well as to simplify the application of hedge accounting. The amended presentation and disclosure guidance is required prospectively. The guidance will be effective for interim and annual periods</w:t>
      </w:r>
    </w:p>
    <w:p>
      <w:pPr>
        <w:sectPr>
          <w:pgSz w:w="11900" w:h="16838" w:orient="portrait"/>
          <w:cols w:equalWidth="0" w:num="1">
            <w:col w:w="11460"/>
          </w:cols>
          <w:pgMar w:left="240" w:top="121" w:right="199" w:bottom="0" w:gutter="0" w:footer="0" w:header="0"/>
        </w:sectPr>
      </w:pPr>
    </w:p>
    <w:bookmarkStart w:id="13" w:name="page14"/>
    <w:bookmarkEnd w:id="13"/>
    <w:p>
      <w:pPr>
        <w:jc w:val="both"/>
        <w:spacing w:after="0" w:line="282" w:lineRule="auto"/>
        <w:rPr>
          <w:sz w:val="20"/>
          <w:szCs w:val="20"/>
          <w:color w:val="auto"/>
        </w:rPr>
      </w:pPr>
      <w:r>
        <w:rPr>
          <w:rFonts w:ascii="Times New Roman" w:cs="Times New Roman" w:eastAsia="Times New Roman" w:hAnsi="Times New Roman"/>
          <w:sz w:val="18"/>
          <w:szCs w:val="18"/>
          <w:color w:val="auto"/>
        </w:rPr>
        <w:t>beginning after December 15, 2018, and early adoption is permitted. We are currently assessing the impact of this guidance on our financial position, results of operations, cash flows, and disclosures.</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May 2017, the FASB issued amended guidance that provides clarity on which changes to share-based awards are considered substantive and require modification accounting to be applied. This guidance will be effective for interim and annual periods beginning after December 15, 2017. We do not regularly modify the terms and conditions of share-based awards and do not believe adoption of this amended guidance will have a significant effect on our financial position, results of operations, cash flows, and disclosures.</w:t>
      </w:r>
    </w:p>
    <w:p>
      <w:pPr>
        <w:spacing w:after="0" w:line="18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March 2017, the FASB issued guidance that requires employers with defined benefit plans to present only the service cost component of net periodic benefit cost in the same income statement line item(s) as other employee compensation costs arising from services rendered during the period. Employers are required to present the other components of the net periodic benefit cost separately from the line item(s) that includes the service cost and outside of any subtotal of operating income. Components other than the service cost component will not be eligible for capitalization in assets. Employers are required to apply the guidance on the presentation of the components of net periodic benefit cost in the income statement retrospectively, while the guidance that limits the capitalization of net periodic benefit cost in assets to the service cost component must be applied prospectively. This guidance will be effective for interim and annual periods beginning after December 15, 2017. The other components of net periodic pension cost totaled approximately $13 million and $53 million for the nine months ended September 30, 2017 and October 1, 2016, respectively. The amount in 2016 included a recognized loss on settlement of approximately $41 million. We continue to assess the impact of this guidance on the presentation of our results of operations and disclosures.</w:t>
      </w:r>
    </w:p>
    <w:p>
      <w:pPr>
        <w:spacing w:after="0" w:line="189"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18"/>
          <w:szCs w:val="18"/>
          <w:color w:val="auto"/>
        </w:rPr>
        <w:t>In January 2017, the FASB issued amended guidance that simplifies the subsequent measurement of goodwill. This amended guidance eliminates step two of the goodwill impairment test, so that a goodwill impairment will be the amount by which a reporting unit’s carrying value exceeds its fair value, not to exceed the carrying amount of goodwill. We adopted this guidance in the third quarter of 2017. This adoption did not have a significant impact on our financial position, results of operations, cash flows, or disclosures.</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October 2016, the FASB issued guidance that requires companies to recognize the income tax effects of intra-entity sales and transfers of assets other than inventory in the period in which they occur. This guidance will be effective for fiscal years and interim periods beginning after December 15, 2017. The guidance requires modified retrospective adoption. Upon adoption, we expect to derecognize tax-related deferred charges and recognize deferred taxes related to certain intra-entity asset transfers as a net reduction to retained earnings. We do not believe adoption of this guidance will have a significant effect on our financial position, results of operations, cash flows, and disclosures.</w:t>
      </w:r>
    </w:p>
    <w:p>
      <w:pPr>
        <w:spacing w:after="0" w:line="18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March 2016, the FASB issued guidance on accounting for leases that requires lessees to recognize the rights and obligations created by leases on their balance sheets. This guidance, which will be effective for interim and annual periods beginning after December 15, 2018, also requires enhanced disclosures regarding the amount, timing, and uncertainty of cash flows arising from leases. Early adoption is permitted. We expect to adopt this guidance as of the effective date. A modified retrospective approach is required for adoption with respect to all leases that exist at or commence after the date of initial application, with an option to use certain practical expedients. While we are currently assessing the impact of this guidance on our financial position, results of operations, cash flows, and disclosures, we expect its adoption to have a significant impact on our financial position and disclosures.</w:t>
      </w:r>
    </w:p>
    <w:p>
      <w:pPr>
        <w:spacing w:after="0" w:line="188"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May 2014, and in subsequent updates, the FASB issued revised guidance on revenue recognition. This revised guidance provides a single comprehensive model for accounting for revenue arising from contracts with customers and supersedes most current revenue recognition guidance, including industry-specific guidance. This revised guidance requires an entity to recognize revenue when it transfers promised goods or services to customers in an amount that reflects the consideration to which the entity expects to be entitled in exchange for those goods or services. This revised guidance creates a five-step model that requires entities to exercise judgment when considering the terms of contract(s), which includes (i) identifying the contract(s) with the customer,</w:t>
      </w:r>
    </w:p>
    <w:p>
      <w:pPr>
        <w:spacing w:after="0" w:line="3" w:lineRule="exact"/>
        <w:rPr>
          <w:sz w:val="20"/>
          <w:szCs w:val="20"/>
          <w:color w:val="auto"/>
        </w:rPr>
      </w:pPr>
    </w:p>
    <w:p>
      <w:pPr>
        <w:jc w:val="both"/>
        <w:ind w:firstLine="8"/>
        <w:spacing w:after="0" w:line="252" w:lineRule="auto"/>
        <w:tabs>
          <w:tab w:leader="none" w:pos="27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identifying the separate performance obligations in the contract, (iii) determining the transaction price, (iv) allocating the transaction price to the separate performance obligations, and (v) recognizing revenue when each performance obligation is satisfied. This revised guidance also requires additional disclosure about the nature, amount, timing and uncertainty of revenue and cash flows arising from customer contracts, including qualitative and quantitative information about contracts with customers, significant judgments and changes in judgments, and assets recognized from costs incurred to obtain or fulfill a contract. This revised guidance is effective for fiscal years beginning after December 15, 2017, and interim periods within those fiscal years, and can be applied retrospectively either to each prior reporting period presented (“full retrospective”) or with the cumulative effect of adoption recognized at the date of initial application (“modified retrospective”). We expect to adopt this revised guidance under the modified retrospective approach in the first</w:t>
      </w:r>
    </w:p>
    <w:p>
      <w:pPr>
        <w:spacing w:after="0" w:line="18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w:anchor="page1">
        <w:r>
          <w:rPr>
            <w:rFonts w:ascii="Times New Roman" w:cs="Times New Roman" w:eastAsia="Times New Roman" w:hAnsi="Times New Roman"/>
            <w:sz w:val="18"/>
            <w:szCs w:val="18"/>
            <w:u w:val="single" w:color="auto"/>
            <w:color w:val="0000EE"/>
          </w:rPr>
          <w:t>Table of Contents</w:t>
        </w:r>
      </w:hyperlink>
    </w:p>
    <w:p>
      <w:pPr>
        <w:spacing w:after="0" w:line="225" w:lineRule="exact"/>
        <w:rPr>
          <w:sz w:val="20"/>
          <w:szCs w:val="20"/>
          <w:color w:val="auto"/>
        </w:rPr>
      </w:pPr>
    </w:p>
    <w:p>
      <w:pPr>
        <w:ind w:left="9340"/>
        <w:spacing w:after="0"/>
        <w:rPr>
          <w:sz w:val="20"/>
          <w:szCs w:val="20"/>
          <w:color w:val="auto"/>
        </w:rPr>
      </w:pPr>
      <w:r>
        <w:rPr>
          <w:rFonts w:ascii="Times New Roman" w:cs="Times New Roman" w:eastAsia="Times New Roman" w:hAnsi="Times New Roman"/>
          <w:sz w:val="17"/>
          <w:szCs w:val="17"/>
          <w:color w:val="auto"/>
        </w:rPr>
        <w:t>Avery Dennison Corporation</w:t>
      </w:r>
    </w:p>
    <w:p>
      <w:pPr>
        <w:spacing w:after="0" w:line="23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quarter of 2018. We established a project plan and cross-functional team to manage the assessment, design, and implementation of this new guidance. Based on our assessment to date, we do not anticipate that the adoption of this revised guidance will have a significant impact on our financial position, results of operations, or cash flows. Upon adoption of this guidance, allowances for customer returns, currently presented as a reduction of trade accounts receivable, will be classified as a returns liability. The allowance for customer returns was $12.1 million and $10 million as of September 30, 2017 and December 31, 2016, respectively. Upon adoption, we do not expect the value of return assets to be significant. We are in the process of implementing appropriate changes to processes, policies, systems, and controls to support revenue recognition and disclosures in accordance with the revised guidance.</w:t>
      </w:r>
    </w:p>
    <w:p>
      <w:pPr>
        <w:spacing w:after="0" w:line="18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w:anchor="page1">
        <w:r>
          <w:rPr>
            <w:rFonts w:ascii="Times New Roman" w:cs="Times New Roman" w:eastAsia="Times New Roman" w:hAnsi="Times New Roman"/>
            <w:sz w:val="18"/>
            <w:szCs w:val="18"/>
            <w:u w:val="single" w:color="auto"/>
            <w:color w:val="0000EE"/>
          </w:rPr>
          <w:t>Table of Contents</w:t>
        </w:r>
      </w:hyperlink>
    </w:p>
    <w:p>
      <w:pPr>
        <w:spacing w:after="0" w:line="225" w:lineRule="exact"/>
        <w:rPr>
          <w:sz w:val="20"/>
          <w:szCs w:val="20"/>
          <w:color w:val="auto"/>
        </w:rPr>
      </w:pPr>
    </w:p>
    <w:p>
      <w:pPr>
        <w:ind w:left="9340"/>
        <w:spacing w:after="0"/>
        <w:rPr>
          <w:sz w:val="20"/>
          <w:szCs w:val="20"/>
          <w:color w:val="auto"/>
        </w:rPr>
      </w:pPr>
      <w:r>
        <w:rPr>
          <w:rFonts w:ascii="Times New Roman" w:cs="Times New Roman" w:eastAsia="Times New Roman" w:hAnsi="Times New Roman"/>
          <w:sz w:val="17"/>
          <w:szCs w:val="17"/>
          <w:color w:val="auto"/>
        </w:rPr>
        <w:t>Avery Dennison Corporation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Management’s Discussion and Analysis of Financial Condition and Results of Operations, or MD&amp;A, provides management’s views on our financial condition and results of operations, should be read in conjunction with the accompanying unaudited Condensed Consolidated Financial Statements and notes thereto, and includes the following sections:</w:t>
      </w:r>
    </w:p>
    <w:p>
      <w:pPr>
        <w:sectPr>
          <w:pgSz w:w="11900" w:h="16838" w:orient="portrait"/>
          <w:cols w:equalWidth="0" w:num="1">
            <w:col w:w="11420"/>
          </w:cols>
          <w:pgMar w:left="240" w:top="121" w:right="239" w:bottom="0" w:gutter="0" w:footer="0" w:header="0"/>
        </w:sectPr>
      </w:pPr>
    </w:p>
    <w:bookmarkStart w:id="14" w:name="page15"/>
    <w:bookmarkEnd w:id="14"/>
    <w:tbl>
      <w:tblPr>
        <w:tblLayout w:type="fixed"/>
        <w:tblInd w:w="340" w:type="dxa"/>
        <w:tblCellMar>
          <w:top w:w="0" w:type="dxa"/>
          <w:left w:w="0" w:type="dxa"/>
          <w:bottom w:w="0" w:type="dxa"/>
          <w:right w:w="0" w:type="dxa"/>
        </w:tblCellMar>
      </w:tblPr>
      <w:tr>
        <w:trPr>
          <w:trHeight w:val="207"/>
        </w:trPr>
        <w:tc>
          <w:tcPr>
            <w:tcW w:w="8100" w:type="dxa"/>
            <w:vAlign w:val="bottom"/>
            <w:gridSpan w:val="9"/>
          </w:tcPr>
          <w:p>
            <w:pPr>
              <w:spacing w:after="0"/>
              <w:rPr>
                <w:rFonts w:ascii="Times New Roman" w:cs="Times New Roman" w:eastAsia="Times New Roman" w:hAnsi="Times New Roman"/>
                <w:sz w:val="18"/>
                <w:szCs w:val="18"/>
                <w:color w:val="0000EE"/>
              </w:rPr>
            </w:pPr>
            <w:hyperlink w:anchor="page15">
              <w:r>
                <w:rPr>
                  <w:rFonts w:ascii="Times New Roman" w:cs="Times New Roman" w:eastAsia="Times New Roman" w:hAnsi="Times New Roman"/>
                  <w:sz w:val="18"/>
                  <w:szCs w:val="18"/>
                  <w:color w:val="0000EE"/>
                </w:rPr>
                <w:t>Non-GAAP Financial Measures</w:t>
              </w:r>
            </w:hyperlink>
          </w:p>
        </w:tc>
        <w:tc>
          <w:tcPr>
            <w:tcW w:w="2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r>
      <w:tr>
        <w:trPr>
          <w:trHeight w:val="196"/>
        </w:trPr>
        <w:tc>
          <w:tcPr>
            <w:tcW w:w="2300" w:type="dxa"/>
            <w:vAlign w:val="bottom"/>
            <w:tcBorders>
              <w:top w:val="single" w:sz="8" w:color="0000EE"/>
            </w:tcBorders>
            <w:gridSpan w:val="3"/>
          </w:tcPr>
          <w:p>
            <w:pPr>
              <w:spacing w:after="0" w:line="196" w:lineRule="exact"/>
              <w:rPr>
                <w:rFonts w:ascii="Times New Roman" w:cs="Times New Roman" w:eastAsia="Times New Roman" w:hAnsi="Times New Roman"/>
                <w:sz w:val="18"/>
                <w:szCs w:val="18"/>
                <w:color w:val="0000EE"/>
              </w:rPr>
            </w:pPr>
            <w:hyperlink w:anchor="page15">
              <w:r>
                <w:rPr>
                  <w:rFonts w:ascii="Times New Roman" w:cs="Times New Roman" w:eastAsia="Times New Roman" w:hAnsi="Times New Roman"/>
                  <w:sz w:val="18"/>
                  <w:szCs w:val="18"/>
                  <w:color w:val="0000EE"/>
                </w:rPr>
                <w:t>Overview and Outlook</w:t>
              </w:r>
            </w:hyperlink>
          </w:p>
        </w:tc>
        <w:tc>
          <w:tcPr>
            <w:tcW w:w="5800" w:type="dxa"/>
            <w:vAlign w:val="bottom"/>
            <w:gridSpan w:val="6"/>
          </w:tcPr>
          <w:p>
            <w:pPr>
              <w:spacing w:after="0"/>
              <w:rPr>
                <w:sz w:val="17"/>
                <w:szCs w:val="17"/>
                <w:color w:val="auto"/>
              </w:rPr>
            </w:pPr>
          </w:p>
        </w:tc>
        <w:tc>
          <w:tcPr>
            <w:tcW w:w="25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20</w:t>
            </w:r>
          </w:p>
        </w:tc>
      </w:tr>
      <w:tr>
        <w:trPr>
          <w:trHeight w:val="20"/>
        </w:trPr>
        <w:tc>
          <w:tcPr>
            <w:tcW w:w="14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r>
      <w:tr>
        <w:trPr>
          <w:trHeight w:val="196"/>
        </w:trPr>
        <w:tc>
          <w:tcPr>
            <w:tcW w:w="8100" w:type="dxa"/>
            <w:vAlign w:val="bottom"/>
            <w:gridSpan w:val="9"/>
          </w:tcPr>
          <w:p>
            <w:pPr>
              <w:spacing w:after="0" w:line="196" w:lineRule="exact"/>
              <w:rPr>
                <w:rFonts w:ascii="Times New Roman" w:cs="Times New Roman" w:eastAsia="Times New Roman" w:hAnsi="Times New Roman"/>
                <w:sz w:val="18"/>
                <w:szCs w:val="18"/>
                <w:color w:val="0000EE"/>
              </w:rPr>
            </w:pPr>
            <w:hyperlink w:anchor="page16">
              <w:r>
                <w:rPr>
                  <w:rFonts w:ascii="Times New Roman" w:cs="Times New Roman" w:eastAsia="Times New Roman" w:hAnsi="Times New Roman"/>
                  <w:sz w:val="18"/>
                  <w:szCs w:val="18"/>
                  <w:color w:val="0000EE"/>
                </w:rPr>
                <w:t>Analysis of Results of Operations for the Third Quarter</w:t>
              </w:r>
            </w:hyperlink>
          </w:p>
        </w:tc>
        <w:tc>
          <w:tcPr>
            <w:tcW w:w="25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21</w:t>
            </w:r>
          </w:p>
        </w:tc>
      </w:tr>
      <w:tr>
        <w:trPr>
          <w:trHeight w:val="20"/>
        </w:trPr>
        <w:tc>
          <w:tcPr>
            <w:tcW w:w="1420" w:type="dxa"/>
            <w:vAlign w:val="bottom"/>
            <w:shd w:val="clear" w:color="auto" w:fill="0000EE"/>
          </w:tcPr>
          <w:p>
            <w:pPr>
              <w:spacing w:after="0" w:line="20" w:lineRule="exact"/>
              <w:rPr>
                <w:sz w:val="1"/>
                <w:szCs w:val="1"/>
                <w:color w:val="auto"/>
              </w:rPr>
            </w:pPr>
          </w:p>
        </w:tc>
        <w:tc>
          <w:tcPr>
            <w:tcW w:w="1000" w:type="dxa"/>
            <w:vAlign w:val="bottom"/>
            <w:gridSpan w:val="3"/>
            <w:shd w:val="clear" w:color="auto" w:fill="0000EE"/>
          </w:tcPr>
          <w:p>
            <w:pPr>
              <w:spacing w:after="0" w:line="20" w:lineRule="exact"/>
              <w:rPr>
                <w:sz w:val="1"/>
                <w:szCs w:val="1"/>
                <w:color w:val="auto"/>
              </w:rPr>
            </w:pPr>
          </w:p>
        </w:tc>
        <w:tc>
          <w:tcPr>
            <w:tcW w:w="1560" w:type="dxa"/>
            <w:vAlign w:val="bottom"/>
            <w:shd w:val="clear" w:color="auto" w:fill="0000EE"/>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r>
      <w:tr>
        <w:trPr>
          <w:trHeight w:val="196"/>
        </w:trPr>
        <w:tc>
          <w:tcPr>
            <w:tcW w:w="8100" w:type="dxa"/>
            <w:vAlign w:val="bottom"/>
            <w:gridSpan w:val="9"/>
          </w:tcPr>
          <w:p>
            <w:pPr>
              <w:spacing w:after="0" w:line="196" w:lineRule="exact"/>
              <w:rPr>
                <w:rFonts w:ascii="Times New Roman" w:cs="Times New Roman" w:eastAsia="Times New Roman" w:hAnsi="Times New Roman"/>
                <w:sz w:val="18"/>
                <w:szCs w:val="18"/>
                <w:color w:val="0000EE"/>
              </w:rPr>
            </w:pPr>
            <w:hyperlink w:anchor="page17">
              <w:r>
                <w:rPr>
                  <w:rFonts w:ascii="Times New Roman" w:cs="Times New Roman" w:eastAsia="Times New Roman" w:hAnsi="Times New Roman"/>
                  <w:sz w:val="18"/>
                  <w:szCs w:val="18"/>
                  <w:color w:val="0000EE"/>
                </w:rPr>
                <w:t>Results of Operations by Reportable Segment for the Third Quarter</w:t>
              </w:r>
            </w:hyperlink>
          </w:p>
        </w:tc>
        <w:tc>
          <w:tcPr>
            <w:tcW w:w="25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22</w:t>
            </w:r>
          </w:p>
        </w:tc>
      </w:tr>
      <w:tr>
        <w:trPr>
          <w:trHeight w:val="20"/>
        </w:trPr>
        <w:tc>
          <w:tcPr>
            <w:tcW w:w="1420" w:type="dxa"/>
            <w:vAlign w:val="bottom"/>
            <w:shd w:val="clear" w:color="auto" w:fill="0000EE"/>
          </w:tcPr>
          <w:p>
            <w:pPr>
              <w:spacing w:after="0" w:line="20" w:lineRule="exact"/>
              <w:rPr>
                <w:sz w:val="1"/>
                <w:szCs w:val="1"/>
                <w:color w:val="auto"/>
              </w:rPr>
            </w:pPr>
          </w:p>
        </w:tc>
        <w:tc>
          <w:tcPr>
            <w:tcW w:w="1000" w:type="dxa"/>
            <w:vAlign w:val="bottom"/>
            <w:gridSpan w:val="3"/>
            <w:shd w:val="clear" w:color="auto" w:fill="0000EE"/>
          </w:tcPr>
          <w:p>
            <w:pPr>
              <w:spacing w:after="0" w:line="20" w:lineRule="exact"/>
              <w:rPr>
                <w:sz w:val="1"/>
                <w:szCs w:val="1"/>
                <w:color w:val="auto"/>
              </w:rPr>
            </w:pPr>
          </w:p>
        </w:tc>
        <w:tc>
          <w:tcPr>
            <w:tcW w:w="2420" w:type="dxa"/>
            <w:vAlign w:val="bottom"/>
            <w:gridSpan w:val="2"/>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r>
      <w:tr>
        <w:trPr>
          <w:trHeight w:val="196"/>
        </w:trPr>
        <w:tc>
          <w:tcPr>
            <w:tcW w:w="8100" w:type="dxa"/>
            <w:vAlign w:val="bottom"/>
            <w:gridSpan w:val="9"/>
          </w:tcPr>
          <w:p>
            <w:pPr>
              <w:spacing w:after="0" w:line="196" w:lineRule="exact"/>
              <w:rPr>
                <w:rFonts w:ascii="Times New Roman" w:cs="Times New Roman" w:eastAsia="Times New Roman" w:hAnsi="Times New Roman"/>
                <w:sz w:val="18"/>
                <w:szCs w:val="18"/>
                <w:color w:val="0000EE"/>
              </w:rPr>
            </w:pPr>
            <w:hyperlink w:anchor="page19">
              <w:r>
                <w:rPr>
                  <w:rFonts w:ascii="Times New Roman" w:cs="Times New Roman" w:eastAsia="Times New Roman" w:hAnsi="Times New Roman"/>
                  <w:sz w:val="18"/>
                  <w:szCs w:val="18"/>
                  <w:color w:val="0000EE"/>
                </w:rPr>
                <w:t>Analysis of Results of Operations for the Nine Months Year-to-Date</w:t>
              </w:r>
            </w:hyperlink>
          </w:p>
        </w:tc>
        <w:tc>
          <w:tcPr>
            <w:tcW w:w="25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24</w:t>
            </w:r>
          </w:p>
        </w:tc>
      </w:tr>
      <w:tr>
        <w:trPr>
          <w:trHeight w:val="20"/>
        </w:trPr>
        <w:tc>
          <w:tcPr>
            <w:tcW w:w="1420" w:type="dxa"/>
            <w:vAlign w:val="bottom"/>
            <w:shd w:val="clear" w:color="auto" w:fill="0000EE"/>
          </w:tcPr>
          <w:p>
            <w:pPr>
              <w:spacing w:after="0" w:line="20" w:lineRule="exact"/>
              <w:rPr>
                <w:sz w:val="1"/>
                <w:szCs w:val="1"/>
                <w:color w:val="auto"/>
              </w:rPr>
            </w:pPr>
          </w:p>
        </w:tc>
        <w:tc>
          <w:tcPr>
            <w:tcW w:w="1000" w:type="dxa"/>
            <w:vAlign w:val="bottom"/>
            <w:gridSpan w:val="3"/>
            <w:shd w:val="clear" w:color="auto" w:fill="0000EE"/>
          </w:tcPr>
          <w:p>
            <w:pPr>
              <w:spacing w:after="0" w:line="20" w:lineRule="exact"/>
              <w:rPr>
                <w:sz w:val="1"/>
                <w:szCs w:val="1"/>
                <w:color w:val="auto"/>
              </w:rPr>
            </w:pPr>
          </w:p>
        </w:tc>
        <w:tc>
          <w:tcPr>
            <w:tcW w:w="2480" w:type="dxa"/>
            <w:vAlign w:val="bottom"/>
            <w:gridSpan w:val="3"/>
            <w:shd w:val="clear" w:color="auto" w:fill="0000EE"/>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r>
      <w:tr>
        <w:trPr>
          <w:trHeight w:val="196"/>
        </w:trPr>
        <w:tc>
          <w:tcPr>
            <w:tcW w:w="8100" w:type="dxa"/>
            <w:vAlign w:val="bottom"/>
            <w:gridSpan w:val="9"/>
          </w:tcPr>
          <w:p>
            <w:pPr>
              <w:spacing w:after="0" w:line="196" w:lineRule="exact"/>
              <w:rPr>
                <w:rFonts w:ascii="Times New Roman" w:cs="Times New Roman" w:eastAsia="Times New Roman" w:hAnsi="Times New Roman"/>
                <w:sz w:val="18"/>
                <w:szCs w:val="18"/>
                <w:color w:val="0000EE"/>
              </w:rPr>
            </w:pPr>
            <w:hyperlink w:anchor="page20">
              <w:r>
                <w:rPr>
                  <w:rFonts w:ascii="Times New Roman" w:cs="Times New Roman" w:eastAsia="Times New Roman" w:hAnsi="Times New Roman"/>
                  <w:sz w:val="18"/>
                  <w:szCs w:val="18"/>
                  <w:color w:val="0000EE"/>
                </w:rPr>
                <w:t>Results of Operations by Reportable Segment for the Nine Months Year-to-Date</w:t>
              </w:r>
            </w:hyperlink>
          </w:p>
        </w:tc>
        <w:tc>
          <w:tcPr>
            <w:tcW w:w="25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26</w:t>
            </w:r>
          </w:p>
        </w:tc>
      </w:tr>
      <w:tr>
        <w:trPr>
          <w:trHeight w:val="196"/>
        </w:trPr>
        <w:tc>
          <w:tcPr>
            <w:tcW w:w="5760" w:type="dxa"/>
            <w:vAlign w:val="bottom"/>
            <w:tcBorders>
              <w:top w:val="single" w:sz="8" w:color="0000EE"/>
            </w:tcBorders>
            <w:gridSpan w:val="8"/>
          </w:tcPr>
          <w:p>
            <w:pPr>
              <w:spacing w:after="0" w:line="196" w:lineRule="exact"/>
              <w:rPr>
                <w:rFonts w:ascii="Times New Roman" w:cs="Times New Roman" w:eastAsia="Times New Roman" w:hAnsi="Times New Roman"/>
                <w:sz w:val="18"/>
                <w:szCs w:val="18"/>
                <w:color w:val="0000EE"/>
              </w:rPr>
            </w:pPr>
            <w:hyperlink w:anchor="page22">
              <w:r>
                <w:rPr>
                  <w:rFonts w:ascii="Times New Roman" w:cs="Times New Roman" w:eastAsia="Times New Roman" w:hAnsi="Times New Roman"/>
                  <w:sz w:val="18"/>
                  <w:szCs w:val="18"/>
                  <w:color w:val="0000EE"/>
                </w:rPr>
                <w:t>Financial Condition</w:t>
              </w:r>
            </w:hyperlink>
          </w:p>
        </w:tc>
        <w:tc>
          <w:tcPr>
            <w:tcW w:w="2340" w:type="dxa"/>
            <w:vAlign w:val="bottom"/>
          </w:tcPr>
          <w:p>
            <w:pPr>
              <w:spacing w:after="0"/>
              <w:rPr>
                <w:sz w:val="17"/>
                <w:szCs w:val="17"/>
                <w:color w:val="auto"/>
              </w:rPr>
            </w:pPr>
          </w:p>
        </w:tc>
        <w:tc>
          <w:tcPr>
            <w:tcW w:w="25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28</w:t>
            </w:r>
          </w:p>
        </w:tc>
      </w:tr>
      <w:tr>
        <w:trPr>
          <w:trHeight w:val="20"/>
        </w:trPr>
        <w:tc>
          <w:tcPr>
            <w:tcW w:w="1420" w:type="dxa"/>
            <w:vAlign w:val="bottom"/>
            <w:shd w:val="clear" w:color="auto" w:fill="0000EE"/>
          </w:tcPr>
          <w:p>
            <w:pPr>
              <w:spacing w:after="0" w:line="20" w:lineRule="exact"/>
              <w:rPr>
                <w:sz w:val="1"/>
                <w:szCs w:val="1"/>
                <w:color w:val="auto"/>
              </w:rPr>
            </w:pPr>
          </w:p>
        </w:tc>
        <w:tc>
          <w:tcPr>
            <w:tcW w:w="1000" w:type="dxa"/>
            <w:vAlign w:val="bottom"/>
            <w:gridSpan w:val="3"/>
          </w:tcPr>
          <w:p>
            <w:pPr>
              <w:spacing w:after="0" w:line="20" w:lineRule="exact"/>
              <w:rPr>
                <w:sz w:val="1"/>
                <w:szCs w:val="1"/>
                <w:color w:val="auto"/>
              </w:rPr>
            </w:pPr>
          </w:p>
        </w:tc>
        <w:tc>
          <w:tcPr>
            <w:tcW w:w="5680" w:type="dxa"/>
            <w:vAlign w:val="bottom"/>
            <w:gridSpan w:val="5"/>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r>
      <w:tr>
        <w:trPr>
          <w:trHeight w:val="196"/>
        </w:trPr>
        <w:tc>
          <w:tcPr>
            <w:tcW w:w="8100" w:type="dxa"/>
            <w:vAlign w:val="bottom"/>
            <w:gridSpan w:val="9"/>
          </w:tcPr>
          <w:p>
            <w:pPr>
              <w:spacing w:after="0" w:line="196" w:lineRule="exact"/>
              <w:rPr>
                <w:rFonts w:ascii="Times New Roman" w:cs="Times New Roman" w:eastAsia="Times New Roman" w:hAnsi="Times New Roman"/>
                <w:sz w:val="18"/>
                <w:szCs w:val="18"/>
                <w:color w:val="0000EE"/>
              </w:rPr>
            </w:pPr>
            <w:hyperlink w:anchor="page25">
              <w:r>
                <w:rPr>
                  <w:rFonts w:ascii="Times New Roman" w:cs="Times New Roman" w:eastAsia="Times New Roman" w:hAnsi="Times New Roman"/>
                  <w:sz w:val="18"/>
                  <w:szCs w:val="18"/>
                  <w:color w:val="0000EE"/>
                </w:rPr>
                <w:t>Recent Accounting Requirements</w:t>
              </w:r>
            </w:hyperlink>
          </w:p>
        </w:tc>
        <w:tc>
          <w:tcPr>
            <w:tcW w:w="25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32</w:t>
            </w:r>
          </w:p>
        </w:tc>
      </w:tr>
      <w:tr>
        <w:trPr>
          <w:trHeight w:val="20"/>
        </w:trPr>
        <w:tc>
          <w:tcPr>
            <w:tcW w:w="14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r>
    </w:tbl>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NON-GAAP FINANCIAL MEASURES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report our financial results in conformity with accounting principles generally accepted in the United States of America, or GAAP, and also communicate with investors using certain non-GAAP financial measures. These non-GAAP financial measures are not in accordance with, nor are they a substitute for or superior to, the comparable GAAP financial measures. These non-GAAP financial measures are intended to supplement the presentation of our financial results that are prepared in accordance with GAAP. Based upon feedback from investors and financial analysts, we believe that the supplemental non-GAAP financial measures we provide are useful to their assessments of our performance and operating trends, as well as liquidity.</w:t>
      </w:r>
    </w:p>
    <w:p>
      <w:pPr>
        <w:spacing w:after="0" w:line="18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Our non-GAAP financial measures exclude the impact of certain events, activities or strategic decisions. The accounting effects of these events, activities or decisions, which are included in the GAAP financial measures, may make it difficult to assess our underlying performance in a single period. By excluding the accounting effects, positive or negative, of certain items (e.g., restructuring charges, legal settlements, certain effects of strategic transactions and related costs, losses from debt extinguishments, gains and losses from curtailment and settlement of pension obligations, gains or losses on sales of certain assets, and other items), we believe that we are providing meaningful supplemental information to facilitate an understanding of our core operating results and liquidity measures. These non-GAAP financial measures are used internally to evaluate trends in our underlying performance, as well as to facilitate comparison to the results of competitors for a single period. While some of the items we exclude from GAAP financial measures recur, they tend to be disparate in amount, frequency, or timing.</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use the following non-GAAP financial measures in this MD&amp;A:</w:t>
      </w:r>
    </w:p>
    <w:p>
      <w:pPr>
        <w:spacing w:after="0" w:line="223" w:lineRule="exact"/>
        <w:rPr>
          <w:sz w:val="20"/>
          <w:szCs w:val="20"/>
          <w:color w:val="auto"/>
        </w:rPr>
      </w:pPr>
    </w:p>
    <w:p>
      <w:pPr>
        <w:jc w:val="both"/>
        <w:ind w:left="340" w:hanging="332"/>
        <w:spacing w:after="0" w:line="258" w:lineRule="auto"/>
        <w:tabs>
          <w:tab w:leader="none" w:pos="304"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Sales change ex. currency </w:t>
      </w:r>
      <w:r>
        <w:rPr>
          <w:rFonts w:ascii="Times New Roman" w:cs="Times New Roman" w:eastAsia="Times New Roman" w:hAnsi="Times New Roman"/>
          <w:sz w:val="18"/>
          <w:szCs w:val="18"/>
          <w:color w:val="auto"/>
        </w:rPr>
        <w:t>refers to the increase or decrease in sales excluding the estimated impact of foreign currency translation. The estimated impact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foreign currency translation is calculated on a constant currency basis, with prior period results translated at current period average exchange rates to exclude the effect of foreign currency fluctuations.</w:t>
      </w:r>
    </w:p>
    <w:p>
      <w:pPr>
        <w:spacing w:after="0" w:line="1" w:lineRule="exact"/>
        <w:rPr>
          <w:rFonts w:ascii="Times New Roman" w:cs="Times New Roman" w:eastAsia="Times New Roman" w:hAnsi="Times New Roman"/>
          <w:sz w:val="18"/>
          <w:szCs w:val="18"/>
          <w:color w:val="auto"/>
        </w:rPr>
      </w:pPr>
    </w:p>
    <w:p>
      <w:pPr>
        <w:ind w:left="340" w:hanging="332"/>
        <w:spacing w:after="0" w:line="261" w:lineRule="auto"/>
        <w:tabs>
          <w:tab w:leader="none" w:pos="42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Organic sales change </w:t>
      </w:r>
      <w:r>
        <w:rPr>
          <w:rFonts w:ascii="Times New Roman" w:cs="Times New Roman" w:eastAsia="Times New Roman" w:hAnsi="Times New Roman"/>
          <w:sz w:val="18"/>
          <w:szCs w:val="18"/>
          <w:color w:val="auto"/>
        </w:rPr>
        <w:t>refers to the increase or decrease in sales excluding the estimated impact of foreign currency translation, product line exits,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acquisitions and divestitures, and, where applicable, an extra week in our fiscal year.</w:t>
      </w:r>
    </w:p>
    <w:p>
      <w:pPr>
        <w:spacing w:after="0" w:line="180"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We believe that sales change ex. currency and organic sales change assist investors in evaluating the sales growth from our businesses and better enable them to evaluate our results from period to period.</w:t>
      </w:r>
    </w:p>
    <w:p>
      <w:pPr>
        <w:spacing w:after="0" w:line="160" w:lineRule="exact"/>
        <w:rPr>
          <w:sz w:val="20"/>
          <w:szCs w:val="20"/>
          <w:color w:val="auto"/>
        </w:rPr>
      </w:pPr>
    </w:p>
    <w:p>
      <w:pPr>
        <w:jc w:val="both"/>
        <w:ind w:left="340" w:hanging="332"/>
        <w:spacing w:after="0" w:line="258" w:lineRule="auto"/>
        <w:tabs>
          <w:tab w:leader="none" w:pos="317"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Free cash flow </w:t>
      </w:r>
      <w:r>
        <w:rPr>
          <w:rFonts w:ascii="Times New Roman" w:cs="Times New Roman" w:eastAsia="Times New Roman" w:hAnsi="Times New Roman"/>
          <w:sz w:val="18"/>
          <w:szCs w:val="18"/>
          <w:color w:val="auto"/>
        </w:rPr>
        <w:t>refers to cash flow from operations, less payments for property, plant and equipment, software and other deferred charges, plus proceeds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from sales of property, plant and equipment, plus (minus) net proceeds from sales (purchases) of investments. We believe that free cash flow assists investors by indicating the amount of cash we have available for debt reductions, dividends, share repurchases, and acquisitions.</w:t>
      </w:r>
    </w:p>
    <w:p>
      <w:pPr>
        <w:spacing w:after="0" w:line="1" w:lineRule="exact"/>
        <w:rPr>
          <w:rFonts w:ascii="Times New Roman" w:cs="Times New Roman" w:eastAsia="Times New Roman" w:hAnsi="Times New Roman"/>
          <w:sz w:val="18"/>
          <w:szCs w:val="18"/>
          <w:color w:val="auto"/>
        </w:rPr>
      </w:pPr>
    </w:p>
    <w:p>
      <w:pPr>
        <w:jc w:val="both"/>
        <w:ind w:left="340" w:hanging="332"/>
        <w:spacing w:after="0" w:line="252" w:lineRule="auto"/>
        <w:tabs>
          <w:tab w:leader="none" w:pos="317"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Operational working capital </w:t>
      </w:r>
      <w:r>
        <w:rPr>
          <w:rFonts w:ascii="Times New Roman" w:cs="Times New Roman" w:eastAsia="Times New Roman" w:hAnsi="Times New Roman"/>
          <w:sz w:val="18"/>
          <w:szCs w:val="18"/>
          <w:color w:val="auto"/>
        </w:rPr>
        <w:t>refers to trade accounts receivable and inventories, net of accounts payable, and excludes cash and cash equivalents, short-term borrowings, deferred taxes, other current assets and other current liabilities, as well as net current assets or liabilities held-for-sale. We believe that operational working capital assists investors in assessing our working capital requirements because it excludes the impact of fluctuations attributable to our financing and other activities (which affect cash and cash equivalents, deferred taxes, other current assets, and other current liabilities) that tend to be disparate in amount, frequency, or timing, and that may increase the volatility of working capital as a percentage of sales from period to period. The items excluded from this measure are not significantly influenced by our day-to-day activities managed at the operating level and do not necessarily reflect the underlying trends in our operations.</w:t>
      </w:r>
    </w:p>
    <w:p>
      <w:pPr>
        <w:spacing w:after="0" w:line="18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7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280" w:type="dxa"/>
            <w:vAlign w:val="bottom"/>
            <w:gridSpan w:val="3"/>
          </w:tcPr>
          <w:p>
            <w:pPr>
              <w:spacing w:after="0"/>
              <w:rPr>
                <w:rFonts w:ascii="Times New Roman" w:cs="Times New Roman" w:eastAsia="Times New Roman" w:hAnsi="Times New Roman"/>
                <w:sz w:val="18"/>
                <w:szCs w:val="18"/>
                <w:color w:val="0000EE"/>
              </w:rPr>
            </w:pPr>
            <w:hyperlink w:anchor="page1">
              <w:r>
                <w:rPr>
                  <w:rFonts w:ascii="Times New Roman" w:cs="Times New Roman" w:eastAsia="Times New Roman" w:hAnsi="Times New Roman"/>
                  <w:sz w:val="18"/>
                  <w:szCs w:val="18"/>
                  <w:color w:val="0000EE"/>
                </w:rPr>
                <w:t>Table of Contents</w:t>
              </w:r>
            </w:hyperlink>
          </w:p>
        </w:tc>
        <w:tc>
          <w:tcPr>
            <w:tcW w:w="2900" w:type="dxa"/>
            <w:vAlign w:val="bottom"/>
          </w:tcPr>
          <w:p>
            <w:pPr>
              <w:spacing w:after="0"/>
              <w:rPr>
                <w:sz w:val="18"/>
                <w:szCs w:val="18"/>
                <w:color w:val="auto"/>
              </w:rPr>
            </w:pPr>
          </w:p>
        </w:tc>
        <w:tc>
          <w:tcPr>
            <w:tcW w:w="2240" w:type="dxa"/>
            <w:vAlign w:val="bottom"/>
          </w:tcPr>
          <w:p>
            <w:pPr>
              <w:spacing w:after="0"/>
              <w:rPr>
                <w:sz w:val="18"/>
                <w:szCs w:val="18"/>
                <w:color w:val="auto"/>
              </w:rPr>
            </w:pPr>
          </w:p>
        </w:tc>
      </w:tr>
      <w:tr>
        <w:trPr>
          <w:trHeight w:val="453"/>
        </w:trPr>
        <w:tc>
          <w:tcPr>
            <w:tcW w:w="1280" w:type="dxa"/>
            <w:vAlign w:val="bottom"/>
            <w:tcBorders>
              <w:top w:val="single" w:sz="8" w:color="0000EE"/>
            </w:tcBorders>
          </w:tcPr>
          <w:p>
            <w:pPr>
              <w:spacing w:after="0"/>
              <w:rPr>
                <w:sz w:val="24"/>
                <w:szCs w:val="24"/>
                <w:color w:val="auto"/>
              </w:rPr>
            </w:pPr>
          </w:p>
        </w:tc>
        <w:tc>
          <w:tcPr>
            <w:tcW w:w="1160" w:type="dxa"/>
            <w:vAlign w:val="bottom"/>
          </w:tcPr>
          <w:p>
            <w:pPr>
              <w:spacing w:after="0"/>
              <w:rPr>
                <w:sz w:val="24"/>
                <w:szCs w:val="24"/>
                <w:color w:val="auto"/>
              </w:rPr>
            </w:pPr>
          </w:p>
        </w:tc>
        <w:tc>
          <w:tcPr>
            <w:tcW w:w="3840" w:type="dxa"/>
            <w:vAlign w:val="bottom"/>
          </w:tcPr>
          <w:p>
            <w:pPr>
              <w:spacing w:after="0"/>
              <w:rPr>
                <w:sz w:val="24"/>
                <w:szCs w:val="24"/>
                <w:color w:val="auto"/>
              </w:rPr>
            </w:pPr>
          </w:p>
        </w:tc>
        <w:tc>
          <w:tcPr>
            <w:tcW w:w="2900" w:type="dxa"/>
            <w:vAlign w:val="bottom"/>
          </w:tcPr>
          <w:p>
            <w:pPr>
              <w:spacing w:after="0"/>
              <w:rPr>
                <w:sz w:val="24"/>
                <w:szCs w:val="24"/>
                <w:color w:val="auto"/>
              </w:rPr>
            </w:pPr>
          </w:p>
        </w:tc>
        <w:tc>
          <w:tcPr>
            <w:tcW w:w="2240" w:type="dxa"/>
            <w:vAlign w:val="bottom"/>
          </w:tcPr>
          <w:p>
            <w:pPr>
              <w:jc w:val="center"/>
              <w:ind w:left="70"/>
              <w:spacing w:after="0"/>
              <w:rPr>
                <w:sz w:val="20"/>
                <w:szCs w:val="20"/>
                <w:color w:val="auto"/>
              </w:rPr>
            </w:pPr>
            <w:r>
              <w:rPr>
                <w:rFonts w:ascii="Times New Roman" w:cs="Times New Roman" w:eastAsia="Times New Roman" w:hAnsi="Times New Roman"/>
                <w:sz w:val="18"/>
                <w:szCs w:val="18"/>
                <w:color w:val="auto"/>
                <w:w w:val="99"/>
              </w:rPr>
              <w:t>Avery Dennison Corporation</w:t>
            </w:r>
          </w:p>
        </w:tc>
      </w:tr>
      <w:tr>
        <w:trPr>
          <w:trHeight w:val="392"/>
        </w:trPr>
        <w:tc>
          <w:tcPr>
            <w:tcW w:w="24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b w:val="1"/>
                <w:bCs w:val="1"/>
                <w:color w:val="auto"/>
                <w:w w:val="99"/>
              </w:rPr>
              <w:t>OVERVIEW AND OUTLOOK</w:t>
            </w:r>
          </w:p>
        </w:tc>
        <w:tc>
          <w:tcPr>
            <w:tcW w:w="3840" w:type="dxa"/>
            <w:vAlign w:val="bottom"/>
          </w:tcPr>
          <w:p>
            <w:pPr>
              <w:spacing w:after="0"/>
              <w:rPr>
                <w:sz w:val="24"/>
                <w:szCs w:val="24"/>
                <w:color w:val="auto"/>
              </w:rPr>
            </w:pPr>
          </w:p>
        </w:tc>
        <w:tc>
          <w:tcPr>
            <w:tcW w:w="2900" w:type="dxa"/>
            <w:vAlign w:val="bottom"/>
          </w:tcPr>
          <w:p>
            <w:pPr>
              <w:spacing w:after="0"/>
              <w:rPr>
                <w:sz w:val="24"/>
                <w:szCs w:val="24"/>
                <w:color w:val="auto"/>
              </w:rPr>
            </w:pPr>
          </w:p>
        </w:tc>
        <w:tc>
          <w:tcPr>
            <w:tcW w:w="2240" w:type="dxa"/>
            <w:vAlign w:val="bottom"/>
          </w:tcPr>
          <w:p>
            <w:pPr>
              <w:spacing w:after="0"/>
              <w:rPr>
                <w:sz w:val="24"/>
                <w:szCs w:val="24"/>
                <w:color w:val="auto"/>
              </w:rPr>
            </w:pPr>
          </w:p>
        </w:tc>
      </w:tr>
      <w:tr>
        <w:trPr>
          <w:trHeight w:val="453"/>
        </w:trPr>
        <w:tc>
          <w:tcPr>
            <w:tcW w:w="628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Net Sales</w:t>
            </w:r>
          </w:p>
        </w:tc>
        <w:tc>
          <w:tcPr>
            <w:tcW w:w="2900" w:type="dxa"/>
            <w:vAlign w:val="bottom"/>
          </w:tcPr>
          <w:p>
            <w:pPr>
              <w:spacing w:after="0"/>
              <w:rPr>
                <w:sz w:val="24"/>
                <w:szCs w:val="24"/>
                <w:color w:val="auto"/>
              </w:rPr>
            </w:pPr>
          </w:p>
        </w:tc>
        <w:tc>
          <w:tcPr>
            <w:tcW w:w="2240" w:type="dxa"/>
            <w:vAlign w:val="bottom"/>
          </w:tcPr>
          <w:p>
            <w:pPr>
              <w:spacing w:after="0"/>
              <w:rPr>
                <w:sz w:val="24"/>
                <w:szCs w:val="24"/>
                <w:color w:val="auto"/>
              </w:rPr>
            </w:pPr>
          </w:p>
        </w:tc>
      </w:tr>
      <w:tr>
        <w:trPr>
          <w:trHeight w:val="432"/>
        </w:trPr>
        <w:tc>
          <w:tcPr>
            <w:tcW w:w="62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The factors impacting reported sales change are shown in the table below:</w:t>
            </w:r>
          </w:p>
        </w:tc>
        <w:tc>
          <w:tcPr>
            <w:tcW w:w="2900" w:type="dxa"/>
            <w:vAlign w:val="bottom"/>
          </w:tcPr>
          <w:p>
            <w:pPr>
              <w:spacing w:after="0"/>
              <w:rPr>
                <w:sz w:val="24"/>
                <w:szCs w:val="24"/>
                <w:color w:val="auto"/>
              </w:rPr>
            </w:pPr>
          </w:p>
        </w:tc>
        <w:tc>
          <w:tcPr>
            <w:tcW w:w="2240" w:type="dxa"/>
            <w:vAlign w:val="bottom"/>
          </w:tcPr>
          <w:p>
            <w:pPr>
              <w:spacing w:after="0"/>
              <w:rPr>
                <w:sz w:val="24"/>
                <w:szCs w:val="24"/>
                <w:color w:val="auto"/>
              </w:rPr>
            </w:pPr>
          </w:p>
        </w:tc>
      </w:tr>
      <w:tr>
        <w:trPr>
          <w:trHeight w:val="410"/>
        </w:trPr>
        <w:tc>
          <w:tcPr>
            <w:tcW w:w="12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3840" w:type="dxa"/>
            <w:vAlign w:val="bottom"/>
          </w:tcPr>
          <w:p>
            <w:pPr>
              <w:spacing w:after="0"/>
              <w:rPr>
                <w:sz w:val="24"/>
                <w:szCs w:val="24"/>
                <w:color w:val="auto"/>
              </w:rPr>
            </w:pPr>
          </w:p>
        </w:tc>
        <w:tc>
          <w:tcPr>
            <w:tcW w:w="2900" w:type="dxa"/>
            <w:vAlign w:val="bottom"/>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2240" w:type="dxa"/>
            <w:vAlign w:val="bottom"/>
          </w:tcPr>
          <w:p>
            <w:pPr>
              <w:jc w:val="center"/>
              <w:ind w:left="50"/>
              <w:spacing w:after="0"/>
              <w:rPr>
                <w:sz w:val="20"/>
                <w:szCs w:val="20"/>
                <w:color w:val="auto"/>
              </w:rPr>
            </w:pPr>
            <w:r>
              <w:rPr>
                <w:rFonts w:ascii="Times New Roman" w:cs="Times New Roman" w:eastAsia="Times New Roman" w:hAnsi="Times New Roman"/>
                <w:sz w:val="18"/>
                <w:szCs w:val="18"/>
                <w:b w:val="1"/>
                <w:bCs w:val="1"/>
                <w:color w:val="auto"/>
                <w:w w:val="99"/>
              </w:rPr>
              <w:t>Nine Months Ended</w:t>
            </w:r>
          </w:p>
        </w:tc>
      </w:tr>
      <w:tr>
        <w:trPr>
          <w:trHeight w:val="238"/>
        </w:trPr>
        <w:tc>
          <w:tcPr>
            <w:tcW w:w="128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spacing w:after="0"/>
              <w:rPr>
                <w:sz w:val="20"/>
                <w:szCs w:val="20"/>
                <w:color w:val="auto"/>
              </w:rPr>
            </w:pPr>
          </w:p>
        </w:tc>
        <w:tc>
          <w:tcPr>
            <w:tcW w:w="3840" w:type="dxa"/>
            <w:vAlign w:val="bottom"/>
            <w:tcBorders>
              <w:bottom w:val="single" w:sz="8" w:color="auto"/>
            </w:tcBorders>
          </w:tcPr>
          <w:p>
            <w:pPr>
              <w:spacing w:after="0"/>
              <w:rPr>
                <w:sz w:val="20"/>
                <w:szCs w:val="20"/>
                <w:color w:val="auto"/>
              </w:rPr>
            </w:pPr>
          </w:p>
        </w:tc>
        <w:tc>
          <w:tcPr>
            <w:tcW w:w="290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September 30, 2017</w:t>
            </w:r>
          </w:p>
        </w:tc>
        <w:tc>
          <w:tcPr>
            <w:tcW w:w="2240" w:type="dxa"/>
            <w:vAlign w:val="bottom"/>
            <w:tcBorders>
              <w:bottom w:val="single" w:sz="8" w:color="auto"/>
            </w:tcBorders>
          </w:tcPr>
          <w:p>
            <w:pPr>
              <w:jc w:val="center"/>
              <w:ind w:left="90"/>
              <w:spacing w:after="0"/>
              <w:rPr>
                <w:sz w:val="20"/>
                <w:szCs w:val="20"/>
                <w:color w:val="auto"/>
              </w:rPr>
            </w:pPr>
            <w:r>
              <w:rPr>
                <w:rFonts w:ascii="Times New Roman" w:cs="Times New Roman" w:eastAsia="Times New Roman" w:hAnsi="Times New Roman"/>
                <w:sz w:val="18"/>
                <w:szCs w:val="18"/>
                <w:b w:val="1"/>
                <w:bCs w:val="1"/>
                <w:color w:val="auto"/>
                <w:w w:val="99"/>
              </w:rPr>
              <w:t>September 30, 2017</w:t>
            </w:r>
          </w:p>
        </w:tc>
      </w:tr>
      <w:tr>
        <w:trPr>
          <w:trHeight w:val="210"/>
        </w:trPr>
        <w:tc>
          <w:tcPr>
            <w:tcW w:w="62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Reported sales change</w:t>
            </w:r>
          </w:p>
        </w:tc>
        <w:tc>
          <w:tcPr>
            <w:tcW w:w="290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11%</w:t>
            </w:r>
          </w:p>
        </w:tc>
        <w:tc>
          <w:tcPr>
            <w:tcW w:w="2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8%</w:t>
            </w:r>
          </w:p>
        </w:tc>
      </w:tr>
      <w:tr>
        <w:trPr>
          <w:trHeight w:val="216"/>
        </w:trPr>
        <w:tc>
          <w:tcPr>
            <w:tcW w:w="6280" w:type="dxa"/>
            <w:vAlign w:val="bottom"/>
            <w:tcBorders>
              <w:bottom w:val="single" w:sz="8" w:color="auto"/>
            </w:tcBorders>
            <w:gridSpan w:val="3"/>
          </w:tcPr>
          <w:p>
            <w:pPr>
              <w:ind w:left="180"/>
              <w:spacing w:after="0"/>
              <w:rPr>
                <w:sz w:val="20"/>
                <w:szCs w:val="20"/>
                <w:color w:val="auto"/>
              </w:rPr>
            </w:pPr>
            <w:r>
              <w:rPr>
                <w:rFonts w:ascii="Times New Roman" w:cs="Times New Roman" w:eastAsia="Times New Roman" w:hAnsi="Times New Roman"/>
                <w:sz w:val="18"/>
                <w:szCs w:val="18"/>
                <w:color w:val="auto"/>
              </w:rPr>
              <w:t>Foreign currency translation</w:t>
            </w:r>
          </w:p>
        </w:tc>
        <w:tc>
          <w:tcPr>
            <w:tcW w:w="290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(1)</w:t>
            </w:r>
          </w:p>
        </w:tc>
        <w:tc>
          <w:tcPr>
            <w:tcW w:w="224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6280" w:type="dxa"/>
            <w:vAlign w:val="bottom"/>
            <w:tcBorders>
              <w:bottom w:val="single" w:sz="8" w:color="auto"/>
            </w:tcBorders>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Sales change ex. currency</w:t>
            </w:r>
          </w:p>
        </w:tc>
        <w:tc>
          <w:tcPr>
            <w:tcW w:w="290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10%</w:t>
            </w:r>
          </w:p>
        </w:tc>
        <w:tc>
          <w:tcPr>
            <w:tcW w:w="2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8%</w:t>
            </w:r>
          </w:p>
        </w:tc>
      </w:tr>
      <w:tr>
        <w:trPr>
          <w:trHeight w:val="210"/>
        </w:trPr>
        <w:tc>
          <w:tcPr>
            <w:tcW w:w="6280" w:type="dxa"/>
            <w:vAlign w:val="bottom"/>
            <w:tcBorders>
              <w:bottom w:val="single" w:sz="8" w:color="auto"/>
            </w:tcBorders>
            <w:gridSpan w:val="3"/>
          </w:tcPr>
          <w:p>
            <w:pPr>
              <w:ind w:left="180"/>
              <w:spacing w:after="0"/>
              <w:rPr>
                <w:sz w:val="20"/>
                <w:szCs w:val="20"/>
                <w:color w:val="auto"/>
              </w:rPr>
            </w:pPr>
            <w:r>
              <w:rPr>
                <w:rFonts w:ascii="Times New Roman" w:cs="Times New Roman" w:eastAsia="Times New Roman" w:hAnsi="Times New Roman"/>
                <w:sz w:val="18"/>
                <w:szCs w:val="18"/>
                <w:color w:val="auto"/>
              </w:rPr>
              <w:t>Acquisitions/divestitures</w:t>
            </w:r>
          </w:p>
        </w:tc>
        <w:tc>
          <w:tcPr>
            <w:tcW w:w="290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(5)</w:t>
            </w:r>
          </w:p>
        </w:tc>
        <w:tc>
          <w:tcPr>
            <w:tcW w:w="22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(4)</w:t>
            </w:r>
          </w:p>
        </w:tc>
      </w:tr>
      <w:tr>
        <w:trPr>
          <w:trHeight w:val="217"/>
        </w:trPr>
        <w:tc>
          <w:tcPr>
            <w:tcW w:w="6280" w:type="dxa"/>
            <w:vAlign w:val="bottom"/>
            <w:tcBorders>
              <w:bottom w:val="single" w:sz="8" w:color="auto"/>
            </w:tcBorders>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Organic sales change</w:t>
            </w:r>
          </w:p>
        </w:tc>
        <w:tc>
          <w:tcPr>
            <w:tcW w:w="290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5%</w:t>
            </w:r>
          </w:p>
        </w:tc>
        <w:tc>
          <w:tcPr>
            <w:tcW w:w="2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4%</w:t>
            </w: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the three and nine months ended September 30, 2017, net sales increased on an organic basis due to higher volume.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Net Income</w:t>
      </w:r>
    </w:p>
    <w:p>
      <w:pPr>
        <w:spacing w:after="0" w:line="22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Net income increased approximately $83 million in the first nine months of 2017 compared to the same period last year. Major factors affecting net income in the first nine months of 2017 included:</w:t>
      </w:r>
    </w:p>
    <w:p>
      <w:pPr>
        <w:sectPr>
          <w:pgSz w:w="11900" w:h="16838" w:orient="portrait"/>
          <w:cols w:equalWidth="0" w:num="1">
            <w:col w:w="11420"/>
          </w:cols>
          <w:pgMar w:left="240" w:top="108" w:right="239" w:bottom="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color w:val="auto"/>
        </w:rPr>
        <w:t>Positive factors:</w:t>
      </w:r>
    </w:p>
    <w:p>
      <w:pPr>
        <w:spacing w:after="0" w:line="225" w:lineRule="exact"/>
        <w:rPr>
          <w:sz w:val="20"/>
          <w:szCs w:val="20"/>
          <w:color w:val="auto"/>
        </w:rPr>
      </w:pPr>
    </w:p>
    <w:p>
      <w:pPr>
        <w:ind w:left="620" w:hanging="288"/>
        <w:spacing w:after="0"/>
        <w:tabs>
          <w:tab w:leader="none" w:pos="6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Volume/mix</w:t>
      </w:r>
    </w:p>
    <w:p>
      <w:pPr>
        <w:spacing w:after="0" w:line="27" w:lineRule="exact"/>
        <w:rPr>
          <w:rFonts w:ascii="Times New Roman" w:cs="Times New Roman" w:eastAsia="Times New Roman" w:hAnsi="Times New Roman"/>
          <w:sz w:val="18"/>
          <w:szCs w:val="18"/>
          <w:color w:val="auto"/>
        </w:rPr>
      </w:pPr>
    </w:p>
    <w:p>
      <w:pPr>
        <w:ind w:left="620" w:hanging="288"/>
        <w:spacing w:after="0"/>
        <w:tabs>
          <w:tab w:leader="none" w:pos="6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Benefits from productivity initiatives, including savings from restructuring actions, net of transition costs</w:t>
      </w:r>
    </w:p>
    <w:p>
      <w:pPr>
        <w:spacing w:after="0" w:line="9" w:lineRule="exact"/>
        <w:rPr>
          <w:rFonts w:ascii="Times New Roman" w:cs="Times New Roman" w:eastAsia="Times New Roman" w:hAnsi="Times New Roman"/>
          <w:sz w:val="18"/>
          <w:szCs w:val="18"/>
          <w:color w:val="auto"/>
        </w:rPr>
      </w:pPr>
    </w:p>
    <w:p>
      <w:pPr>
        <w:ind w:left="620" w:hanging="288"/>
        <w:spacing w:after="0"/>
        <w:tabs>
          <w:tab w:leader="none" w:pos="6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Prior year loss from settlement of pension obligations</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Offsetting factors:</w:t>
      </w:r>
    </w:p>
    <w:p>
      <w:pPr>
        <w:spacing w:after="0" w:line="225" w:lineRule="exact"/>
        <w:rPr>
          <w:sz w:val="20"/>
          <w:szCs w:val="20"/>
          <w:color w:val="auto"/>
        </w:rPr>
      </w:pPr>
    </w:p>
    <w:p>
      <w:pPr>
        <w:ind w:left="620" w:hanging="288"/>
        <w:spacing w:after="0"/>
        <w:tabs>
          <w:tab w:leader="none" w:pos="6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Higher employee-related costs</w:t>
      </w:r>
    </w:p>
    <w:p>
      <w:pPr>
        <w:spacing w:after="0" w:line="27" w:lineRule="exact"/>
        <w:rPr>
          <w:rFonts w:ascii="Times New Roman" w:cs="Times New Roman" w:eastAsia="Times New Roman" w:hAnsi="Times New Roman"/>
          <w:sz w:val="18"/>
          <w:szCs w:val="18"/>
          <w:color w:val="auto"/>
        </w:rPr>
      </w:pPr>
    </w:p>
    <w:p>
      <w:pPr>
        <w:ind w:left="620" w:hanging="288"/>
        <w:spacing w:after="0"/>
        <w:tabs>
          <w:tab w:leader="none" w:pos="6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net impact of pricing and raw material costs</w:t>
      </w:r>
    </w:p>
    <w:p>
      <w:pPr>
        <w:spacing w:after="0" w:line="9" w:lineRule="exact"/>
        <w:rPr>
          <w:rFonts w:ascii="Times New Roman" w:cs="Times New Roman" w:eastAsia="Times New Roman" w:hAnsi="Times New Roman"/>
          <w:sz w:val="18"/>
          <w:szCs w:val="18"/>
          <w:color w:val="auto"/>
        </w:rPr>
      </w:pPr>
    </w:p>
    <w:p>
      <w:pPr>
        <w:ind w:left="620" w:hanging="288"/>
        <w:spacing w:after="0"/>
        <w:tabs>
          <w:tab w:leader="none" w:pos="6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Higher restructuring charges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Acquisitions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During the first nine months of 2017, we completed the 2017 Acquisitions, which were not material, individually or in the aggregate, to our unaudited Condensed Consolidated Financial Statements. Refer to Note 2, “Acquisitions,” to the unaudited Condensed Consolidated Financial Statements for more information.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Cost Reduction Actions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2015/2016 Actions</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During the nine months ended September 30, 2017, we recorded $24.4 million in restructuring charges, net of reversals, related to the 2015/2016 Actions. These charges consisted of severance and related costs for the reduction of approximately 670 positions, lease cancellation costs, and asset impairment charges.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Impact of Cost Reduction Actions</w:t>
      </w:r>
    </w:p>
    <w:p>
      <w:pPr>
        <w:spacing w:after="0" w:line="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anticipate incremental savings, net of transition costs, from the 2015/2016 Actions to be approximately $50 million to $55 million in 2017. We estimate cash restructuring costs to be approximately $35 million in 2017.</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Restructuring charges were included in “Other expense, net” in the unaudited Condensed Consolidated Statements of Income. Refer to Note 9, “Cost Reduction Actions,” to the unaudited Condensed Consolidated Financial Statements for more information.</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7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Free Cash Flow</w:t>
            </w:r>
          </w:p>
        </w:tc>
        <w:tc>
          <w:tcPr>
            <w:tcW w:w="130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940" w:type="dxa"/>
            <w:vAlign w:val="bottom"/>
          </w:tcPr>
          <w:p>
            <w:pPr>
              <w:spacing w:after="0"/>
              <w:rPr>
                <w:sz w:val="20"/>
                <w:szCs w:val="20"/>
                <w:color w:val="auto"/>
              </w:rPr>
            </w:pPr>
          </w:p>
        </w:tc>
      </w:tr>
      <w:tr>
        <w:trPr>
          <w:trHeight w:val="432"/>
        </w:trPr>
        <w:tc>
          <w:tcPr>
            <w:tcW w:w="6780" w:type="dxa"/>
            <w:vAlign w:val="bottom"/>
          </w:tcPr>
          <w:p>
            <w:pPr>
              <w:spacing w:after="0"/>
              <w:rPr>
                <w:sz w:val="24"/>
                <w:szCs w:val="24"/>
                <w:color w:val="auto"/>
              </w:rPr>
            </w:pPr>
          </w:p>
        </w:tc>
        <w:tc>
          <w:tcPr>
            <w:tcW w:w="1300" w:type="dxa"/>
            <w:vAlign w:val="bottom"/>
            <w:tcBorders>
              <w:bottom w:val="single" w:sz="8" w:color="auto"/>
            </w:tcBorders>
          </w:tcPr>
          <w:p>
            <w:pPr>
              <w:spacing w:after="0"/>
              <w:rPr>
                <w:sz w:val="24"/>
                <w:szCs w:val="24"/>
                <w:color w:val="auto"/>
              </w:rPr>
            </w:pPr>
          </w:p>
        </w:tc>
        <w:tc>
          <w:tcPr>
            <w:tcW w:w="17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Nine Months Ended</w:t>
            </w:r>
          </w:p>
        </w:tc>
        <w:tc>
          <w:tcPr>
            <w:tcW w:w="66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r>
      <w:tr>
        <w:trPr>
          <w:trHeight w:val="210"/>
        </w:trPr>
        <w:tc>
          <w:tcPr>
            <w:tcW w:w="67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(In millions)</w:t>
            </w:r>
          </w:p>
        </w:tc>
        <w:tc>
          <w:tcPr>
            <w:tcW w:w="3040" w:type="dxa"/>
            <w:vAlign w:val="bottom"/>
            <w:tcBorders>
              <w:bottom w:val="single" w:sz="8" w:color="auto"/>
            </w:tcBorders>
            <w:gridSpan w:val="2"/>
          </w:tcPr>
          <w:p>
            <w:pPr>
              <w:jc w:val="right"/>
              <w:ind w:right="870"/>
              <w:spacing w:after="0"/>
              <w:rPr>
                <w:sz w:val="20"/>
                <w:szCs w:val="20"/>
                <w:color w:val="auto"/>
              </w:rPr>
            </w:pPr>
            <w:r>
              <w:rPr>
                <w:rFonts w:ascii="Times New Roman" w:cs="Times New Roman" w:eastAsia="Times New Roman" w:hAnsi="Times New Roman"/>
                <w:sz w:val="18"/>
                <w:szCs w:val="18"/>
                <w:b w:val="1"/>
                <w:bCs w:val="1"/>
                <w:color w:val="auto"/>
              </w:rPr>
              <w:t>September 30, 2017</w:t>
            </w:r>
          </w:p>
        </w:tc>
        <w:tc>
          <w:tcPr>
            <w:tcW w:w="1600" w:type="dxa"/>
            <w:vAlign w:val="bottom"/>
            <w:tcBorders>
              <w:bottom w:val="single" w:sz="8" w:color="auto"/>
            </w:tcBorders>
            <w:gridSpan w:val="2"/>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October 1, 2016</w:t>
            </w:r>
          </w:p>
        </w:tc>
      </w:tr>
      <w:tr>
        <w:trPr>
          <w:trHeight w:val="210"/>
        </w:trPr>
        <w:tc>
          <w:tcPr>
            <w:tcW w:w="6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13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740" w:type="dxa"/>
            <w:vAlign w:val="bottom"/>
            <w:shd w:val="clear" w:color="auto" w:fill="CCEEFF"/>
          </w:tcPr>
          <w:p>
            <w:pPr>
              <w:jc w:val="right"/>
              <w:ind w:right="870"/>
              <w:spacing w:after="0"/>
              <w:rPr>
                <w:sz w:val="20"/>
                <w:szCs w:val="20"/>
                <w:color w:val="auto"/>
              </w:rPr>
            </w:pPr>
            <w:r>
              <w:rPr>
                <w:rFonts w:ascii="Times New Roman" w:cs="Times New Roman" w:eastAsia="Times New Roman" w:hAnsi="Times New Roman"/>
                <w:sz w:val="18"/>
                <w:szCs w:val="18"/>
                <w:color w:val="auto"/>
              </w:rPr>
              <w:t>392.6</w:t>
            </w:r>
          </w:p>
        </w:tc>
        <w:tc>
          <w:tcPr>
            <w:tcW w:w="66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365.7</w:t>
            </w:r>
          </w:p>
        </w:tc>
      </w:tr>
      <w:tr>
        <w:trPr>
          <w:trHeight w:val="216"/>
        </w:trPr>
        <w:tc>
          <w:tcPr>
            <w:tcW w:w="6780" w:type="dxa"/>
            <w:vAlign w:val="bottom"/>
          </w:tcPr>
          <w:p>
            <w:pPr>
              <w:spacing w:after="0"/>
              <w:rPr>
                <w:sz w:val="20"/>
                <w:szCs w:val="20"/>
                <w:color w:val="auto"/>
              </w:rPr>
            </w:pPr>
            <w:r>
              <w:rPr>
                <w:rFonts w:ascii="Times New Roman" w:cs="Times New Roman" w:eastAsia="Times New Roman" w:hAnsi="Times New Roman"/>
                <w:sz w:val="18"/>
                <w:szCs w:val="18"/>
                <w:color w:val="auto"/>
              </w:rPr>
              <w:t>Purchases of property, plant and equipment</w:t>
            </w:r>
          </w:p>
        </w:tc>
        <w:tc>
          <w:tcPr>
            <w:tcW w:w="1300" w:type="dxa"/>
            <w:vAlign w:val="bottom"/>
          </w:tcPr>
          <w:p>
            <w:pPr>
              <w:spacing w:after="0"/>
              <w:rPr>
                <w:sz w:val="18"/>
                <w:szCs w:val="18"/>
                <w:color w:val="auto"/>
              </w:rPr>
            </w:pPr>
          </w:p>
        </w:tc>
        <w:tc>
          <w:tcPr>
            <w:tcW w:w="1740" w:type="dxa"/>
            <w:vAlign w:val="bottom"/>
          </w:tcPr>
          <w:p>
            <w:pPr>
              <w:jc w:val="right"/>
              <w:ind w:right="810"/>
              <w:spacing w:after="0"/>
              <w:rPr>
                <w:sz w:val="20"/>
                <w:szCs w:val="20"/>
                <w:color w:val="auto"/>
              </w:rPr>
            </w:pPr>
            <w:r>
              <w:rPr>
                <w:rFonts w:ascii="Times New Roman" w:cs="Times New Roman" w:eastAsia="Times New Roman" w:hAnsi="Times New Roman"/>
                <w:sz w:val="18"/>
                <w:szCs w:val="18"/>
                <w:color w:val="auto"/>
              </w:rPr>
              <w:t>(111.4)</w:t>
            </w:r>
          </w:p>
        </w:tc>
        <w:tc>
          <w:tcPr>
            <w:tcW w:w="660" w:type="dxa"/>
            <w:vAlign w:val="bottom"/>
          </w:tcPr>
          <w:p>
            <w:pPr>
              <w:spacing w:after="0"/>
              <w:rPr>
                <w:sz w:val="18"/>
                <w:szCs w:val="18"/>
                <w:color w:val="auto"/>
              </w:rPr>
            </w:pPr>
          </w:p>
        </w:tc>
        <w:tc>
          <w:tcPr>
            <w:tcW w:w="9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(104.9)</w:t>
            </w:r>
          </w:p>
        </w:tc>
      </w:tr>
      <w:tr>
        <w:trPr>
          <w:trHeight w:val="216"/>
        </w:trPr>
        <w:tc>
          <w:tcPr>
            <w:tcW w:w="6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Purchases of software and other deferred charges</w:t>
            </w:r>
          </w:p>
        </w:tc>
        <w:tc>
          <w:tcPr>
            <w:tcW w:w="1300" w:type="dxa"/>
            <w:vAlign w:val="bottom"/>
            <w:shd w:val="clear" w:color="auto" w:fill="CCEEFF"/>
          </w:tcPr>
          <w:p>
            <w:pPr>
              <w:spacing w:after="0"/>
              <w:rPr>
                <w:sz w:val="18"/>
                <w:szCs w:val="18"/>
                <w:color w:val="auto"/>
              </w:rPr>
            </w:pPr>
          </w:p>
        </w:tc>
        <w:tc>
          <w:tcPr>
            <w:tcW w:w="1740" w:type="dxa"/>
            <w:vAlign w:val="bottom"/>
            <w:shd w:val="clear" w:color="auto" w:fill="CCEEFF"/>
          </w:tcPr>
          <w:p>
            <w:pPr>
              <w:jc w:val="right"/>
              <w:ind w:right="810"/>
              <w:spacing w:after="0"/>
              <w:rPr>
                <w:sz w:val="20"/>
                <w:szCs w:val="20"/>
                <w:color w:val="auto"/>
              </w:rPr>
            </w:pPr>
            <w:r>
              <w:rPr>
                <w:rFonts w:ascii="Times New Roman" w:cs="Times New Roman" w:eastAsia="Times New Roman" w:hAnsi="Times New Roman"/>
                <w:sz w:val="18"/>
                <w:szCs w:val="18"/>
                <w:color w:val="auto"/>
              </w:rPr>
              <w:t>(23.5)</w:t>
            </w:r>
          </w:p>
        </w:tc>
        <w:tc>
          <w:tcPr>
            <w:tcW w:w="66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(16.6)</w:t>
            </w:r>
          </w:p>
        </w:tc>
      </w:tr>
      <w:tr>
        <w:trPr>
          <w:trHeight w:val="216"/>
        </w:trPr>
        <w:tc>
          <w:tcPr>
            <w:tcW w:w="6780" w:type="dxa"/>
            <w:vAlign w:val="bottom"/>
          </w:tcPr>
          <w:p>
            <w:pPr>
              <w:spacing w:after="0"/>
              <w:rPr>
                <w:sz w:val="20"/>
                <w:szCs w:val="20"/>
                <w:color w:val="auto"/>
              </w:rPr>
            </w:pPr>
            <w:r>
              <w:rPr>
                <w:rFonts w:ascii="Times New Roman" w:cs="Times New Roman" w:eastAsia="Times New Roman" w:hAnsi="Times New Roman"/>
                <w:sz w:val="18"/>
                <w:szCs w:val="18"/>
                <w:color w:val="auto"/>
              </w:rPr>
              <w:t>Proceeds from sales of property, plant and equipment</w:t>
            </w:r>
          </w:p>
        </w:tc>
        <w:tc>
          <w:tcPr>
            <w:tcW w:w="1300" w:type="dxa"/>
            <w:vAlign w:val="bottom"/>
          </w:tcPr>
          <w:p>
            <w:pPr>
              <w:spacing w:after="0"/>
              <w:rPr>
                <w:sz w:val="18"/>
                <w:szCs w:val="18"/>
                <w:color w:val="auto"/>
              </w:rPr>
            </w:pPr>
          </w:p>
        </w:tc>
        <w:tc>
          <w:tcPr>
            <w:tcW w:w="1740" w:type="dxa"/>
            <w:vAlign w:val="bottom"/>
          </w:tcPr>
          <w:p>
            <w:pPr>
              <w:jc w:val="right"/>
              <w:ind w:right="870"/>
              <w:spacing w:after="0"/>
              <w:rPr>
                <w:sz w:val="20"/>
                <w:szCs w:val="20"/>
                <w:color w:val="auto"/>
              </w:rPr>
            </w:pPr>
            <w:r>
              <w:rPr>
                <w:rFonts w:ascii="Times New Roman" w:cs="Times New Roman" w:eastAsia="Times New Roman" w:hAnsi="Times New Roman"/>
                <w:sz w:val="18"/>
                <w:szCs w:val="18"/>
                <w:color w:val="auto"/>
              </w:rPr>
              <w:t>3.0</w:t>
            </w:r>
          </w:p>
        </w:tc>
        <w:tc>
          <w:tcPr>
            <w:tcW w:w="660" w:type="dxa"/>
            <w:vAlign w:val="bottom"/>
          </w:tcPr>
          <w:p>
            <w:pPr>
              <w:spacing w:after="0"/>
              <w:rPr>
                <w:sz w:val="18"/>
                <w:szCs w:val="18"/>
                <w:color w:val="auto"/>
              </w:rPr>
            </w:pPr>
          </w:p>
        </w:tc>
        <w:tc>
          <w:tcPr>
            <w:tcW w:w="94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4.3</w:t>
            </w:r>
          </w:p>
        </w:tc>
      </w:tr>
      <w:tr>
        <w:trPr>
          <w:trHeight w:val="216"/>
        </w:trPr>
        <w:tc>
          <w:tcPr>
            <w:tcW w:w="678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Purchases of investments, net</w:t>
            </w:r>
          </w:p>
        </w:tc>
        <w:tc>
          <w:tcPr>
            <w:tcW w:w="1300" w:type="dxa"/>
            <w:vAlign w:val="bottom"/>
            <w:tcBorders>
              <w:bottom w:val="single" w:sz="8" w:color="auto"/>
            </w:tcBorders>
            <w:shd w:val="clear" w:color="auto" w:fill="CCEEFF"/>
          </w:tcPr>
          <w:p>
            <w:pPr>
              <w:spacing w:after="0"/>
              <w:rPr>
                <w:sz w:val="18"/>
                <w:szCs w:val="18"/>
                <w:color w:val="auto"/>
              </w:rPr>
            </w:pPr>
          </w:p>
        </w:tc>
        <w:tc>
          <w:tcPr>
            <w:tcW w:w="1740" w:type="dxa"/>
            <w:vAlign w:val="bottom"/>
            <w:tcBorders>
              <w:bottom w:val="single" w:sz="8" w:color="auto"/>
            </w:tcBorders>
            <w:shd w:val="clear" w:color="auto" w:fill="CCEEFF"/>
          </w:tcPr>
          <w:p>
            <w:pPr>
              <w:jc w:val="right"/>
              <w:ind w:right="810"/>
              <w:spacing w:after="0"/>
              <w:rPr>
                <w:sz w:val="20"/>
                <w:szCs w:val="20"/>
                <w:color w:val="auto"/>
              </w:rPr>
            </w:pPr>
            <w:r>
              <w:rPr>
                <w:rFonts w:ascii="Times New Roman" w:cs="Times New Roman" w:eastAsia="Times New Roman" w:hAnsi="Times New Roman"/>
                <w:sz w:val="18"/>
                <w:szCs w:val="18"/>
                <w:color w:val="auto"/>
              </w:rPr>
              <w:t>(4.7)</w:t>
            </w:r>
          </w:p>
        </w:tc>
        <w:tc>
          <w:tcPr>
            <w:tcW w:w="66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(.8)</w:t>
            </w:r>
          </w:p>
        </w:tc>
      </w:tr>
      <w:tr>
        <w:trPr>
          <w:trHeight w:val="217"/>
        </w:trPr>
        <w:tc>
          <w:tcPr>
            <w:tcW w:w="67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Free cash flow</w:t>
            </w:r>
          </w:p>
        </w:tc>
        <w:tc>
          <w:tcPr>
            <w:tcW w:w="13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740" w:type="dxa"/>
            <w:vAlign w:val="bottom"/>
            <w:tcBorders>
              <w:bottom w:val="single" w:sz="8" w:color="auto"/>
            </w:tcBorders>
          </w:tcPr>
          <w:p>
            <w:pPr>
              <w:jc w:val="right"/>
              <w:ind w:right="870"/>
              <w:spacing w:after="0"/>
              <w:rPr>
                <w:sz w:val="20"/>
                <w:szCs w:val="20"/>
                <w:color w:val="auto"/>
              </w:rPr>
            </w:pPr>
            <w:r>
              <w:rPr>
                <w:rFonts w:ascii="Times New Roman" w:cs="Times New Roman" w:eastAsia="Times New Roman" w:hAnsi="Times New Roman"/>
                <w:sz w:val="18"/>
                <w:szCs w:val="18"/>
                <w:color w:val="auto"/>
              </w:rPr>
              <w:t>256.0</w:t>
            </w:r>
          </w:p>
        </w:tc>
        <w:tc>
          <w:tcPr>
            <w:tcW w:w="66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247.7</w:t>
            </w:r>
          </w:p>
        </w:tc>
      </w:tr>
    </w:tbl>
    <w:p>
      <w:pPr>
        <w:spacing w:after="0" w:line="19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w:anchor="page1">
        <w:r>
          <w:rPr>
            <w:rFonts w:ascii="Times New Roman" w:cs="Times New Roman" w:eastAsia="Times New Roman" w:hAnsi="Times New Roman"/>
            <w:sz w:val="18"/>
            <w:szCs w:val="18"/>
            <w:u w:val="single" w:color="auto"/>
            <w:color w:val="0000EE"/>
          </w:rPr>
          <w:t>Table of Contents</w:t>
        </w:r>
      </w:hyperlink>
    </w:p>
    <w:p>
      <w:pPr>
        <w:spacing w:after="0" w:line="225" w:lineRule="exact"/>
        <w:rPr>
          <w:sz w:val="20"/>
          <w:szCs w:val="20"/>
          <w:color w:val="auto"/>
        </w:rPr>
      </w:pPr>
    </w:p>
    <w:p>
      <w:pPr>
        <w:ind w:left="9340"/>
        <w:spacing w:after="0"/>
        <w:rPr>
          <w:sz w:val="20"/>
          <w:szCs w:val="20"/>
          <w:color w:val="auto"/>
        </w:rPr>
      </w:pPr>
      <w:r>
        <w:rPr>
          <w:rFonts w:ascii="Times New Roman" w:cs="Times New Roman" w:eastAsia="Times New Roman" w:hAnsi="Times New Roman"/>
          <w:sz w:val="17"/>
          <w:szCs w:val="17"/>
          <w:color w:val="auto"/>
        </w:rPr>
        <w:t>Avery Dennison Corporation</w:t>
      </w:r>
    </w:p>
    <w:p>
      <w:pPr>
        <w:spacing w:after="0" w:line="23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Free cash flow in the first nine months of 2017 increased compared to the same period last year primarily due to higher net income, partially offset by higher net capital and software expenditures and purchases of investments, higher income tax payments, net of refunds, and operational working capital improvements in the prior year, the benefit of which did not repeat in the current year. Free cash flow in the first nine months of 2017 also reflected the impact of our adoption of the accounting guidance update related to stock-based payments described in Note 1, “General,” to the unaudited Condensed Consolidated Financial Statements.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Outlook</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Certain factors that we believe may contribute to results for 2017 are described below:</w:t>
      </w:r>
    </w:p>
    <w:p>
      <w:pPr>
        <w:spacing w:after="0" w:line="225" w:lineRule="exact"/>
        <w:rPr>
          <w:sz w:val="20"/>
          <w:szCs w:val="20"/>
          <w:color w:val="auto"/>
        </w:rPr>
      </w:pPr>
    </w:p>
    <w:p>
      <w:pPr>
        <w:ind w:left="640" w:hanging="308"/>
        <w:spacing w:after="0"/>
        <w:tabs>
          <w:tab w:leader="none" w:pos="6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expect our net sales to increase by approximately 8%.</w:t>
      </w:r>
    </w:p>
    <w:p>
      <w:pPr>
        <w:spacing w:after="0" w:line="27" w:lineRule="exact"/>
        <w:rPr>
          <w:rFonts w:ascii="Times New Roman" w:cs="Times New Roman" w:eastAsia="Times New Roman" w:hAnsi="Times New Roman"/>
          <w:sz w:val="18"/>
          <w:szCs w:val="18"/>
          <w:color w:val="auto"/>
        </w:rPr>
      </w:pPr>
    </w:p>
    <w:p>
      <w:pPr>
        <w:ind w:left="640" w:hanging="308"/>
        <w:spacing w:after="0"/>
        <w:tabs>
          <w:tab w:leader="none" w:pos="6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expect our full year effective tax rate to be approximately 28%.</w:t>
      </w:r>
    </w:p>
    <w:p>
      <w:pPr>
        <w:spacing w:after="0" w:line="9" w:lineRule="exact"/>
        <w:rPr>
          <w:rFonts w:ascii="Times New Roman" w:cs="Times New Roman" w:eastAsia="Times New Roman" w:hAnsi="Times New Roman"/>
          <w:sz w:val="18"/>
          <w:szCs w:val="18"/>
          <w:color w:val="auto"/>
        </w:rPr>
      </w:pPr>
    </w:p>
    <w:p>
      <w:pPr>
        <w:ind w:left="640" w:hanging="308"/>
        <w:spacing w:after="0"/>
        <w:tabs>
          <w:tab w:leader="none" w:pos="6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anticipate our capital and software expenditures to be approximately $215 million.</w:t>
      </w:r>
    </w:p>
    <w:p>
      <w:pPr>
        <w:spacing w:after="0" w:line="9" w:lineRule="exact"/>
        <w:rPr>
          <w:rFonts w:ascii="Times New Roman" w:cs="Times New Roman" w:eastAsia="Times New Roman" w:hAnsi="Times New Roman"/>
          <w:sz w:val="18"/>
          <w:szCs w:val="18"/>
          <w:color w:val="auto"/>
        </w:rPr>
      </w:pPr>
    </w:p>
    <w:p>
      <w:pPr>
        <w:ind w:left="640" w:hanging="308"/>
        <w:spacing w:after="0"/>
        <w:tabs>
          <w:tab w:leader="none" w:pos="6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estimate pre-tax cash restructuring and certain acquisition-related transaction costs to total approximately $40 million.</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8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ANALYSIS OF RESULTS OF OPERATIONS FOR THE THIRD QUARTER</w:t>
            </w:r>
          </w:p>
        </w:tc>
        <w:tc>
          <w:tcPr>
            <w:tcW w:w="1180" w:type="dxa"/>
            <w:vAlign w:val="bottom"/>
          </w:tcPr>
          <w:p>
            <w:pPr>
              <w:spacing w:after="0"/>
              <w:rPr>
                <w:sz w:val="17"/>
                <w:szCs w:val="17"/>
                <w:color w:val="auto"/>
              </w:rPr>
            </w:pPr>
          </w:p>
        </w:tc>
        <w:tc>
          <w:tcPr>
            <w:tcW w:w="18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453"/>
        </w:trPr>
        <w:tc>
          <w:tcPr>
            <w:tcW w:w="598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Income before Taxes</w:t>
            </w:r>
          </w:p>
        </w:tc>
        <w:tc>
          <w:tcPr>
            <w:tcW w:w="8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432"/>
        </w:trPr>
        <w:tc>
          <w:tcPr>
            <w:tcW w:w="59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1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50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r>
      <w:tr>
        <w:trPr>
          <w:trHeight w:val="210"/>
        </w:trPr>
        <w:tc>
          <w:tcPr>
            <w:tcW w:w="680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4"/>
                <w:szCs w:val="14"/>
                <w:color w:val="auto"/>
              </w:rPr>
              <w:t>(Dollars in millions)</w:t>
            </w:r>
          </w:p>
        </w:tc>
        <w:tc>
          <w:tcPr>
            <w:tcW w:w="3060" w:type="dxa"/>
            <w:vAlign w:val="bottom"/>
            <w:tcBorders>
              <w:bottom w:val="single" w:sz="8" w:color="auto"/>
            </w:tcBorders>
            <w:gridSpan w:val="2"/>
          </w:tcPr>
          <w:p>
            <w:pPr>
              <w:jc w:val="right"/>
              <w:ind w:right="910"/>
              <w:spacing w:after="0"/>
              <w:rPr>
                <w:sz w:val="20"/>
                <w:szCs w:val="20"/>
                <w:color w:val="auto"/>
              </w:rPr>
            </w:pPr>
            <w:r>
              <w:rPr>
                <w:rFonts w:ascii="Times New Roman" w:cs="Times New Roman" w:eastAsia="Times New Roman" w:hAnsi="Times New Roman"/>
                <w:sz w:val="18"/>
                <w:szCs w:val="18"/>
                <w:b w:val="1"/>
                <w:bCs w:val="1"/>
                <w:color w:val="auto"/>
              </w:rPr>
              <w:t>September 30, 2017</w:t>
            </w:r>
          </w:p>
        </w:tc>
        <w:tc>
          <w:tcPr>
            <w:tcW w:w="1560" w:type="dxa"/>
            <w:vAlign w:val="bottom"/>
            <w:tcBorders>
              <w:bottom w:val="single" w:sz="8" w:color="auto"/>
            </w:tcBorders>
            <w:gridSpan w:val="2"/>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October 1, 2016</w:t>
            </w:r>
          </w:p>
        </w:tc>
      </w:tr>
      <w:tr>
        <w:trPr>
          <w:trHeight w:val="210"/>
        </w:trPr>
        <w:tc>
          <w:tcPr>
            <w:tcW w:w="68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sales</w:t>
            </w:r>
          </w:p>
        </w:tc>
        <w:tc>
          <w:tcPr>
            <w:tcW w:w="11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880" w:type="dxa"/>
            <w:vAlign w:val="bottom"/>
            <w:shd w:val="clear" w:color="auto" w:fill="CCEEFF"/>
          </w:tcPr>
          <w:p>
            <w:pPr>
              <w:jc w:val="right"/>
              <w:ind w:right="910"/>
              <w:spacing w:after="0"/>
              <w:rPr>
                <w:sz w:val="20"/>
                <w:szCs w:val="20"/>
                <w:color w:val="auto"/>
              </w:rPr>
            </w:pPr>
            <w:r>
              <w:rPr>
                <w:rFonts w:ascii="Times New Roman" w:cs="Times New Roman" w:eastAsia="Times New Roman" w:hAnsi="Times New Roman"/>
                <w:sz w:val="18"/>
                <w:szCs w:val="18"/>
                <w:color w:val="auto"/>
              </w:rPr>
              <w:t>1,679.5</w:t>
            </w:r>
          </w:p>
        </w:tc>
        <w:tc>
          <w:tcPr>
            <w:tcW w:w="5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1,508.7</w:t>
            </w:r>
          </w:p>
        </w:tc>
      </w:tr>
      <w:tr>
        <w:trPr>
          <w:trHeight w:val="216"/>
        </w:trPr>
        <w:tc>
          <w:tcPr>
            <w:tcW w:w="680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Cost of products sold</w:t>
            </w:r>
          </w:p>
        </w:tc>
        <w:tc>
          <w:tcPr>
            <w:tcW w:w="1180" w:type="dxa"/>
            <w:vAlign w:val="bottom"/>
            <w:tcBorders>
              <w:bottom w:val="single" w:sz="8" w:color="auto"/>
            </w:tcBorders>
          </w:tcPr>
          <w:p>
            <w:pPr>
              <w:spacing w:after="0"/>
              <w:rPr>
                <w:sz w:val="18"/>
                <w:szCs w:val="18"/>
                <w:color w:val="auto"/>
              </w:rPr>
            </w:pPr>
          </w:p>
        </w:tc>
        <w:tc>
          <w:tcPr>
            <w:tcW w:w="1880" w:type="dxa"/>
            <w:vAlign w:val="bottom"/>
            <w:tcBorders>
              <w:bottom w:val="single" w:sz="8" w:color="auto"/>
            </w:tcBorders>
          </w:tcPr>
          <w:p>
            <w:pPr>
              <w:jc w:val="right"/>
              <w:ind w:right="910"/>
              <w:spacing w:after="0"/>
              <w:rPr>
                <w:sz w:val="20"/>
                <w:szCs w:val="20"/>
                <w:color w:val="auto"/>
              </w:rPr>
            </w:pPr>
            <w:r>
              <w:rPr>
                <w:rFonts w:ascii="Times New Roman" w:cs="Times New Roman" w:eastAsia="Times New Roman" w:hAnsi="Times New Roman"/>
                <w:sz w:val="18"/>
                <w:szCs w:val="18"/>
                <w:color w:val="auto"/>
              </w:rPr>
              <w:t>1,227.9</w:t>
            </w:r>
          </w:p>
        </w:tc>
        <w:tc>
          <w:tcPr>
            <w:tcW w:w="5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1,091.1</w:t>
            </w:r>
          </w:p>
        </w:tc>
      </w:tr>
      <w:tr>
        <w:trPr>
          <w:trHeight w:val="210"/>
        </w:trPr>
        <w:tc>
          <w:tcPr>
            <w:tcW w:w="68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1180" w:type="dxa"/>
            <w:vAlign w:val="bottom"/>
            <w:shd w:val="clear" w:color="auto" w:fill="CCEEFF"/>
          </w:tcPr>
          <w:p>
            <w:pPr>
              <w:spacing w:after="0"/>
              <w:rPr>
                <w:sz w:val="18"/>
                <w:szCs w:val="18"/>
                <w:color w:val="auto"/>
              </w:rPr>
            </w:pPr>
          </w:p>
        </w:tc>
        <w:tc>
          <w:tcPr>
            <w:tcW w:w="1880" w:type="dxa"/>
            <w:vAlign w:val="bottom"/>
            <w:shd w:val="clear" w:color="auto" w:fill="CCEEFF"/>
          </w:tcPr>
          <w:p>
            <w:pPr>
              <w:jc w:val="right"/>
              <w:ind w:right="910"/>
              <w:spacing w:after="0"/>
              <w:rPr>
                <w:sz w:val="20"/>
                <w:szCs w:val="20"/>
                <w:color w:val="auto"/>
              </w:rPr>
            </w:pPr>
            <w:r>
              <w:rPr>
                <w:rFonts w:ascii="Times New Roman" w:cs="Times New Roman" w:eastAsia="Times New Roman" w:hAnsi="Times New Roman"/>
                <w:sz w:val="18"/>
                <w:szCs w:val="18"/>
                <w:color w:val="auto"/>
              </w:rPr>
              <w:t>451.6</w:t>
            </w:r>
          </w:p>
        </w:tc>
        <w:tc>
          <w:tcPr>
            <w:tcW w:w="50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417.6</w:t>
            </w:r>
          </w:p>
        </w:tc>
      </w:tr>
    </w:tbl>
    <w:p>
      <w:pPr>
        <w:sectPr>
          <w:pgSz w:w="11900" w:h="16838" w:orient="portrait"/>
          <w:cols w:equalWidth="0" w:num="1">
            <w:col w:w="11420"/>
          </w:cols>
          <w:pgMar w:left="240" w:top="121" w:right="239" w:bottom="0" w:gutter="0" w:footer="0" w:header="0"/>
        </w:sectPr>
      </w:pPr>
    </w:p>
    <w:bookmarkStart w:id="16" w:name="page17"/>
    <w:bookmarkEnd w:id="16"/>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Marketing, general and administrative expense</w:t>
            </w:r>
          </w:p>
        </w:tc>
        <w:tc>
          <w:tcPr>
            <w:tcW w:w="2580" w:type="dxa"/>
            <w:vAlign w:val="bottom"/>
          </w:tcPr>
          <w:p>
            <w:pPr>
              <w:spacing w:after="0"/>
              <w:rPr>
                <w:sz w:val="20"/>
                <w:szCs w:val="20"/>
                <w:color w:val="auto"/>
              </w:rPr>
            </w:pPr>
          </w:p>
        </w:tc>
        <w:tc>
          <w:tcPr>
            <w:tcW w:w="1380" w:type="dxa"/>
            <w:vAlign w:val="bottom"/>
          </w:tcPr>
          <w:p>
            <w:pPr>
              <w:jc w:val="right"/>
              <w:ind w:right="570"/>
              <w:spacing w:after="0"/>
              <w:rPr>
                <w:sz w:val="20"/>
                <w:szCs w:val="20"/>
                <w:color w:val="auto"/>
              </w:rPr>
            </w:pPr>
            <w:r>
              <w:rPr>
                <w:rFonts w:ascii="Times New Roman" w:cs="Times New Roman" w:eastAsia="Times New Roman" w:hAnsi="Times New Roman"/>
                <w:sz w:val="18"/>
                <w:szCs w:val="18"/>
                <w:color w:val="auto"/>
              </w:rPr>
              <w:t>277.2</w:t>
            </w:r>
          </w:p>
        </w:tc>
        <w:tc>
          <w:tcPr>
            <w:tcW w:w="920" w:type="dxa"/>
            <w:vAlign w:val="bottom"/>
          </w:tcPr>
          <w:p>
            <w:pPr>
              <w:spacing w:after="0"/>
              <w:rPr>
                <w:sz w:val="20"/>
                <w:szCs w:val="20"/>
                <w:color w:val="auto"/>
              </w:rPr>
            </w:pPr>
          </w:p>
        </w:tc>
        <w:tc>
          <w:tcPr>
            <w:tcW w:w="9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270.3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2580" w:type="dxa"/>
            <w:vAlign w:val="bottom"/>
            <w:shd w:val="clear" w:color="auto" w:fill="CCEEFF"/>
          </w:tcPr>
          <w:p>
            <w:pPr>
              <w:spacing w:after="0"/>
              <w:rPr>
                <w:sz w:val="18"/>
                <w:szCs w:val="18"/>
                <w:color w:val="auto"/>
              </w:rPr>
            </w:pPr>
          </w:p>
        </w:tc>
        <w:tc>
          <w:tcPr>
            <w:tcW w:w="1380" w:type="dxa"/>
            <w:vAlign w:val="bottom"/>
            <w:shd w:val="clear" w:color="auto" w:fill="CCEEFF"/>
          </w:tcPr>
          <w:p>
            <w:pPr>
              <w:jc w:val="right"/>
              <w:ind w:right="570"/>
              <w:spacing w:after="0"/>
              <w:rPr>
                <w:sz w:val="20"/>
                <w:szCs w:val="20"/>
                <w:color w:val="auto"/>
              </w:rPr>
            </w:pPr>
            <w:r>
              <w:rPr>
                <w:rFonts w:ascii="Times New Roman" w:cs="Times New Roman" w:eastAsia="Times New Roman" w:hAnsi="Times New Roman"/>
                <w:sz w:val="18"/>
                <w:szCs w:val="18"/>
                <w:color w:val="auto"/>
              </w:rPr>
              <w:t>16.8</w:t>
            </w:r>
          </w:p>
        </w:tc>
        <w:tc>
          <w:tcPr>
            <w:tcW w:w="92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14.7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Other expense, net</w:t>
            </w:r>
          </w:p>
        </w:tc>
        <w:tc>
          <w:tcPr>
            <w:tcW w:w="258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color w:val="auto"/>
              </w:rPr>
              <w:t>10.8</w:t>
            </w:r>
          </w:p>
        </w:tc>
        <w:tc>
          <w:tcPr>
            <w:tcW w:w="9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4.6</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54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before taxes</w:t>
            </w:r>
          </w:p>
        </w:tc>
        <w:tc>
          <w:tcPr>
            <w:tcW w:w="2580" w:type="dxa"/>
            <w:vAlign w:val="bottom"/>
            <w:tcBorders>
              <w:bottom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bottom w:val="single" w:sz="8" w:color="auto"/>
            </w:tcBorders>
            <w:shd w:val="clear" w:color="auto" w:fill="CCEEFF"/>
          </w:tcPr>
          <w:p>
            <w:pPr>
              <w:jc w:val="right"/>
              <w:ind w:right="570"/>
              <w:spacing w:after="0"/>
              <w:rPr>
                <w:sz w:val="20"/>
                <w:szCs w:val="20"/>
                <w:color w:val="auto"/>
              </w:rPr>
            </w:pPr>
            <w:r>
              <w:rPr>
                <w:rFonts w:ascii="Times New Roman" w:cs="Times New Roman" w:eastAsia="Times New Roman" w:hAnsi="Times New Roman"/>
                <w:sz w:val="18"/>
                <w:szCs w:val="18"/>
                <w:color w:val="auto"/>
              </w:rPr>
              <w:t>146.8</w:t>
            </w:r>
          </w:p>
        </w:tc>
        <w:tc>
          <w:tcPr>
            <w:tcW w:w="92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128.0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54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554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Gross profit margin</w:t>
            </w:r>
          </w:p>
        </w:tc>
        <w:tc>
          <w:tcPr>
            <w:tcW w:w="258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ind w:right="430"/>
              <w:spacing w:after="0"/>
              <w:rPr>
                <w:sz w:val="20"/>
                <w:szCs w:val="20"/>
                <w:color w:val="auto"/>
              </w:rPr>
            </w:pPr>
            <w:r>
              <w:rPr>
                <w:rFonts w:ascii="Times New Roman" w:cs="Times New Roman" w:eastAsia="Times New Roman" w:hAnsi="Times New Roman"/>
                <w:sz w:val="18"/>
                <w:szCs w:val="18"/>
                <w:color w:val="auto"/>
              </w:rPr>
              <w:t>26.9%</w:t>
            </w:r>
          </w:p>
        </w:tc>
        <w:tc>
          <w:tcPr>
            <w:tcW w:w="92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27.7%</w:t>
            </w:r>
          </w:p>
        </w:tc>
        <w:tc>
          <w:tcPr>
            <w:tcW w:w="0" w:type="dxa"/>
            <w:vAlign w:val="bottom"/>
          </w:tcPr>
          <w:p>
            <w:pPr>
              <w:spacing w:after="0"/>
              <w:rPr>
                <w:sz w:val="1"/>
                <w:szCs w:val="1"/>
                <w:color w:val="auto"/>
              </w:rPr>
            </w:pPr>
          </w:p>
        </w:tc>
      </w:tr>
    </w:tbl>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Gross Profit Margin</w:t>
      </w:r>
    </w:p>
    <w:p>
      <w:pPr>
        <w:spacing w:after="0" w:line="29"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18"/>
          <w:szCs w:val="18"/>
          <w:color w:val="auto"/>
        </w:rPr>
        <w:t>Gross profit margin for the third quarter of 2017 decreased compared to the same period last year primarily driven by acquisitions as well as the net impact of pricing and raw material costs in our Label and Graphic Materials and Industrial and Healthcare Materials reportable segments.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Marketing, General and Administrative Expense</w:t>
      </w:r>
    </w:p>
    <w:p>
      <w:pPr>
        <w:spacing w:after="0" w:line="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Marketing, general and administrative expense increased in the third quarter of 2017 compared to the same period last year reflecting higher employee-related costs and the impact of acquisitions, partially offset by benefits from productivity initiatives, including savings from restructuring, net of transition costs.</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678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Other Expense, net</w:t>
            </w:r>
          </w:p>
        </w:tc>
        <w:tc>
          <w:tcPr>
            <w:tcW w:w="1200" w:type="dxa"/>
            <w:vAlign w:val="bottom"/>
          </w:tcPr>
          <w:p>
            <w:pPr>
              <w:spacing w:after="0"/>
              <w:rPr>
                <w:sz w:val="20"/>
                <w:szCs w:val="20"/>
                <w:color w:val="auto"/>
              </w:rPr>
            </w:pPr>
          </w:p>
        </w:tc>
        <w:tc>
          <w:tcPr>
            <w:tcW w:w="18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880" w:type="dxa"/>
            <w:vAlign w:val="bottom"/>
          </w:tcPr>
          <w:p>
            <w:pPr>
              <w:spacing w:after="0"/>
              <w:rPr>
                <w:sz w:val="20"/>
                <w:szCs w:val="20"/>
                <w:color w:val="auto"/>
              </w:rPr>
            </w:pPr>
          </w:p>
        </w:tc>
      </w:tr>
      <w:tr>
        <w:trPr>
          <w:trHeight w:val="432"/>
        </w:trPr>
        <w:tc>
          <w:tcPr>
            <w:tcW w:w="6780" w:type="dxa"/>
            <w:vAlign w:val="bottom"/>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1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68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r>
      <w:tr>
        <w:trPr>
          <w:trHeight w:val="210"/>
        </w:trPr>
        <w:tc>
          <w:tcPr>
            <w:tcW w:w="67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(In millions)</w:t>
            </w:r>
          </w:p>
        </w:tc>
        <w:tc>
          <w:tcPr>
            <w:tcW w:w="3080" w:type="dxa"/>
            <w:vAlign w:val="bottom"/>
            <w:tcBorders>
              <w:bottom w:val="single" w:sz="8" w:color="auto"/>
            </w:tcBorders>
            <w:gridSpan w:val="2"/>
          </w:tcPr>
          <w:p>
            <w:pPr>
              <w:jc w:val="right"/>
              <w:ind w:right="910"/>
              <w:spacing w:after="0"/>
              <w:rPr>
                <w:sz w:val="20"/>
                <w:szCs w:val="20"/>
                <w:color w:val="auto"/>
              </w:rPr>
            </w:pPr>
            <w:r>
              <w:rPr>
                <w:rFonts w:ascii="Times New Roman" w:cs="Times New Roman" w:eastAsia="Times New Roman" w:hAnsi="Times New Roman"/>
                <w:sz w:val="18"/>
                <w:szCs w:val="18"/>
                <w:b w:val="1"/>
                <w:bCs w:val="1"/>
                <w:color w:val="auto"/>
              </w:rPr>
              <w:t>September 30, 2017</w:t>
            </w:r>
          </w:p>
        </w:tc>
        <w:tc>
          <w:tcPr>
            <w:tcW w:w="1560" w:type="dxa"/>
            <w:vAlign w:val="bottom"/>
            <w:tcBorders>
              <w:bottom w:val="single" w:sz="8" w:color="auto"/>
            </w:tcBorders>
            <w:gridSpan w:val="2"/>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October 1, 2016</w:t>
            </w:r>
          </w:p>
        </w:tc>
      </w:tr>
      <w:tr>
        <w:trPr>
          <w:trHeight w:val="210"/>
        </w:trPr>
        <w:tc>
          <w:tcPr>
            <w:tcW w:w="6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Other expense, net by type</w:t>
            </w:r>
          </w:p>
        </w:tc>
        <w:tc>
          <w:tcPr>
            <w:tcW w:w="1200" w:type="dxa"/>
            <w:vAlign w:val="bottom"/>
            <w:shd w:val="clear" w:color="auto" w:fill="CCEEFF"/>
          </w:tcPr>
          <w:p>
            <w:pPr>
              <w:spacing w:after="0"/>
              <w:rPr>
                <w:sz w:val="18"/>
                <w:szCs w:val="18"/>
                <w:color w:val="auto"/>
              </w:rPr>
            </w:pPr>
          </w:p>
        </w:tc>
        <w:tc>
          <w:tcPr>
            <w:tcW w:w="18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r>
      <w:tr>
        <w:trPr>
          <w:trHeight w:val="216"/>
        </w:trPr>
        <w:tc>
          <w:tcPr>
            <w:tcW w:w="6780" w:type="dxa"/>
            <w:vAlign w:val="bottom"/>
          </w:tcPr>
          <w:p>
            <w:pPr>
              <w:spacing w:after="0"/>
              <w:rPr>
                <w:sz w:val="20"/>
                <w:szCs w:val="20"/>
                <w:color w:val="auto"/>
              </w:rPr>
            </w:pPr>
            <w:r>
              <w:rPr>
                <w:rFonts w:ascii="Times New Roman" w:cs="Times New Roman" w:eastAsia="Times New Roman" w:hAnsi="Times New Roman"/>
                <w:sz w:val="18"/>
                <w:szCs w:val="18"/>
                <w:color w:val="auto"/>
              </w:rPr>
              <w:t>Restructuring charges:</w:t>
            </w:r>
          </w:p>
        </w:tc>
        <w:tc>
          <w:tcPr>
            <w:tcW w:w="120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80" w:type="dxa"/>
            <w:vAlign w:val="bottom"/>
          </w:tcPr>
          <w:p>
            <w:pPr>
              <w:spacing w:after="0"/>
              <w:rPr>
                <w:sz w:val="18"/>
                <w:szCs w:val="18"/>
                <w:color w:val="auto"/>
              </w:rPr>
            </w:pPr>
          </w:p>
        </w:tc>
      </w:tr>
      <w:tr>
        <w:trPr>
          <w:trHeight w:val="216"/>
        </w:trPr>
        <w:tc>
          <w:tcPr>
            <w:tcW w:w="67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Severance and related costs</w:t>
            </w:r>
          </w:p>
        </w:tc>
        <w:tc>
          <w:tcPr>
            <w:tcW w:w="120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880" w:type="dxa"/>
            <w:vAlign w:val="bottom"/>
            <w:shd w:val="clear" w:color="auto" w:fill="CCEEFF"/>
          </w:tcPr>
          <w:p>
            <w:pPr>
              <w:jc w:val="right"/>
              <w:ind w:right="910"/>
              <w:spacing w:after="0"/>
              <w:rPr>
                <w:sz w:val="20"/>
                <w:szCs w:val="20"/>
                <w:color w:val="auto"/>
              </w:rPr>
            </w:pPr>
            <w:r>
              <w:rPr>
                <w:rFonts w:ascii="Times New Roman" w:cs="Times New Roman" w:eastAsia="Times New Roman" w:hAnsi="Times New Roman"/>
                <w:sz w:val="18"/>
                <w:szCs w:val="18"/>
                <w:color w:val="auto"/>
              </w:rPr>
              <w:t>8.7</w:t>
            </w:r>
          </w:p>
        </w:tc>
        <w:tc>
          <w:tcPr>
            <w:tcW w:w="68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1.9</w:t>
            </w:r>
          </w:p>
        </w:tc>
      </w:tr>
      <w:tr>
        <w:trPr>
          <w:trHeight w:val="216"/>
        </w:trPr>
        <w:tc>
          <w:tcPr>
            <w:tcW w:w="67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Asset impairment charges and lease cancellation costs</w:t>
            </w:r>
          </w:p>
        </w:tc>
        <w:tc>
          <w:tcPr>
            <w:tcW w:w="1200" w:type="dxa"/>
            <w:vAlign w:val="bottom"/>
          </w:tcPr>
          <w:p>
            <w:pPr>
              <w:spacing w:after="0"/>
              <w:rPr>
                <w:sz w:val="18"/>
                <w:szCs w:val="18"/>
                <w:color w:val="auto"/>
              </w:rPr>
            </w:pPr>
          </w:p>
        </w:tc>
        <w:tc>
          <w:tcPr>
            <w:tcW w:w="1880" w:type="dxa"/>
            <w:vAlign w:val="bottom"/>
          </w:tcPr>
          <w:p>
            <w:pPr>
              <w:jc w:val="right"/>
              <w:ind w:right="910"/>
              <w:spacing w:after="0"/>
              <w:rPr>
                <w:sz w:val="20"/>
                <w:szCs w:val="20"/>
                <w:color w:val="auto"/>
              </w:rPr>
            </w:pPr>
            <w:r>
              <w:rPr>
                <w:rFonts w:ascii="Times New Roman" w:cs="Times New Roman" w:eastAsia="Times New Roman" w:hAnsi="Times New Roman"/>
                <w:sz w:val="18"/>
                <w:szCs w:val="18"/>
                <w:color w:val="auto"/>
              </w:rPr>
              <w:t>1.8</w:t>
            </w:r>
          </w:p>
        </w:tc>
        <w:tc>
          <w:tcPr>
            <w:tcW w:w="680" w:type="dxa"/>
            <w:vAlign w:val="bottom"/>
          </w:tcPr>
          <w:p>
            <w:pPr>
              <w:spacing w:after="0"/>
              <w:rPr>
                <w:sz w:val="18"/>
                <w:szCs w:val="18"/>
                <w:color w:val="auto"/>
              </w:rPr>
            </w:pPr>
          </w:p>
        </w:tc>
        <w:tc>
          <w:tcPr>
            <w:tcW w:w="8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.7</w:t>
            </w:r>
          </w:p>
        </w:tc>
      </w:tr>
      <w:tr>
        <w:trPr>
          <w:trHeight w:val="216"/>
        </w:trPr>
        <w:tc>
          <w:tcPr>
            <w:tcW w:w="6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items:</w:t>
            </w:r>
          </w:p>
        </w:tc>
        <w:tc>
          <w:tcPr>
            <w:tcW w:w="1200" w:type="dxa"/>
            <w:vAlign w:val="bottom"/>
            <w:shd w:val="clear" w:color="auto" w:fill="CCEEFF"/>
          </w:tcPr>
          <w:p>
            <w:pPr>
              <w:spacing w:after="0"/>
              <w:rPr>
                <w:sz w:val="18"/>
                <w:szCs w:val="18"/>
                <w:color w:val="auto"/>
              </w:rPr>
            </w:pPr>
          </w:p>
        </w:tc>
        <w:tc>
          <w:tcPr>
            <w:tcW w:w="18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r>
      <w:tr>
        <w:trPr>
          <w:trHeight w:val="216"/>
        </w:trPr>
        <w:tc>
          <w:tcPr>
            <w:tcW w:w="678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Transaction costs</w:t>
            </w:r>
          </w:p>
        </w:tc>
        <w:tc>
          <w:tcPr>
            <w:tcW w:w="1200" w:type="dxa"/>
            <w:vAlign w:val="bottom"/>
            <w:tcBorders>
              <w:bottom w:val="single" w:sz="8" w:color="auto"/>
            </w:tcBorders>
          </w:tcPr>
          <w:p>
            <w:pPr>
              <w:spacing w:after="0"/>
              <w:rPr>
                <w:sz w:val="18"/>
                <w:szCs w:val="18"/>
                <w:color w:val="auto"/>
              </w:rPr>
            </w:pPr>
          </w:p>
        </w:tc>
        <w:tc>
          <w:tcPr>
            <w:tcW w:w="1880" w:type="dxa"/>
            <w:vAlign w:val="bottom"/>
            <w:tcBorders>
              <w:bottom w:val="single" w:sz="8" w:color="auto"/>
            </w:tcBorders>
          </w:tcPr>
          <w:p>
            <w:pPr>
              <w:jc w:val="right"/>
              <w:ind w:right="910"/>
              <w:spacing w:after="0"/>
              <w:rPr>
                <w:sz w:val="20"/>
                <w:szCs w:val="20"/>
                <w:color w:val="auto"/>
              </w:rPr>
            </w:pPr>
            <w:r>
              <w:rPr>
                <w:rFonts w:ascii="Times New Roman" w:cs="Times New Roman" w:eastAsia="Times New Roman" w:hAnsi="Times New Roman"/>
                <w:sz w:val="18"/>
                <w:szCs w:val="18"/>
                <w:color w:val="auto"/>
              </w:rPr>
              <w:t>.3</w:t>
            </w:r>
          </w:p>
        </w:tc>
        <w:tc>
          <w:tcPr>
            <w:tcW w:w="68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2.0</w:t>
            </w:r>
          </w:p>
        </w:tc>
      </w:tr>
      <w:tr>
        <w:trPr>
          <w:trHeight w:val="217"/>
        </w:trPr>
        <w:tc>
          <w:tcPr>
            <w:tcW w:w="678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expense, net</w:t>
            </w:r>
          </w:p>
        </w:tc>
        <w:tc>
          <w:tcPr>
            <w:tcW w:w="120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880" w:type="dxa"/>
            <w:vAlign w:val="bottom"/>
            <w:tcBorders>
              <w:bottom w:val="single" w:sz="8" w:color="auto"/>
            </w:tcBorders>
            <w:shd w:val="clear" w:color="auto" w:fill="CCEEFF"/>
          </w:tcPr>
          <w:p>
            <w:pPr>
              <w:jc w:val="right"/>
              <w:ind w:right="910"/>
              <w:spacing w:after="0"/>
              <w:rPr>
                <w:sz w:val="20"/>
                <w:szCs w:val="20"/>
                <w:color w:val="auto"/>
              </w:rPr>
            </w:pPr>
            <w:r>
              <w:rPr>
                <w:rFonts w:ascii="Times New Roman" w:cs="Times New Roman" w:eastAsia="Times New Roman" w:hAnsi="Times New Roman"/>
                <w:sz w:val="18"/>
                <w:szCs w:val="18"/>
                <w:color w:val="auto"/>
              </w:rPr>
              <w:t>10.8</w:t>
            </w:r>
          </w:p>
        </w:tc>
        <w:tc>
          <w:tcPr>
            <w:tcW w:w="680" w:type="dxa"/>
            <w:vAlign w:val="bottom"/>
            <w:tcBorders>
              <w:bottom w:val="single" w:sz="8" w:color="auto"/>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4.6</w:t>
            </w:r>
          </w:p>
        </w:tc>
      </w:tr>
    </w:tbl>
    <w:p>
      <w:pPr>
        <w:spacing w:after="0" w:line="198"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Refer to Note 9, “Cost Reduction Actions,” to the unaudited Condensed Consolidated Financial Statements for more information regarding charges associated with restructuring.</w:t>
      </w:r>
    </w:p>
    <w:p>
      <w:pPr>
        <w:spacing w:after="0" w:line="16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w:anchor="page1">
        <w:r>
          <w:rPr>
            <w:rFonts w:ascii="Times New Roman" w:cs="Times New Roman" w:eastAsia="Times New Roman" w:hAnsi="Times New Roman"/>
            <w:sz w:val="18"/>
            <w:szCs w:val="18"/>
            <w:u w:val="single" w:color="auto"/>
            <w:color w:val="0000EE"/>
          </w:rPr>
          <w:t>Table of Contents</w:t>
        </w:r>
      </w:hyperlink>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676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220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w w:val="99"/>
              </w:rPr>
              <w:t>Avery Dennison Corporation</w:t>
            </w:r>
          </w:p>
        </w:tc>
        <w:tc>
          <w:tcPr>
            <w:tcW w:w="0" w:type="dxa"/>
            <w:vAlign w:val="bottom"/>
          </w:tcPr>
          <w:p>
            <w:pPr>
              <w:spacing w:after="0"/>
              <w:rPr>
                <w:sz w:val="1"/>
                <w:szCs w:val="1"/>
                <w:color w:val="auto"/>
              </w:rPr>
            </w:pPr>
          </w:p>
        </w:tc>
      </w:tr>
      <w:tr>
        <w:trPr>
          <w:trHeight w:val="432"/>
        </w:trPr>
        <w:tc>
          <w:tcPr>
            <w:tcW w:w="67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Net Income and Earnings per Share</w:t>
            </w:r>
          </w:p>
        </w:tc>
        <w:tc>
          <w:tcPr>
            <w:tcW w:w="12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6760" w:type="dxa"/>
            <w:vAlign w:val="bottom"/>
          </w:tcPr>
          <w:p>
            <w:pPr>
              <w:spacing w:after="0"/>
              <w:rPr>
                <w:sz w:val="24"/>
                <w:szCs w:val="24"/>
                <w:color w:val="auto"/>
              </w:rPr>
            </w:pPr>
          </w:p>
        </w:tc>
        <w:tc>
          <w:tcPr>
            <w:tcW w:w="1280" w:type="dxa"/>
            <w:vAlign w:val="bottom"/>
            <w:tcBorders>
              <w:bottom w:val="single" w:sz="8" w:color="auto"/>
            </w:tcBorders>
          </w:tcPr>
          <w:p>
            <w:pPr>
              <w:spacing w:after="0"/>
              <w:rPr>
                <w:sz w:val="24"/>
                <w:szCs w:val="24"/>
                <w:color w:val="auto"/>
              </w:rPr>
            </w:pPr>
          </w:p>
        </w:tc>
        <w:tc>
          <w:tcPr>
            <w:tcW w:w="2420" w:type="dxa"/>
            <w:vAlign w:val="bottom"/>
            <w:tcBorders>
              <w:bottom w:val="single" w:sz="8" w:color="auto"/>
            </w:tcBorders>
            <w:gridSpan w:val="2"/>
          </w:tcPr>
          <w:p>
            <w:pPr>
              <w:jc w:val="right"/>
              <w:ind w:right="61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94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67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(Dollars in millions, except per share amounts)</w:t>
            </w:r>
          </w:p>
        </w:tc>
        <w:tc>
          <w:tcPr>
            <w:tcW w:w="246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September 30, 2017</w:t>
            </w:r>
          </w:p>
        </w:tc>
        <w:tc>
          <w:tcPr>
            <w:tcW w:w="2180" w:type="dxa"/>
            <w:vAlign w:val="bottom"/>
            <w:gridSpan w:val="2"/>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October 1, 2016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7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before taxes</w:t>
            </w:r>
          </w:p>
        </w:tc>
        <w:tc>
          <w:tcPr>
            <w:tcW w:w="128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top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146.8</w:t>
            </w:r>
          </w:p>
        </w:tc>
        <w:tc>
          <w:tcPr>
            <w:tcW w:w="1240" w:type="dxa"/>
            <w:vAlign w:val="bottom"/>
            <w:tcBorders>
              <w:top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128.0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128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38.5</w:t>
            </w:r>
          </w:p>
        </w:tc>
        <w:tc>
          <w:tcPr>
            <w:tcW w:w="12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38.9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76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w:t>
            </w:r>
          </w:p>
        </w:tc>
        <w:tc>
          <w:tcPr>
            <w:tcW w:w="12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108.3</w:t>
            </w:r>
          </w:p>
        </w:tc>
        <w:tc>
          <w:tcPr>
            <w:tcW w:w="124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89.1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60" w:type="dxa"/>
            <w:vAlign w:val="bottom"/>
          </w:tcPr>
          <w:p>
            <w:pPr>
              <w:spacing w:after="0"/>
              <w:rPr>
                <w:sz w:val="20"/>
                <w:szCs w:val="20"/>
                <w:color w:val="auto"/>
              </w:rPr>
            </w:pPr>
            <w:r>
              <w:rPr>
                <w:rFonts w:ascii="Times New Roman" w:cs="Times New Roman" w:eastAsia="Times New Roman" w:hAnsi="Times New Roman"/>
                <w:sz w:val="18"/>
                <w:szCs w:val="18"/>
                <w:color w:val="auto"/>
              </w:rPr>
              <w:t>Net income per common share</w:t>
            </w:r>
          </w:p>
        </w:tc>
        <w:tc>
          <w:tcPr>
            <w:tcW w:w="12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1.23</w:t>
            </w:r>
          </w:p>
        </w:tc>
        <w:tc>
          <w:tcPr>
            <w:tcW w:w="124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1.00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76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 per common share, assuming dilution</w:t>
            </w:r>
          </w:p>
        </w:tc>
        <w:tc>
          <w:tcPr>
            <w:tcW w:w="128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1.20</w:t>
            </w:r>
          </w:p>
        </w:tc>
        <w:tc>
          <w:tcPr>
            <w:tcW w:w="124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.98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7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676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Effective tax rate</w:t>
            </w:r>
          </w:p>
        </w:tc>
        <w:tc>
          <w:tcPr>
            <w:tcW w:w="128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26.2%</w:t>
            </w:r>
          </w:p>
        </w:tc>
        <w:tc>
          <w:tcPr>
            <w:tcW w:w="124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30.4%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Provision for Income Taxes</w:t>
      </w:r>
    </w:p>
    <w:p>
      <w:pPr>
        <w:spacing w:after="0" w:line="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effective tax rate for the three months ended September 30, 2017 included $1.7 million of tax benefit from the releases of valuation allowances on certain U.S. state deferred tax assets and $1.1 million of tax benefit from the effective settlements of certain tax examinations and changes in our judgment about tax filing positions as a result of new information.</w:t>
      </w:r>
    </w:p>
    <w:p>
      <w:pPr>
        <w:spacing w:after="0" w:line="18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effective tax rate for the three months ended September 30, 2017 also included the immediate recognition of $1.6 million of tax expense primarily from intra-entity sales and transfers of assets other than inventory related to the integration of a recent acquisition. The remaining tax effects were recognized as deferred tax charges and recorded in “Other current assets” and “Other assets.” However, we expect the deferred tax charges to be derecognized as an adjustment to retained earnings upon adoption of the accounting guidance update described in Note 17, “Recent Accounting Requirements,” to the unaudited Condensed Consolidated Financial Statements.</w:t>
      </w:r>
    </w:p>
    <w:p>
      <w:pPr>
        <w:spacing w:after="0" w:line="18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addition, the effective tax rate for the three months ended September 30, 2017 compared to the same period last year reflects a decrease in tax expense related to the repatriation of non-permanently reinvested earnings of certain foreign subsidiaries and favorable changes in the geographic mix of our income before taxes.</w:t>
      </w:r>
    </w:p>
    <w:p>
      <w:pPr>
        <w:spacing w:after="0" w:line="17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effective tax rate for the three months ended October 1, 2016 included $4.8 million of tax expense resulting from return to provision adjustments pursuant to the completion of the 2015 U.S. federal tax return; $1 million of tax benefit from our change in judgment about tax filing positions in certain foreign jurisdictions as a result of new information gained from our interactions with tax authorities; $17.7 million of tax expense associated with the tax cost to repatriate non-permanently reinvested earnings of certain foreign subsidiaries; and $11.1 million of tax benefit resulting from effective settlements of tax examinations in various foreign jurisdictions.</w:t>
      </w:r>
    </w:p>
    <w:p>
      <w:pPr>
        <w:spacing w:after="0" w:line="18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effective tax rate can vary widely from quarter to quarter due to interim reporting requirements, the recognition of discrete events, and the timing of repatriation of foreign earnings. Refer to Note 11, “Taxes Based on Income,” to the unaudited Condensed Consolidated Financial Statements for further information.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RESULTS OF OPERATIONS BY REPORTABLE SEGMENT FOR THE THIRD QUARTER</w:t>
      </w:r>
    </w:p>
    <w:p>
      <w:pPr>
        <w:sectPr>
          <w:pgSz w:w="11900" w:h="16839" w:orient="portrait"/>
          <w:cols w:equalWidth="0" w:num="1">
            <w:col w:w="11420"/>
          </w:cols>
          <w:pgMar w:left="240" w:top="121" w:right="239" w:bottom="0" w:gutter="0" w:footer="0" w:header="0"/>
        </w:sectPr>
      </w:pPr>
    </w:p>
    <w:bookmarkStart w:id="17" w:name="page18"/>
    <w:bookmarkEnd w:id="17"/>
    <w:tbl>
      <w:tblPr>
        <w:tblLayout w:type="fixed"/>
        <w:tblInd w:w="0" w:type="dxa"/>
        <w:tblCellMar>
          <w:top w:w="0" w:type="dxa"/>
          <w:left w:w="0" w:type="dxa"/>
          <w:bottom w:w="0" w:type="dxa"/>
          <w:right w:w="0" w:type="dxa"/>
        </w:tblCellMar>
      </w:tblPr>
      <w:tr>
        <w:trPr>
          <w:trHeight w:val="234"/>
        </w:trPr>
        <w:tc>
          <w:tcPr>
            <w:tcW w:w="67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Operating income refers to income before interest and taxes.</w:t>
            </w:r>
          </w:p>
        </w:tc>
        <w:tc>
          <w:tcPr>
            <w:tcW w:w="1280" w:type="dxa"/>
            <w:vAlign w:val="bottom"/>
          </w:tcPr>
          <w:p>
            <w:pPr>
              <w:spacing w:after="0"/>
              <w:rPr>
                <w:sz w:val="20"/>
                <w:szCs w:val="20"/>
                <w:color w:val="auto"/>
              </w:rPr>
            </w:pPr>
          </w:p>
        </w:tc>
        <w:tc>
          <w:tcPr>
            <w:tcW w:w="18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67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i w:val="1"/>
                <w:iCs w:val="1"/>
                <w:color w:val="auto"/>
              </w:rPr>
              <w:t>Label and Graphic Materials</w:t>
            </w:r>
          </w:p>
        </w:tc>
        <w:tc>
          <w:tcPr>
            <w:tcW w:w="128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6760" w:type="dxa"/>
            <w:vAlign w:val="bottom"/>
          </w:tcPr>
          <w:p>
            <w:pPr>
              <w:spacing w:after="0"/>
              <w:rPr>
                <w:sz w:val="24"/>
                <w:szCs w:val="24"/>
                <w:color w:val="auto"/>
              </w:rPr>
            </w:pPr>
          </w:p>
        </w:tc>
        <w:tc>
          <w:tcPr>
            <w:tcW w:w="1280" w:type="dxa"/>
            <w:vAlign w:val="bottom"/>
            <w:tcBorders>
              <w:bottom w:val="single" w:sz="8" w:color="auto"/>
            </w:tcBorders>
          </w:tcPr>
          <w:p>
            <w:pPr>
              <w:spacing w:after="0"/>
              <w:rPr>
                <w:sz w:val="24"/>
                <w:szCs w:val="24"/>
                <w:color w:val="auto"/>
              </w:rPr>
            </w:pPr>
          </w:p>
        </w:tc>
        <w:tc>
          <w:tcPr>
            <w:tcW w:w="1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56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67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(In millions)</w:t>
            </w:r>
          </w:p>
        </w:tc>
        <w:tc>
          <w:tcPr>
            <w:tcW w:w="3080" w:type="dxa"/>
            <w:vAlign w:val="bottom"/>
            <w:gridSpan w:val="2"/>
          </w:tcPr>
          <w:p>
            <w:pPr>
              <w:jc w:val="right"/>
              <w:ind w:right="770"/>
              <w:spacing w:after="0"/>
              <w:rPr>
                <w:sz w:val="20"/>
                <w:szCs w:val="20"/>
                <w:color w:val="auto"/>
              </w:rPr>
            </w:pPr>
            <w:r>
              <w:rPr>
                <w:rFonts w:ascii="Times New Roman" w:cs="Times New Roman" w:eastAsia="Times New Roman" w:hAnsi="Times New Roman"/>
                <w:sz w:val="18"/>
                <w:szCs w:val="18"/>
                <w:b w:val="1"/>
                <w:bCs w:val="1"/>
                <w:color w:val="auto"/>
              </w:rPr>
              <w:t>September 30, 2017</w:t>
            </w:r>
          </w:p>
        </w:tc>
        <w:tc>
          <w:tcPr>
            <w:tcW w:w="1560" w:type="dxa"/>
            <w:vAlign w:val="bottom"/>
            <w:gridSpan w:val="2"/>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October 1, 2016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7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sales including intersegment sales</w:t>
            </w:r>
          </w:p>
        </w:tc>
        <w:tc>
          <w:tcPr>
            <w:tcW w:w="128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800" w:type="dxa"/>
            <w:vAlign w:val="bottom"/>
            <w:tcBorders>
              <w:top w:val="single" w:sz="8" w:color="auto"/>
            </w:tcBorders>
            <w:shd w:val="clear" w:color="auto" w:fill="CCEEFF"/>
          </w:tcPr>
          <w:p>
            <w:pPr>
              <w:jc w:val="right"/>
              <w:ind w:right="770"/>
              <w:spacing w:after="0"/>
              <w:rPr>
                <w:sz w:val="20"/>
                <w:szCs w:val="20"/>
                <w:color w:val="auto"/>
              </w:rPr>
            </w:pPr>
            <w:r>
              <w:rPr>
                <w:rFonts w:ascii="Times New Roman" w:cs="Times New Roman" w:eastAsia="Times New Roman" w:hAnsi="Times New Roman"/>
                <w:sz w:val="18"/>
                <w:szCs w:val="18"/>
                <w:color w:val="auto"/>
              </w:rPr>
              <w:t>1,153.5</w:t>
            </w:r>
          </w:p>
        </w:tc>
        <w:tc>
          <w:tcPr>
            <w:tcW w:w="560" w:type="dxa"/>
            <w:vAlign w:val="bottom"/>
            <w:tcBorders>
              <w:top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1,062.9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Less intersegment sales</w:t>
            </w:r>
          </w:p>
        </w:tc>
        <w:tc>
          <w:tcPr>
            <w:tcW w:w="1280" w:type="dxa"/>
            <w:vAlign w:val="bottom"/>
            <w:tcBorders>
              <w:bottom w:val="single" w:sz="8" w:color="auto"/>
            </w:tcBorders>
          </w:tcPr>
          <w:p>
            <w:pPr>
              <w:spacing w:after="0"/>
              <w:rPr>
                <w:sz w:val="18"/>
                <w:szCs w:val="18"/>
                <w:color w:val="auto"/>
              </w:rPr>
            </w:pPr>
          </w:p>
        </w:tc>
        <w:tc>
          <w:tcPr>
            <w:tcW w:w="1800" w:type="dxa"/>
            <w:vAlign w:val="bottom"/>
            <w:tcBorders>
              <w:bottom w:val="single" w:sz="8" w:color="auto"/>
            </w:tcBorders>
          </w:tcPr>
          <w:p>
            <w:pPr>
              <w:jc w:val="right"/>
              <w:ind w:right="710"/>
              <w:spacing w:after="0"/>
              <w:rPr>
                <w:sz w:val="20"/>
                <w:szCs w:val="20"/>
                <w:color w:val="auto"/>
              </w:rPr>
            </w:pPr>
            <w:r>
              <w:rPr>
                <w:rFonts w:ascii="Times New Roman" w:cs="Times New Roman" w:eastAsia="Times New Roman" w:hAnsi="Times New Roman"/>
                <w:sz w:val="18"/>
                <w:szCs w:val="18"/>
                <w:color w:val="auto"/>
              </w:rPr>
              <w:t>(16.2)</w:t>
            </w:r>
          </w:p>
        </w:tc>
        <w:tc>
          <w:tcPr>
            <w:tcW w:w="56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(16.6)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sales</w:t>
            </w:r>
          </w:p>
        </w:tc>
        <w:tc>
          <w:tcPr>
            <w:tcW w:w="12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800" w:type="dxa"/>
            <w:vAlign w:val="bottom"/>
            <w:shd w:val="clear" w:color="auto" w:fill="CCEEFF"/>
          </w:tcPr>
          <w:p>
            <w:pPr>
              <w:jc w:val="right"/>
              <w:ind w:right="770"/>
              <w:spacing w:after="0"/>
              <w:rPr>
                <w:sz w:val="20"/>
                <w:szCs w:val="20"/>
                <w:color w:val="auto"/>
              </w:rPr>
            </w:pPr>
            <w:r>
              <w:rPr>
                <w:rFonts w:ascii="Times New Roman" w:cs="Times New Roman" w:eastAsia="Times New Roman" w:hAnsi="Times New Roman"/>
                <w:sz w:val="18"/>
                <w:szCs w:val="18"/>
                <w:color w:val="auto"/>
              </w:rPr>
              <w:t>1,137.3</w:t>
            </w:r>
          </w:p>
        </w:tc>
        <w:tc>
          <w:tcPr>
            <w:tcW w:w="56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1,046.3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760" w:type="dxa"/>
            <w:vAlign w:val="bottom"/>
            <w:tcBorders>
              <w:bottom w:val="single" w:sz="8" w:color="auto"/>
            </w:tcBorders>
          </w:tcPr>
          <w:p>
            <w:pPr>
              <w:spacing w:after="0" w:line="216" w:lineRule="exact"/>
              <w:rPr>
                <w:sz w:val="20"/>
                <w:szCs w:val="20"/>
                <w:color w:val="auto"/>
              </w:rPr>
            </w:pPr>
            <w:r>
              <w:rPr>
                <w:rFonts w:ascii="Times New Roman" w:cs="Times New Roman" w:eastAsia="Times New Roman" w:hAnsi="Times New Roman"/>
                <w:sz w:val="18"/>
                <w:szCs w:val="18"/>
                <w:color w:val="auto"/>
              </w:rPr>
              <w:t>Operating income</w:t>
            </w:r>
            <w:r>
              <w:rPr>
                <w:rFonts w:ascii="Times New Roman" w:cs="Times New Roman" w:eastAsia="Times New Roman" w:hAnsi="Times New Roman"/>
                <w:sz w:val="23"/>
                <w:szCs w:val="23"/>
                <w:color w:val="auto"/>
                <w:vertAlign w:val="superscript"/>
              </w:rPr>
              <w:t>(1)</w:t>
            </w:r>
          </w:p>
        </w:tc>
        <w:tc>
          <w:tcPr>
            <w:tcW w:w="1280" w:type="dxa"/>
            <w:vAlign w:val="bottom"/>
            <w:tcBorders>
              <w:bottom w:val="single" w:sz="8" w:color="auto"/>
            </w:tcBorders>
          </w:tcPr>
          <w:p>
            <w:pPr>
              <w:spacing w:after="0"/>
              <w:rPr>
                <w:sz w:val="19"/>
                <w:szCs w:val="19"/>
                <w:color w:val="auto"/>
              </w:rPr>
            </w:pPr>
          </w:p>
        </w:tc>
        <w:tc>
          <w:tcPr>
            <w:tcW w:w="1800" w:type="dxa"/>
            <w:vAlign w:val="bottom"/>
            <w:tcBorders>
              <w:bottom w:val="single" w:sz="8" w:color="auto"/>
            </w:tcBorders>
          </w:tcPr>
          <w:p>
            <w:pPr>
              <w:jc w:val="right"/>
              <w:ind w:right="770"/>
              <w:spacing w:after="0"/>
              <w:rPr>
                <w:sz w:val="20"/>
                <w:szCs w:val="20"/>
                <w:color w:val="auto"/>
              </w:rPr>
            </w:pPr>
            <w:r>
              <w:rPr>
                <w:rFonts w:ascii="Times New Roman" w:cs="Times New Roman" w:eastAsia="Times New Roman" w:hAnsi="Times New Roman"/>
                <w:sz w:val="18"/>
                <w:szCs w:val="18"/>
                <w:color w:val="auto"/>
              </w:rPr>
              <w:t>145.5</w:t>
            </w:r>
          </w:p>
        </w:tc>
        <w:tc>
          <w:tcPr>
            <w:tcW w:w="5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130.7</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76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8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Borders>
              <w:bottom w:val="single" w:sz="8" w:color="auto"/>
            </w:tcBorders>
            <w:vMerge w:val="continue"/>
          </w:tcPr>
          <w:p>
            <w:pPr>
              <w:spacing w:after="0"/>
              <w:rPr>
                <w:sz w:val="19"/>
                <w:szCs w:val="19"/>
                <w:color w:val="auto"/>
              </w:rPr>
            </w:pPr>
          </w:p>
        </w:tc>
        <w:tc>
          <w:tcPr>
            <w:tcW w:w="6760" w:type="dxa"/>
            <w:vAlign w:val="bottom"/>
            <w:tcBorders>
              <w:bottom w:val="single" w:sz="8" w:color="auto"/>
            </w:tcBorders>
          </w:tcPr>
          <w:p>
            <w:pPr>
              <w:spacing w:after="0" w:line="216" w:lineRule="exact"/>
              <w:rPr>
                <w:sz w:val="20"/>
                <w:szCs w:val="20"/>
                <w:color w:val="auto"/>
              </w:rPr>
            </w:pPr>
            <w:r>
              <w:rPr>
                <w:rFonts w:ascii="Times New Roman" w:cs="Times New Roman" w:eastAsia="Times New Roman" w:hAnsi="Times New Roman"/>
                <w:sz w:val="23"/>
                <w:szCs w:val="23"/>
                <w:color w:val="auto"/>
                <w:vertAlign w:val="superscript"/>
              </w:rPr>
              <w:t>(1)</w:t>
            </w:r>
            <w:r>
              <w:rPr>
                <w:rFonts w:ascii="Times New Roman" w:cs="Times New Roman" w:eastAsia="Times New Roman" w:hAnsi="Times New Roman"/>
                <w:sz w:val="18"/>
                <w:szCs w:val="18"/>
                <w:color w:val="auto"/>
              </w:rPr>
              <w:t xml:space="preserve"> Included costs associated with restructuring and transaction costs in both quarters.</w:t>
            </w:r>
          </w:p>
        </w:tc>
        <w:tc>
          <w:tcPr>
            <w:tcW w:w="12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800" w:type="dxa"/>
            <w:vAlign w:val="bottom"/>
            <w:tcBorders>
              <w:bottom w:val="single" w:sz="8" w:color="auto"/>
            </w:tcBorders>
          </w:tcPr>
          <w:p>
            <w:pPr>
              <w:jc w:val="right"/>
              <w:ind w:right="770"/>
              <w:spacing w:after="0"/>
              <w:rPr>
                <w:sz w:val="20"/>
                <w:szCs w:val="20"/>
                <w:color w:val="auto"/>
              </w:rPr>
            </w:pPr>
            <w:r>
              <w:rPr>
                <w:rFonts w:ascii="Times New Roman" w:cs="Times New Roman" w:eastAsia="Times New Roman" w:hAnsi="Times New Roman"/>
                <w:sz w:val="18"/>
                <w:szCs w:val="18"/>
                <w:color w:val="auto"/>
              </w:rPr>
              <w:t>3.2</w:t>
            </w:r>
          </w:p>
        </w:tc>
        <w:tc>
          <w:tcPr>
            <w:tcW w:w="56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2.7</w:t>
            </w: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11240"/>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w:anchor="page1">
        <w:r>
          <w:rPr>
            <w:rFonts w:ascii="Times New Roman" w:cs="Times New Roman" w:eastAsia="Times New Roman" w:hAnsi="Times New Roman"/>
            <w:sz w:val="18"/>
            <w:szCs w:val="18"/>
            <w:u w:val="single" w:color="auto"/>
            <w:color w:val="0000EE"/>
          </w:rPr>
          <w:t>Table of Contents</w:t>
        </w:r>
      </w:hyperlink>
    </w:p>
    <w:p>
      <w:pPr>
        <w:spacing w:after="0" w:line="225" w:lineRule="exact"/>
        <w:rPr>
          <w:sz w:val="20"/>
          <w:szCs w:val="20"/>
          <w:color w:val="auto"/>
        </w:rPr>
      </w:pPr>
    </w:p>
    <w:p>
      <w:pPr>
        <w:ind w:left="9340"/>
        <w:spacing w:after="0"/>
        <w:rPr>
          <w:sz w:val="20"/>
          <w:szCs w:val="20"/>
          <w:color w:val="auto"/>
        </w:rPr>
      </w:pPr>
      <w:r>
        <w:rPr>
          <w:rFonts w:ascii="Times New Roman" w:cs="Times New Roman" w:eastAsia="Times New Roman" w:hAnsi="Times New Roman"/>
          <w:sz w:val="17"/>
          <w:szCs w:val="17"/>
          <w:color w:val="auto"/>
        </w:rPr>
        <w:t>Avery Dennison Corporation</w:t>
      </w: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Net Sales</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factors impacting reported sales change are shown in the table below:</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720" w:type="dxa"/>
            <w:vAlign w:val="bottom"/>
          </w:tcPr>
          <w:p>
            <w:pPr>
              <w:spacing w:after="0"/>
              <w:rPr>
                <w:sz w:val="18"/>
                <w:szCs w:val="18"/>
                <w:color w:val="auto"/>
              </w:rPr>
            </w:pPr>
          </w:p>
        </w:tc>
        <w:tc>
          <w:tcPr>
            <w:tcW w:w="4420" w:type="dxa"/>
            <w:vAlign w:val="bottom"/>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Three Months Ended</w:t>
            </w:r>
          </w:p>
        </w:tc>
      </w:tr>
      <w:tr>
        <w:trPr>
          <w:trHeight w:val="238"/>
        </w:trPr>
        <w:tc>
          <w:tcPr>
            <w:tcW w:w="4720" w:type="dxa"/>
            <w:vAlign w:val="bottom"/>
            <w:tcBorders>
              <w:bottom w:val="single" w:sz="8" w:color="auto"/>
            </w:tcBorders>
          </w:tcPr>
          <w:p>
            <w:pPr>
              <w:spacing w:after="0"/>
              <w:rPr>
                <w:sz w:val="20"/>
                <w:szCs w:val="20"/>
                <w:color w:val="auto"/>
              </w:rPr>
            </w:pPr>
          </w:p>
        </w:tc>
        <w:tc>
          <w:tcPr>
            <w:tcW w:w="442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September 30, 2017</w:t>
            </w:r>
          </w:p>
        </w:tc>
      </w:tr>
      <w:tr>
        <w:trPr>
          <w:trHeight w:val="210"/>
        </w:trPr>
        <w:tc>
          <w:tcPr>
            <w:tcW w:w="4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Reported sales change</w:t>
            </w:r>
          </w:p>
        </w:tc>
        <w:tc>
          <w:tcPr>
            <w:tcW w:w="442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9%</w:t>
            </w:r>
          </w:p>
        </w:tc>
      </w:tr>
      <w:tr>
        <w:trPr>
          <w:trHeight w:val="216"/>
        </w:trPr>
        <w:tc>
          <w:tcPr>
            <w:tcW w:w="472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Foreign currency translation</w:t>
            </w:r>
          </w:p>
        </w:tc>
        <w:tc>
          <w:tcPr>
            <w:tcW w:w="44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(2)</w:t>
            </w:r>
          </w:p>
        </w:tc>
      </w:tr>
      <w:tr>
        <w:trPr>
          <w:trHeight w:val="210"/>
        </w:trPr>
        <w:tc>
          <w:tcPr>
            <w:tcW w:w="472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Sales change ex. currency</w:t>
            </w:r>
          </w:p>
        </w:tc>
        <w:tc>
          <w:tcPr>
            <w:tcW w:w="442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7%</w:t>
            </w:r>
          </w:p>
        </w:tc>
      </w:tr>
      <w:tr>
        <w:trPr>
          <w:trHeight w:val="210"/>
        </w:trPr>
        <w:tc>
          <w:tcPr>
            <w:tcW w:w="472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Acquisitions</w:t>
            </w:r>
          </w:p>
        </w:tc>
        <w:tc>
          <w:tcPr>
            <w:tcW w:w="44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(2)</w:t>
            </w:r>
          </w:p>
        </w:tc>
      </w:tr>
      <w:tr>
        <w:trPr>
          <w:trHeight w:val="217"/>
        </w:trPr>
        <w:tc>
          <w:tcPr>
            <w:tcW w:w="472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Organic sales change</w:t>
            </w:r>
          </w:p>
        </w:tc>
        <w:tc>
          <w:tcPr>
            <w:tcW w:w="442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5%</w:t>
            </w:r>
          </w:p>
        </w:tc>
      </w:tr>
    </w:tbl>
    <w:p>
      <w:pPr>
        <w:spacing w:after="0" w:line="19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the third quarter of 2017, net sales increased on an organic basis due to higher volume. Sales increased on an organic basis at a high-single digit rate in emerging markets, a mid-single digit rate in Western Europe, and a low-single digit rate in North America.</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Operating Income</w:t>
      </w:r>
    </w:p>
    <w:p>
      <w:pPr>
        <w:spacing w:after="0" w:line="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Operating income increased in the third quarter of 2017 compared to the same period last year due to higher volume and benefits from productivity initiatives, including savings from restructuring actions, net of transition costs, partially offset by higher employee-related costs and the net impact of pricing and raw material costs.</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7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i w:val="1"/>
                <w:iCs w:val="1"/>
                <w:color w:val="auto"/>
              </w:rPr>
              <w:t>Retail Branding and Information Solutions</w:t>
            </w:r>
          </w:p>
        </w:tc>
        <w:tc>
          <w:tcPr>
            <w:tcW w:w="12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6760" w:type="dxa"/>
            <w:vAlign w:val="bottom"/>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1860" w:type="dxa"/>
            <w:vAlign w:val="bottom"/>
            <w:tcBorders>
              <w:bottom w:val="single" w:sz="8" w:color="auto"/>
            </w:tcBorders>
            <w:gridSpan w:val="2"/>
          </w:tcPr>
          <w:p>
            <w:pPr>
              <w:ind w:left="16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62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67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(In millions)</w:t>
            </w:r>
          </w:p>
        </w:tc>
        <w:tc>
          <w:tcPr>
            <w:tcW w:w="3060" w:type="dxa"/>
            <w:vAlign w:val="bottom"/>
            <w:gridSpan w:val="3"/>
          </w:tcPr>
          <w:p>
            <w:pPr>
              <w:ind w:left="700"/>
              <w:spacing w:after="0"/>
              <w:rPr>
                <w:sz w:val="20"/>
                <w:szCs w:val="20"/>
                <w:color w:val="auto"/>
              </w:rPr>
            </w:pPr>
            <w:r>
              <w:rPr>
                <w:rFonts w:ascii="Times New Roman" w:cs="Times New Roman" w:eastAsia="Times New Roman" w:hAnsi="Times New Roman"/>
                <w:sz w:val="18"/>
                <w:szCs w:val="18"/>
                <w:b w:val="1"/>
                <w:bCs w:val="1"/>
                <w:color w:val="auto"/>
              </w:rPr>
              <w:t>September 30, 2017</w:t>
            </w:r>
          </w:p>
        </w:tc>
        <w:tc>
          <w:tcPr>
            <w:tcW w:w="1580" w:type="dxa"/>
            <w:vAlign w:val="bottom"/>
            <w:gridSpan w:val="2"/>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October 1, 2016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7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sales including intersegment sales</w:t>
            </w:r>
          </w:p>
        </w:tc>
        <w:tc>
          <w:tcPr>
            <w:tcW w:w="120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374.5</w:t>
            </w:r>
          </w:p>
        </w:tc>
        <w:tc>
          <w:tcPr>
            <w:tcW w:w="70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352.1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Less intersegment sales</w:t>
            </w:r>
          </w:p>
        </w:tc>
        <w:tc>
          <w:tcPr>
            <w:tcW w:w="120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ind w:left="800"/>
              <w:spacing w:after="0"/>
              <w:rPr>
                <w:sz w:val="20"/>
                <w:szCs w:val="20"/>
                <w:color w:val="auto"/>
              </w:rPr>
            </w:pPr>
            <w:r>
              <w:rPr>
                <w:rFonts w:ascii="Times New Roman" w:cs="Times New Roman" w:eastAsia="Times New Roman" w:hAnsi="Times New Roman"/>
                <w:sz w:val="18"/>
                <w:szCs w:val="18"/>
                <w:color w:val="auto"/>
              </w:rPr>
              <w:t>(.7)</w:t>
            </w:r>
          </w:p>
        </w:tc>
        <w:tc>
          <w:tcPr>
            <w:tcW w:w="70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sales</w:t>
            </w:r>
          </w:p>
        </w:tc>
        <w:tc>
          <w:tcPr>
            <w:tcW w:w="120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373.8</w:t>
            </w:r>
          </w:p>
        </w:tc>
        <w:tc>
          <w:tcPr>
            <w:tcW w:w="700" w:type="dxa"/>
            <w:vAlign w:val="bottom"/>
            <w:shd w:val="clear" w:color="auto" w:fill="CCEEFF"/>
          </w:tcPr>
          <w:p>
            <w:pPr>
              <w:spacing w:after="0"/>
              <w:rPr>
                <w:sz w:val="18"/>
                <w:szCs w:val="18"/>
                <w:color w:val="auto"/>
              </w:rPr>
            </w:pPr>
          </w:p>
        </w:tc>
        <w:tc>
          <w:tcPr>
            <w:tcW w:w="62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351.5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760" w:type="dxa"/>
            <w:vAlign w:val="bottom"/>
            <w:tcBorders>
              <w:bottom w:val="single" w:sz="8" w:color="auto"/>
            </w:tcBorders>
          </w:tcPr>
          <w:p>
            <w:pPr>
              <w:spacing w:after="0" w:line="216" w:lineRule="exact"/>
              <w:rPr>
                <w:sz w:val="20"/>
                <w:szCs w:val="20"/>
                <w:color w:val="auto"/>
              </w:rPr>
            </w:pPr>
            <w:r>
              <w:rPr>
                <w:rFonts w:ascii="Times New Roman" w:cs="Times New Roman" w:eastAsia="Times New Roman" w:hAnsi="Times New Roman"/>
                <w:sz w:val="18"/>
                <w:szCs w:val="18"/>
                <w:color w:val="auto"/>
              </w:rPr>
              <w:t>Operating income</w:t>
            </w:r>
            <w:r>
              <w:rPr>
                <w:rFonts w:ascii="Times New Roman" w:cs="Times New Roman" w:eastAsia="Times New Roman" w:hAnsi="Times New Roman"/>
                <w:sz w:val="23"/>
                <w:szCs w:val="23"/>
                <w:color w:val="auto"/>
                <w:vertAlign w:val="superscript"/>
              </w:rPr>
              <w:t>(1)</w:t>
            </w:r>
          </w:p>
        </w:tc>
        <w:tc>
          <w:tcPr>
            <w:tcW w:w="120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25.3</w:t>
            </w:r>
          </w:p>
        </w:tc>
        <w:tc>
          <w:tcPr>
            <w:tcW w:w="70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23.2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7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Borders>
              <w:bottom w:val="single" w:sz="8" w:color="auto"/>
            </w:tcBorders>
            <w:vMerge w:val="continue"/>
          </w:tcPr>
          <w:p>
            <w:pPr>
              <w:spacing w:after="0"/>
              <w:rPr>
                <w:sz w:val="19"/>
                <w:szCs w:val="19"/>
                <w:color w:val="auto"/>
              </w:rPr>
            </w:pPr>
          </w:p>
        </w:tc>
        <w:tc>
          <w:tcPr>
            <w:tcW w:w="6760" w:type="dxa"/>
            <w:vAlign w:val="bottom"/>
            <w:tcBorders>
              <w:bottom w:val="single" w:sz="8" w:color="auto"/>
            </w:tcBorders>
          </w:tcPr>
          <w:p>
            <w:pPr>
              <w:spacing w:after="0" w:line="216" w:lineRule="exact"/>
              <w:rPr>
                <w:sz w:val="20"/>
                <w:szCs w:val="20"/>
                <w:color w:val="auto"/>
              </w:rPr>
            </w:pPr>
            <w:r>
              <w:rPr>
                <w:rFonts w:ascii="Times New Roman" w:cs="Times New Roman" w:eastAsia="Times New Roman" w:hAnsi="Times New Roman"/>
                <w:sz w:val="23"/>
                <w:szCs w:val="23"/>
                <w:color w:val="auto"/>
                <w:vertAlign w:val="superscript"/>
              </w:rPr>
              <w:t>(1)</w:t>
            </w:r>
            <w:r>
              <w:rPr>
                <w:rFonts w:ascii="Times New Roman" w:cs="Times New Roman" w:eastAsia="Times New Roman" w:hAnsi="Times New Roman"/>
                <w:sz w:val="18"/>
                <w:szCs w:val="18"/>
                <w:color w:val="auto"/>
              </w:rPr>
              <w:t>Included costs associated with restructuring in both quarters.</w:t>
            </w:r>
          </w:p>
        </w:tc>
        <w:tc>
          <w:tcPr>
            <w:tcW w:w="120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7.4</w:t>
            </w:r>
          </w:p>
        </w:tc>
        <w:tc>
          <w:tcPr>
            <w:tcW w:w="70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1.5</w:t>
            </w:r>
          </w:p>
        </w:tc>
        <w:tc>
          <w:tcPr>
            <w:tcW w:w="0" w:type="dxa"/>
            <w:vAlign w:val="bottom"/>
          </w:tcPr>
          <w:p>
            <w:pPr>
              <w:spacing w:after="0"/>
              <w:rPr>
                <w:sz w:val="1"/>
                <w:szCs w:val="1"/>
                <w:color w:val="auto"/>
              </w:rPr>
            </w:pPr>
          </w:p>
        </w:tc>
      </w:tr>
      <w:tr>
        <w:trPr>
          <w:trHeight w:val="414"/>
        </w:trPr>
        <w:tc>
          <w:tcPr>
            <w:tcW w:w="678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Net Sales</w:t>
            </w:r>
          </w:p>
        </w:tc>
        <w:tc>
          <w:tcPr>
            <w:tcW w:w="12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67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The factors impacting reported sales change are shown in the table below:</w:t>
            </w:r>
          </w:p>
        </w:tc>
        <w:tc>
          <w:tcPr>
            <w:tcW w:w="12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0"/>
        </w:trPr>
        <w:tc>
          <w:tcPr>
            <w:tcW w:w="20" w:type="dxa"/>
            <w:vAlign w:val="bottom"/>
          </w:tcPr>
          <w:p>
            <w:pPr>
              <w:spacing w:after="0"/>
              <w:rPr>
                <w:sz w:val="24"/>
                <w:szCs w:val="24"/>
                <w:color w:val="auto"/>
              </w:rPr>
            </w:pPr>
          </w:p>
        </w:tc>
        <w:tc>
          <w:tcPr>
            <w:tcW w:w="6760" w:type="dxa"/>
            <w:vAlign w:val="bottom"/>
          </w:tcPr>
          <w:p>
            <w:pPr>
              <w:spacing w:after="0"/>
              <w:rPr>
                <w:sz w:val="24"/>
                <w:szCs w:val="24"/>
                <w:color w:val="auto"/>
              </w:rPr>
            </w:pPr>
          </w:p>
        </w:tc>
        <w:tc>
          <w:tcPr>
            <w:tcW w:w="3060" w:type="dxa"/>
            <w:vAlign w:val="bottom"/>
            <w:gridSpan w:val="3"/>
          </w:tcPr>
          <w:p>
            <w:pPr>
              <w:jc w:val="right"/>
              <w:ind w:right="98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6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6760" w:type="dxa"/>
            <w:vAlign w:val="bottom"/>
          </w:tcPr>
          <w:p>
            <w:pPr>
              <w:spacing w:after="0"/>
              <w:rPr>
                <w:sz w:val="20"/>
                <w:szCs w:val="20"/>
                <w:color w:val="auto"/>
              </w:rPr>
            </w:pPr>
          </w:p>
        </w:tc>
        <w:tc>
          <w:tcPr>
            <w:tcW w:w="3060" w:type="dxa"/>
            <w:vAlign w:val="bottom"/>
            <w:gridSpan w:val="3"/>
          </w:tcPr>
          <w:p>
            <w:pPr>
              <w:jc w:val="right"/>
              <w:ind w:right="980"/>
              <w:spacing w:after="0"/>
              <w:rPr>
                <w:sz w:val="20"/>
                <w:szCs w:val="20"/>
                <w:color w:val="auto"/>
              </w:rPr>
            </w:pPr>
            <w:r>
              <w:rPr>
                <w:rFonts w:ascii="Times New Roman" w:cs="Times New Roman" w:eastAsia="Times New Roman" w:hAnsi="Times New Roman"/>
                <w:sz w:val="18"/>
                <w:szCs w:val="18"/>
                <w:b w:val="1"/>
                <w:bCs w:val="1"/>
                <w:color w:val="auto"/>
              </w:rPr>
              <w:t>September 30, 2017</w:t>
            </w:r>
          </w:p>
        </w:tc>
        <w:tc>
          <w:tcPr>
            <w:tcW w:w="6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7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Reported sales change</w:t>
            </w:r>
          </w:p>
        </w:tc>
        <w:tc>
          <w:tcPr>
            <w:tcW w:w="120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ind w:left="800"/>
              <w:spacing w:after="0"/>
              <w:rPr>
                <w:sz w:val="20"/>
                <w:szCs w:val="20"/>
                <w:color w:val="auto"/>
              </w:rPr>
            </w:pPr>
            <w:r>
              <w:rPr>
                <w:rFonts w:ascii="Times New Roman" w:cs="Times New Roman" w:eastAsia="Times New Roman" w:hAnsi="Times New Roman"/>
                <w:sz w:val="18"/>
                <w:szCs w:val="18"/>
                <w:color w:val="auto"/>
              </w:rPr>
              <w:t>6%</w:t>
            </w:r>
          </w:p>
        </w:tc>
        <w:tc>
          <w:tcPr>
            <w:tcW w:w="7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60" w:type="dxa"/>
            <w:vAlign w:val="bottom"/>
            <w:tcBorders>
              <w:bottom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Foreign currency translation</w:t>
            </w:r>
          </w:p>
        </w:tc>
        <w:tc>
          <w:tcPr>
            <w:tcW w:w="120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760" w:type="dxa"/>
            <w:vAlign w:val="bottom"/>
            <w:tcBorders>
              <w:bottom w:val="single" w:sz="8" w:color="auto"/>
            </w:tcBorders>
            <w:shd w:val="clear" w:color="auto" w:fill="CCEEFF"/>
          </w:tcPr>
          <w:p>
            <w:pPr>
              <w:spacing w:after="0" w:line="210" w:lineRule="exact"/>
              <w:rPr>
                <w:sz w:val="20"/>
                <w:szCs w:val="20"/>
                <w:color w:val="auto"/>
              </w:rPr>
            </w:pPr>
            <w:r>
              <w:rPr>
                <w:rFonts w:ascii="Times New Roman" w:cs="Times New Roman" w:eastAsia="Times New Roman" w:hAnsi="Times New Roman"/>
                <w:sz w:val="18"/>
                <w:szCs w:val="18"/>
                <w:color w:val="auto"/>
              </w:rPr>
              <w:t>Sales change ex. currency</w:t>
            </w:r>
            <w:r>
              <w:rPr>
                <w:rFonts w:ascii="Times New Roman" w:cs="Times New Roman" w:eastAsia="Times New Roman" w:hAnsi="Times New Roman"/>
                <w:sz w:val="23"/>
                <w:szCs w:val="23"/>
                <w:color w:val="auto"/>
                <w:vertAlign w:val="superscript"/>
              </w:rPr>
              <w:t>(1)</w:t>
            </w:r>
          </w:p>
        </w:tc>
        <w:tc>
          <w:tcPr>
            <w:tcW w:w="120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ind w:left="800"/>
              <w:spacing w:after="0"/>
              <w:rPr>
                <w:sz w:val="20"/>
                <w:szCs w:val="20"/>
                <w:color w:val="auto"/>
              </w:rPr>
            </w:pPr>
            <w:r>
              <w:rPr>
                <w:rFonts w:ascii="Times New Roman" w:cs="Times New Roman" w:eastAsia="Times New Roman" w:hAnsi="Times New Roman"/>
                <w:sz w:val="18"/>
                <w:szCs w:val="18"/>
                <w:color w:val="auto"/>
              </w:rPr>
              <w:t>7%</w:t>
            </w:r>
          </w:p>
        </w:tc>
        <w:tc>
          <w:tcPr>
            <w:tcW w:w="7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Borders>
              <w:bottom w:val="single" w:sz="8" w:color="auto"/>
            </w:tcBorders>
          </w:tcPr>
          <w:p>
            <w:pPr>
              <w:spacing w:after="0"/>
              <w:rPr>
                <w:sz w:val="18"/>
                <w:szCs w:val="18"/>
                <w:color w:val="auto"/>
              </w:rPr>
            </w:pPr>
          </w:p>
        </w:tc>
        <w:tc>
          <w:tcPr>
            <w:tcW w:w="67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Organic sales change</w:t>
            </w:r>
          </w:p>
        </w:tc>
        <w:tc>
          <w:tcPr>
            <w:tcW w:w="120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ind w:left="800"/>
              <w:spacing w:after="0"/>
              <w:rPr>
                <w:sz w:val="20"/>
                <w:szCs w:val="20"/>
                <w:color w:val="auto"/>
              </w:rPr>
            </w:pPr>
            <w:r>
              <w:rPr>
                <w:rFonts w:ascii="Times New Roman" w:cs="Times New Roman" w:eastAsia="Times New Roman" w:hAnsi="Times New Roman"/>
                <w:sz w:val="18"/>
                <w:szCs w:val="18"/>
                <w:color w:val="auto"/>
              </w:rPr>
              <w:t>7%</w:t>
            </w:r>
          </w:p>
        </w:tc>
        <w:tc>
          <w:tcPr>
            <w:tcW w:w="7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07"/>
        </w:trPr>
        <w:tc>
          <w:tcPr>
            <w:tcW w:w="6780" w:type="dxa"/>
            <w:vAlign w:val="bottom"/>
            <w:gridSpan w:val="2"/>
          </w:tcPr>
          <w:p>
            <w:pPr>
              <w:spacing w:after="0"/>
              <w:rPr>
                <w:sz w:val="20"/>
                <w:szCs w:val="20"/>
                <w:color w:val="auto"/>
              </w:rPr>
            </w:pPr>
            <w:r>
              <w:rPr>
                <w:rFonts w:ascii="Times New Roman" w:cs="Times New Roman" w:eastAsia="Times New Roman" w:hAnsi="Times New Roman"/>
                <w:sz w:val="23"/>
                <w:szCs w:val="23"/>
                <w:color w:val="auto"/>
                <w:vertAlign w:val="superscript"/>
              </w:rPr>
              <w:t>(1)</w:t>
            </w:r>
            <w:r>
              <w:rPr>
                <w:rFonts w:ascii="Times New Roman" w:cs="Times New Roman" w:eastAsia="Times New Roman" w:hAnsi="Times New Roman"/>
                <w:sz w:val="16"/>
                <w:szCs w:val="16"/>
                <w:color w:val="auto"/>
              </w:rPr>
              <w:t>Total may not sum due to rounding</w:t>
            </w:r>
          </w:p>
        </w:tc>
        <w:tc>
          <w:tcPr>
            <w:tcW w:w="12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9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the third quarter of 2017, net sales increased on an organic basis due to higher volume, reflecting growth of both radio-frequency identification products and base apparel tickets and tags.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Operating Income</w:t>
      </w:r>
    </w:p>
    <w:p>
      <w:pPr>
        <w:spacing w:after="0" w:line="29"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18"/>
          <w:szCs w:val="18"/>
          <w:color w:val="auto"/>
        </w:rPr>
        <w:t>Operating income increased in the third quarter of 2017 due to higher volume, benefits from productivity initiatives, including savings from restructuring actions, net of transition costs, and lower amortization expense, partially offset by higher employee-related costs and higher restructuring charges.</w:t>
      </w:r>
    </w:p>
    <w:p>
      <w:pPr>
        <w:spacing w:after="0" w:line="180" w:lineRule="exact"/>
        <w:rPr>
          <w:sz w:val="20"/>
          <w:szCs w:val="20"/>
          <w:color w:val="auto"/>
        </w:rPr>
      </w:pPr>
    </w:p>
    <w:p>
      <w:pPr>
        <w:ind w:left="11240"/>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w:anchor="page1">
        <w:r>
          <w:rPr>
            <w:rFonts w:ascii="Times New Roman" w:cs="Times New Roman" w:eastAsia="Times New Roman" w:hAnsi="Times New Roman"/>
            <w:sz w:val="18"/>
            <w:szCs w:val="18"/>
            <w:u w:val="single" w:color="auto"/>
            <w:color w:val="0000EE"/>
          </w:rPr>
          <w:t>Table of Contents</w:t>
        </w:r>
      </w:hyperlink>
    </w:p>
    <w:p>
      <w:pPr>
        <w:sectPr>
          <w:pgSz w:w="11900" w:h="16838" w:orient="portrait"/>
          <w:cols w:equalWidth="0" w:num="1">
            <w:col w:w="11420"/>
          </w:cols>
          <w:pgMar w:left="240" w:top="337" w:right="239" w:bottom="0" w:gutter="0" w:footer="0" w:header="0"/>
        </w:sectPr>
      </w:pPr>
    </w:p>
    <w:bookmarkStart w:id="18" w:name="page19"/>
    <w:bookmarkEnd w:id="18"/>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6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940" w:type="dxa"/>
            <w:vAlign w:val="bottom"/>
            <w:gridSpan w:val="4"/>
          </w:tcPr>
          <w:p>
            <w:pPr>
              <w:jc w:val="center"/>
              <w:ind w:left="730"/>
              <w:spacing w:after="0"/>
              <w:rPr>
                <w:sz w:val="20"/>
                <w:szCs w:val="20"/>
                <w:color w:val="auto"/>
              </w:rPr>
            </w:pPr>
            <w:r>
              <w:rPr>
                <w:rFonts w:ascii="Times New Roman" w:cs="Times New Roman" w:eastAsia="Times New Roman" w:hAnsi="Times New Roman"/>
                <w:sz w:val="18"/>
                <w:szCs w:val="18"/>
                <w:color w:val="auto"/>
                <w:w w:val="99"/>
              </w:rPr>
              <w:t>Avery Dennison Corporation</w:t>
            </w:r>
          </w:p>
        </w:tc>
      </w:tr>
      <w:tr>
        <w:trPr>
          <w:trHeight w:val="432"/>
        </w:trPr>
        <w:tc>
          <w:tcPr>
            <w:tcW w:w="762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Industrial and Healthcare Materials</w:t>
            </w:r>
          </w:p>
        </w:tc>
        <w:tc>
          <w:tcPr>
            <w:tcW w:w="8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432"/>
        </w:trPr>
        <w:tc>
          <w:tcPr>
            <w:tcW w:w="7620" w:type="dxa"/>
            <w:vAlign w:val="bottom"/>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2180" w:type="dxa"/>
            <w:vAlign w:val="bottom"/>
            <w:tcBorders>
              <w:bottom w:val="single" w:sz="8" w:color="auto"/>
            </w:tcBorders>
            <w:gridSpan w:val="2"/>
          </w:tcPr>
          <w:p>
            <w:pPr>
              <w:ind w:left="14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74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r>
      <w:tr>
        <w:trPr>
          <w:trHeight w:val="210"/>
        </w:trPr>
        <w:tc>
          <w:tcPr>
            <w:tcW w:w="76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(In millions)</w:t>
            </w:r>
          </w:p>
        </w:tc>
        <w:tc>
          <w:tcPr>
            <w:tcW w:w="2200" w:type="dxa"/>
            <w:vAlign w:val="bottom"/>
            <w:tcBorders>
              <w:bottom w:val="single" w:sz="8" w:color="auto"/>
            </w:tcBorders>
            <w:gridSpan w:val="2"/>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September 30, 2017</w:t>
            </w:r>
          </w:p>
        </w:tc>
        <w:tc>
          <w:tcPr>
            <w:tcW w:w="1600" w:type="dxa"/>
            <w:vAlign w:val="bottom"/>
            <w:tcBorders>
              <w:bottom w:val="single" w:sz="8" w:color="auto"/>
            </w:tcBorders>
            <w:gridSpan w:val="2"/>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October 1, 2016</w:t>
            </w:r>
          </w:p>
        </w:tc>
        <w:tc>
          <w:tcPr>
            <w:tcW w:w="20" w:type="dxa"/>
            <w:vAlign w:val="bottom"/>
          </w:tcPr>
          <w:p>
            <w:pPr>
              <w:spacing w:after="0"/>
              <w:rPr>
                <w:sz w:val="18"/>
                <w:szCs w:val="18"/>
                <w:color w:val="auto"/>
              </w:rPr>
            </w:pPr>
          </w:p>
        </w:tc>
      </w:tr>
      <w:tr>
        <w:trPr>
          <w:trHeight w:val="210"/>
        </w:trPr>
        <w:tc>
          <w:tcPr>
            <w:tcW w:w="7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sales including intersegment sales</w:t>
            </w:r>
          </w:p>
        </w:tc>
        <w:tc>
          <w:tcPr>
            <w:tcW w:w="88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170.5</w:t>
            </w:r>
          </w:p>
        </w:tc>
        <w:tc>
          <w:tcPr>
            <w:tcW w:w="860" w:type="dxa"/>
            <w:vAlign w:val="bottom"/>
            <w:shd w:val="clear" w:color="auto" w:fill="CCEEFF"/>
          </w:tcPr>
          <w:p>
            <w:pPr>
              <w:jc w:val="center"/>
              <w:ind w:left="19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112.5</w:t>
            </w:r>
          </w:p>
        </w:tc>
        <w:tc>
          <w:tcPr>
            <w:tcW w:w="20" w:type="dxa"/>
            <w:vAlign w:val="bottom"/>
          </w:tcPr>
          <w:p>
            <w:pPr>
              <w:spacing w:after="0"/>
              <w:rPr>
                <w:sz w:val="18"/>
                <w:szCs w:val="18"/>
                <w:color w:val="auto"/>
              </w:rPr>
            </w:pPr>
          </w:p>
        </w:tc>
      </w:tr>
      <w:tr>
        <w:trPr>
          <w:trHeight w:val="216"/>
        </w:trPr>
        <w:tc>
          <w:tcPr>
            <w:tcW w:w="76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Less intersegment sales</w:t>
            </w:r>
          </w:p>
        </w:tc>
        <w:tc>
          <w:tcPr>
            <w:tcW w:w="88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(2.1)</w:t>
            </w:r>
          </w:p>
        </w:tc>
        <w:tc>
          <w:tcPr>
            <w:tcW w:w="86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20" w:type="dxa"/>
            <w:vAlign w:val="bottom"/>
          </w:tcPr>
          <w:p>
            <w:pPr>
              <w:spacing w:after="0"/>
              <w:rPr>
                <w:sz w:val="18"/>
                <w:szCs w:val="18"/>
                <w:color w:val="auto"/>
              </w:rPr>
            </w:pPr>
          </w:p>
        </w:tc>
      </w:tr>
      <w:tr>
        <w:trPr>
          <w:trHeight w:val="210"/>
        </w:trPr>
        <w:tc>
          <w:tcPr>
            <w:tcW w:w="7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sales</w:t>
            </w:r>
          </w:p>
        </w:tc>
        <w:tc>
          <w:tcPr>
            <w:tcW w:w="88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168.4</w:t>
            </w:r>
          </w:p>
        </w:tc>
        <w:tc>
          <w:tcPr>
            <w:tcW w:w="860" w:type="dxa"/>
            <w:vAlign w:val="bottom"/>
            <w:shd w:val="clear" w:color="auto" w:fill="CCEEFF"/>
          </w:tcPr>
          <w:p>
            <w:pPr>
              <w:jc w:val="center"/>
              <w:ind w:left="19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110.9</w:t>
            </w:r>
          </w:p>
        </w:tc>
        <w:tc>
          <w:tcPr>
            <w:tcW w:w="20" w:type="dxa"/>
            <w:vAlign w:val="bottom"/>
          </w:tcPr>
          <w:p>
            <w:pPr>
              <w:spacing w:after="0"/>
              <w:rPr>
                <w:sz w:val="18"/>
                <w:szCs w:val="18"/>
                <w:color w:val="auto"/>
              </w:rPr>
            </w:pPr>
          </w:p>
        </w:tc>
      </w:tr>
      <w:tr>
        <w:trPr>
          <w:trHeight w:val="223"/>
        </w:trPr>
        <w:tc>
          <w:tcPr>
            <w:tcW w:w="7620" w:type="dxa"/>
            <w:vAlign w:val="bottom"/>
            <w:tcBorders>
              <w:bottom w:val="single" w:sz="8" w:color="auto"/>
            </w:tcBorders>
          </w:tcPr>
          <w:p>
            <w:pPr>
              <w:spacing w:after="0" w:line="216" w:lineRule="exact"/>
              <w:rPr>
                <w:sz w:val="20"/>
                <w:szCs w:val="20"/>
                <w:color w:val="auto"/>
              </w:rPr>
            </w:pPr>
            <w:r>
              <w:rPr>
                <w:rFonts w:ascii="Times New Roman" w:cs="Times New Roman" w:eastAsia="Times New Roman" w:hAnsi="Times New Roman"/>
                <w:sz w:val="18"/>
                <w:szCs w:val="18"/>
                <w:color w:val="auto"/>
              </w:rPr>
              <w:t>Operating income</w:t>
            </w:r>
            <w:r>
              <w:rPr>
                <w:rFonts w:ascii="Times New Roman" w:cs="Times New Roman" w:eastAsia="Times New Roman" w:hAnsi="Times New Roman"/>
                <w:sz w:val="23"/>
                <w:szCs w:val="23"/>
                <w:color w:val="auto"/>
                <w:vertAlign w:val="superscript"/>
              </w:rPr>
              <w:t>(1)</w:t>
            </w:r>
          </w:p>
        </w:tc>
        <w:tc>
          <w:tcPr>
            <w:tcW w:w="88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13.8</w:t>
            </w:r>
          </w:p>
        </w:tc>
        <w:tc>
          <w:tcPr>
            <w:tcW w:w="86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12.3</w:t>
            </w:r>
          </w:p>
        </w:tc>
        <w:tc>
          <w:tcPr>
            <w:tcW w:w="20" w:type="dxa"/>
            <w:vAlign w:val="bottom"/>
          </w:tcPr>
          <w:p>
            <w:pPr>
              <w:spacing w:after="0"/>
              <w:rPr>
                <w:sz w:val="19"/>
                <w:szCs w:val="19"/>
                <w:color w:val="auto"/>
              </w:rPr>
            </w:pPr>
          </w:p>
        </w:tc>
      </w:tr>
      <w:tr>
        <w:trPr>
          <w:trHeight w:val="223"/>
        </w:trPr>
        <w:tc>
          <w:tcPr>
            <w:tcW w:w="7620" w:type="dxa"/>
            <w:vAlign w:val="bottom"/>
            <w:tcBorders>
              <w:bottom w:val="single" w:sz="8" w:color="auto"/>
            </w:tcBorders>
            <w:shd w:val="clear" w:color="auto" w:fill="CCEEFF"/>
          </w:tcPr>
          <w:p>
            <w:pPr>
              <w:spacing w:after="0" w:line="216" w:lineRule="exact"/>
              <w:rPr>
                <w:sz w:val="20"/>
                <w:szCs w:val="20"/>
                <w:color w:val="auto"/>
              </w:rPr>
            </w:pPr>
            <w:r>
              <w:rPr>
                <w:rFonts w:ascii="Times New Roman" w:cs="Times New Roman" w:eastAsia="Times New Roman" w:hAnsi="Times New Roman"/>
                <w:sz w:val="23"/>
                <w:szCs w:val="23"/>
                <w:color w:val="auto"/>
                <w:vertAlign w:val="superscript"/>
              </w:rPr>
              <w:t>(1)</w:t>
            </w:r>
            <w:r>
              <w:rPr>
                <w:rFonts w:ascii="Times New Roman" w:cs="Times New Roman" w:eastAsia="Times New Roman" w:hAnsi="Times New Roman"/>
                <w:sz w:val="18"/>
                <w:szCs w:val="18"/>
                <w:color w:val="auto"/>
              </w:rPr>
              <w:t>Included transaction costs in 2017 and costs associated with restructuring in 2016.</w:t>
            </w:r>
          </w:p>
        </w:tc>
        <w:tc>
          <w:tcPr>
            <w:tcW w:w="88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.2</w:t>
            </w:r>
          </w:p>
        </w:tc>
        <w:tc>
          <w:tcPr>
            <w:tcW w:w="860" w:type="dxa"/>
            <w:vAlign w:val="bottom"/>
            <w:tcBorders>
              <w:bottom w:val="single" w:sz="8" w:color="auto"/>
            </w:tcBorders>
            <w:shd w:val="clear" w:color="auto" w:fill="CCEEFF"/>
          </w:tcPr>
          <w:p>
            <w:pPr>
              <w:jc w:val="center"/>
              <w:ind w:left="19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w:t>
            </w:r>
          </w:p>
        </w:tc>
        <w:tc>
          <w:tcPr>
            <w:tcW w:w="20" w:type="dxa"/>
            <w:vAlign w:val="bottom"/>
          </w:tcPr>
          <w:p>
            <w:pPr>
              <w:spacing w:after="0"/>
              <w:rPr>
                <w:sz w:val="19"/>
                <w:szCs w:val="19"/>
                <w:color w:val="auto"/>
              </w:rPr>
            </w:pPr>
          </w:p>
        </w:tc>
      </w:tr>
      <w:tr>
        <w:trPr>
          <w:trHeight w:val="414"/>
        </w:trPr>
        <w:tc>
          <w:tcPr>
            <w:tcW w:w="762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Net Sales</w:t>
            </w:r>
          </w:p>
        </w:tc>
        <w:tc>
          <w:tcPr>
            <w:tcW w:w="8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34"/>
        </w:trPr>
        <w:tc>
          <w:tcPr>
            <w:tcW w:w="7620" w:type="dxa"/>
            <w:vAlign w:val="bottom"/>
          </w:tcPr>
          <w:p>
            <w:pPr>
              <w:spacing w:after="0"/>
              <w:rPr>
                <w:sz w:val="20"/>
                <w:szCs w:val="20"/>
                <w:color w:val="auto"/>
              </w:rPr>
            </w:pPr>
            <w:r>
              <w:rPr>
                <w:rFonts w:ascii="Times New Roman" w:cs="Times New Roman" w:eastAsia="Times New Roman" w:hAnsi="Times New Roman"/>
                <w:sz w:val="18"/>
                <w:szCs w:val="18"/>
                <w:color w:val="auto"/>
              </w:rPr>
              <w:t>The factors impacting reported sales change are shown in the table below:</w:t>
            </w:r>
          </w:p>
        </w:tc>
        <w:tc>
          <w:tcPr>
            <w:tcW w:w="88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410"/>
        </w:trPr>
        <w:tc>
          <w:tcPr>
            <w:tcW w:w="7620" w:type="dxa"/>
            <w:vAlign w:val="bottom"/>
          </w:tcPr>
          <w:p>
            <w:pPr>
              <w:spacing w:after="0"/>
              <w:rPr>
                <w:sz w:val="24"/>
                <w:szCs w:val="24"/>
                <w:color w:val="auto"/>
              </w:rPr>
            </w:pPr>
          </w:p>
        </w:tc>
        <w:tc>
          <w:tcPr>
            <w:tcW w:w="2200" w:type="dxa"/>
            <w:vAlign w:val="bottom"/>
            <w:gridSpan w:val="2"/>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8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38"/>
        </w:trPr>
        <w:tc>
          <w:tcPr>
            <w:tcW w:w="7620" w:type="dxa"/>
            <w:vAlign w:val="bottom"/>
            <w:tcBorders>
              <w:bottom w:val="single" w:sz="8" w:color="auto"/>
            </w:tcBorders>
          </w:tcPr>
          <w:p>
            <w:pPr>
              <w:spacing w:after="0"/>
              <w:rPr>
                <w:sz w:val="20"/>
                <w:szCs w:val="20"/>
                <w:color w:val="auto"/>
              </w:rPr>
            </w:pPr>
          </w:p>
        </w:tc>
        <w:tc>
          <w:tcPr>
            <w:tcW w:w="2200" w:type="dxa"/>
            <w:vAlign w:val="bottom"/>
            <w:tcBorders>
              <w:bottom w:val="single" w:sz="8" w:color="auto"/>
            </w:tcBorders>
            <w:gridSpan w:val="2"/>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September 30, 2017</w:t>
            </w:r>
          </w:p>
        </w:tc>
        <w:tc>
          <w:tcPr>
            <w:tcW w:w="8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10"/>
        </w:trPr>
        <w:tc>
          <w:tcPr>
            <w:tcW w:w="7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Reported sales change</w:t>
            </w:r>
          </w:p>
        </w:tc>
        <w:tc>
          <w:tcPr>
            <w:tcW w:w="880" w:type="dxa"/>
            <w:vAlign w:val="bottom"/>
            <w:shd w:val="clear" w:color="auto" w:fill="CCEEFF"/>
          </w:tcPr>
          <w:p>
            <w:pPr>
              <w:spacing w:after="0"/>
              <w:rPr>
                <w:sz w:val="18"/>
                <w:szCs w:val="18"/>
                <w:color w:val="auto"/>
              </w:rPr>
            </w:pPr>
          </w:p>
        </w:tc>
        <w:tc>
          <w:tcPr>
            <w:tcW w:w="132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52%</w:t>
            </w:r>
          </w:p>
        </w:tc>
        <w:tc>
          <w:tcPr>
            <w:tcW w:w="8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762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Foreign currency translation</w:t>
            </w:r>
          </w:p>
        </w:tc>
        <w:tc>
          <w:tcPr>
            <w:tcW w:w="88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(2)</w:t>
            </w:r>
          </w:p>
        </w:tc>
        <w:tc>
          <w:tcPr>
            <w:tcW w:w="8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0"/>
        </w:trPr>
        <w:tc>
          <w:tcPr>
            <w:tcW w:w="762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Sales change ex. currency</w:t>
            </w:r>
          </w:p>
        </w:tc>
        <w:tc>
          <w:tcPr>
            <w:tcW w:w="88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50%</w:t>
            </w:r>
          </w:p>
        </w:tc>
        <w:tc>
          <w:tcPr>
            <w:tcW w:w="8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0"/>
        </w:trPr>
        <w:tc>
          <w:tcPr>
            <w:tcW w:w="762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Acquisitions</w:t>
            </w:r>
          </w:p>
        </w:tc>
        <w:tc>
          <w:tcPr>
            <w:tcW w:w="88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(47)</w:t>
            </w:r>
          </w:p>
        </w:tc>
        <w:tc>
          <w:tcPr>
            <w:tcW w:w="8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7"/>
        </w:trPr>
        <w:tc>
          <w:tcPr>
            <w:tcW w:w="762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Organic sales change</w:t>
            </w:r>
          </w:p>
        </w:tc>
        <w:tc>
          <w:tcPr>
            <w:tcW w:w="88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3%</w:t>
            </w:r>
          </w:p>
        </w:tc>
        <w:tc>
          <w:tcPr>
            <w:tcW w:w="8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 w:type="dxa"/>
            <w:vAlign w:val="bottom"/>
          </w:tcPr>
          <w:p>
            <w:pPr>
              <w:spacing w:after="0"/>
              <w:rPr>
                <w:sz w:val="18"/>
                <w:szCs w:val="18"/>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the third quarter of 2017, net sales increased on an organic basis due to volume growth in both industrial and healthcare categories.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Operating Income</w:t>
      </w:r>
    </w:p>
    <w:p>
      <w:pPr>
        <w:spacing w:after="0" w:line="29" w:lineRule="exact"/>
        <w:rPr>
          <w:sz w:val="20"/>
          <w:szCs w:val="20"/>
          <w:color w:val="auto"/>
        </w:rPr>
      </w:pPr>
    </w:p>
    <w:p>
      <w:pPr>
        <w:jc w:val="both"/>
        <w:ind w:right="40"/>
        <w:spacing w:after="0" w:line="255" w:lineRule="auto"/>
        <w:rPr>
          <w:sz w:val="20"/>
          <w:szCs w:val="20"/>
          <w:color w:val="auto"/>
        </w:rPr>
      </w:pPr>
      <w:r>
        <w:rPr>
          <w:rFonts w:ascii="Times New Roman" w:cs="Times New Roman" w:eastAsia="Times New Roman" w:hAnsi="Times New Roman"/>
          <w:sz w:val="18"/>
          <w:szCs w:val="18"/>
          <w:color w:val="auto"/>
        </w:rPr>
        <w:t>Operating income increased in the third quarter of 2017 compared to the same period last year due to higher volume and benefits from productivity initiatives, including savings from restructuring actions, net of transition costs, partially offset by acquisition-related costs, higher employee-related costs, and the net impact of pricing and raw material costs.</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1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w w:val="99"/>
              </w:rPr>
              <w:t>ANALYSIS OF RESULTS OF OPERATIONS FOR THE NINE MONTHS YEAR-TO-DATE</w:t>
            </w: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960" w:type="dxa"/>
            <w:vAlign w:val="bottom"/>
          </w:tcPr>
          <w:p>
            <w:pPr>
              <w:spacing w:after="0"/>
              <w:rPr>
                <w:sz w:val="18"/>
                <w:szCs w:val="18"/>
                <w:color w:val="auto"/>
              </w:rPr>
            </w:pPr>
          </w:p>
        </w:tc>
      </w:tr>
      <w:tr>
        <w:trPr>
          <w:trHeight w:val="453"/>
        </w:trPr>
        <w:tc>
          <w:tcPr>
            <w:tcW w:w="74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Income before Taxes</w:t>
            </w:r>
          </w:p>
        </w:tc>
        <w:tc>
          <w:tcPr>
            <w:tcW w:w="9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432"/>
        </w:trPr>
        <w:tc>
          <w:tcPr>
            <w:tcW w:w="7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2100" w:type="dxa"/>
            <w:vAlign w:val="bottom"/>
            <w:tcBorders>
              <w:bottom w:val="single" w:sz="8" w:color="auto"/>
            </w:tcBorders>
            <w:gridSpan w:val="2"/>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Nine Months Ended</w:t>
            </w:r>
          </w:p>
        </w:tc>
        <w:tc>
          <w:tcPr>
            <w:tcW w:w="960" w:type="dxa"/>
            <w:vAlign w:val="bottom"/>
            <w:tcBorders>
              <w:bottom w:val="single" w:sz="8" w:color="auto"/>
            </w:tcBorders>
          </w:tcPr>
          <w:p>
            <w:pPr>
              <w:spacing w:after="0"/>
              <w:rPr>
                <w:sz w:val="24"/>
                <w:szCs w:val="24"/>
                <w:color w:val="auto"/>
              </w:rPr>
            </w:pPr>
          </w:p>
        </w:tc>
      </w:tr>
      <w:tr>
        <w:trPr>
          <w:trHeight w:val="210"/>
        </w:trPr>
        <w:tc>
          <w:tcPr>
            <w:tcW w:w="74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4"/>
                <w:szCs w:val="14"/>
                <w:color w:val="auto"/>
              </w:rPr>
              <w:t>(Dollars in millions)</w:t>
            </w:r>
          </w:p>
        </w:tc>
        <w:tc>
          <w:tcPr>
            <w:tcW w:w="2340" w:type="dxa"/>
            <w:vAlign w:val="bottom"/>
            <w:tcBorders>
              <w:bottom w:val="single" w:sz="8" w:color="auto"/>
            </w:tcBorders>
            <w:gridSpan w:val="2"/>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September 30, 2017</w:t>
            </w:r>
          </w:p>
        </w:tc>
        <w:tc>
          <w:tcPr>
            <w:tcW w:w="1640" w:type="dxa"/>
            <w:vAlign w:val="bottom"/>
            <w:tcBorders>
              <w:bottom w:val="single" w:sz="8" w:color="auto"/>
            </w:tcBorders>
            <w:gridSpan w:val="2"/>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October 1, 2016</w:t>
            </w:r>
          </w:p>
        </w:tc>
      </w:tr>
      <w:tr>
        <w:trPr>
          <w:trHeight w:val="210"/>
        </w:trPr>
        <w:tc>
          <w:tcPr>
            <w:tcW w:w="744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Net sales</w:t>
            </w:r>
          </w:p>
        </w:tc>
        <w:tc>
          <w:tcPr>
            <w:tcW w:w="9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4,878.5</w:t>
            </w:r>
          </w:p>
        </w:tc>
        <w:tc>
          <w:tcPr>
            <w:tcW w:w="68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4,535.7</w:t>
            </w:r>
          </w:p>
        </w:tc>
      </w:tr>
      <w:tr>
        <w:trPr>
          <w:trHeight w:val="216"/>
        </w:trPr>
        <w:tc>
          <w:tcPr>
            <w:tcW w:w="7440" w:type="dxa"/>
            <w:vAlign w:val="bottom"/>
            <w:tcBorders>
              <w:bottom w:val="single" w:sz="8" w:color="auto"/>
            </w:tcBorders>
            <w:gridSpan w:val="2"/>
          </w:tcPr>
          <w:p>
            <w:pPr>
              <w:ind w:left="200"/>
              <w:spacing w:after="0"/>
              <w:rPr>
                <w:sz w:val="20"/>
                <w:szCs w:val="20"/>
                <w:color w:val="auto"/>
              </w:rPr>
            </w:pPr>
            <w:r>
              <w:rPr>
                <w:rFonts w:ascii="Times New Roman" w:cs="Times New Roman" w:eastAsia="Times New Roman" w:hAnsi="Times New Roman"/>
                <w:sz w:val="18"/>
                <w:szCs w:val="18"/>
                <w:color w:val="auto"/>
              </w:rPr>
              <w:t>Cost of products sold</w:t>
            </w:r>
          </w:p>
        </w:tc>
        <w:tc>
          <w:tcPr>
            <w:tcW w:w="92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rPr>
              <w:t>3,531.9</w:t>
            </w:r>
          </w:p>
        </w:tc>
        <w:tc>
          <w:tcPr>
            <w:tcW w:w="6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3,261.4</w:t>
            </w:r>
          </w:p>
        </w:tc>
      </w:tr>
      <w:tr>
        <w:trPr>
          <w:trHeight w:val="210"/>
        </w:trPr>
        <w:tc>
          <w:tcPr>
            <w:tcW w:w="744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Gross profit</w:t>
            </w:r>
          </w:p>
        </w:tc>
        <w:tc>
          <w:tcPr>
            <w:tcW w:w="920" w:type="dxa"/>
            <w:vAlign w:val="bottom"/>
            <w:shd w:val="clear" w:color="auto" w:fill="CCEEFF"/>
          </w:tcPr>
          <w:p>
            <w:pPr>
              <w:spacing w:after="0"/>
              <w:rPr>
                <w:sz w:val="18"/>
                <w:szCs w:val="18"/>
                <w:color w:val="auto"/>
              </w:rPr>
            </w:pPr>
          </w:p>
        </w:tc>
        <w:tc>
          <w:tcPr>
            <w:tcW w:w="142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1,346.6</w:t>
            </w:r>
          </w:p>
        </w:tc>
        <w:tc>
          <w:tcPr>
            <w:tcW w:w="68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1,274.3</w:t>
            </w:r>
          </w:p>
        </w:tc>
      </w:tr>
      <w:tr>
        <w:trPr>
          <w:trHeight w:val="216"/>
        </w:trPr>
        <w:tc>
          <w:tcPr>
            <w:tcW w:w="744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Marketing, general and administrative expense</w:t>
            </w:r>
          </w:p>
        </w:tc>
        <w:tc>
          <w:tcPr>
            <w:tcW w:w="920" w:type="dxa"/>
            <w:vAlign w:val="bottom"/>
          </w:tcPr>
          <w:p>
            <w:pPr>
              <w:spacing w:after="0"/>
              <w:rPr>
                <w:sz w:val="18"/>
                <w:szCs w:val="18"/>
                <w:color w:val="auto"/>
              </w:rPr>
            </w:pPr>
          </w:p>
        </w:tc>
        <w:tc>
          <w:tcPr>
            <w:tcW w:w="142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837.2</w:t>
            </w:r>
          </w:p>
        </w:tc>
        <w:tc>
          <w:tcPr>
            <w:tcW w:w="680" w:type="dxa"/>
            <w:vAlign w:val="bottom"/>
          </w:tcPr>
          <w:p>
            <w:pPr>
              <w:spacing w:after="0"/>
              <w:rPr>
                <w:sz w:val="18"/>
                <w:szCs w:val="18"/>
                <w:color w:val="auto"/>
              </w:rPr>
            </w:pPr>
          </w:p>
        </w:tc>
        <w:tc>
          <w:tcPr>
            <w:tcW w:w="9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817.7</w:t>
            </w:r>
          </w:p>
        </w:tc>
      </w:tr>
      <w:tr>
        <w:trPr>
          <w:trHeight w:val="216"/>
        </w:trPr>
        <w:tc>
          <w:tcPr>
            <w:tcW w:w="744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Interest expense</w:t>
            </w:r>
          </w:p>
        </w:tc>
        <w:tc>
          <w:tcPr>
            <w:tcW w:w="920" w:type="dxa"/>
            <w:vAlign w:val="bottom"/>
            <w:shd w:val="clear" w:color="auto" w:fill="CCEEFF"/>
          </w:tcPr>
          <w:p>
            <w:pPr>
              <w:spacing w:after="0"/>
              <w:rPr>
                <w:sz w:val="18"/>
                <w:szCs w:val="18"/>
                <w:color w:val="auto"/>
              </w:rPr>
            </w:pPr>
          </w:p>
        </w:tc>
        <w:tc>
          <w:tcPr>
            <w:tcW w:w="142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49.7</w:t>
            </w:r>
          </w:p>
        </w:tc>
        <w:tc>
          <w:tcPr>
            <w:tcW w:w="68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45.4</w:t>
            </w:r>
          </w:p>
        </w:tc>
      </w:tr>
      <w:tr>
        <w:trPr>
          <w:trHeight w:val="216"/>
        </w:trPr>
        <w:tc>
          <w:tcPr>
            <w:tcW w:w="7440" w:type="dxa"/>
            <w:vAlign w:val="bottom"/>
            <w:tcBorders>
              <w:bottom w:val="single" w:sz="8" w:color="auto"/>
            </w:tcBorders>
            <w:gridSpan w:val="2"/>
          </w:tcPr>
          <w:p>
            <w:pPr>
              <w:ind w:left="200"/>
              <w:spacing w:after="0"/>
              <w:rPr>
                <w:sz w:val="20"/>
                <w:szCs w:val="20"/>
                <w:color w:val="auto"/>
              </w:rPr>
            </w:pPr>
            <w:r>
              <w:rPr>
                <w:rFonts w:ascii="Times New Roman" w:cs="Times New Roman" w:eastAsia="Times New Roman" w:hAnsi="Times New Roman"/>
                <w:sz w:val="18"/>
                <w:szCs w:val="18"/>
                <w:color w:val="auto"/>
              </w:rPr>
              <w:t>Other expense, net</w:t>
            </w:r>
          </w:p>
        </w:tc>
        <w:tc>
          <w:tcPr>
            <w:tcW w:w="92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rPr>
              <w:t>27.5</w:t>
            </w:r>
          </w:p>
        </w:tc>
        <w:tc>
          <w:tcPr>
            <w:tcW w:w="6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60.4</w:t>
            </w:r>
          </w:p>
        </w:tc>
      </w:tr>
      <w:tr>
        <w:trPr>
          <w:trHeight w:val="217"/>
        </w:trPr>
        <w:tc>
          <w:tcPr>
            <w:tcW w:w="7440" w:type="dxa"/>
            <w:vAlign w:val="bottom"/>
            <w:tcBorders>
              <w:bottom w:val="single" w:sz="8" w:color="auto"/>
            </w:tcBorders>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Income from continuing operations before taxes</w:t>
            </w:r>
          </w:p>
        </w:tc>
        <w:tc>
          <w:tcPr>
            <w:tcW w:w="9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bottom w:val="single" w:sz="8" w:color="auto"/>
            </w:tcBorders>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432.2</w:t>
            </w:r>
          </w:p>
        </w:tc>
        <w:tc>
          <w:tcPr>
            <w:tcW w:w="68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350.8</w:t>
            </w:r>
          </w:p>
        </w:tc>
      </w:tr>
      <w:tr>
        <w:trPr>
          <w:trHeight w:val="216"/>
        </w:trPr>
        <w:tc>
          <w:tcPr>
            <w:tcW w:w="7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960" w:type="dxa"/>
            <w:vAlign w:val="bottom"/>
          </w:tcPr>
          <w:p>
            <w:pPr>
              <w:spacing w:after="0"/>
              <w:rPr>
                <w:sz w:val="18"/>
                <w:szCs w:val="18"/>
                <w:color w:val="auto"/>
              </w:rPr>
            </w:pPr>
          </w:p>
        </w:tc>
      </w:tr>
      <w:tr>
        <w:trPr>
          <w:trHeight w:val="223"/>
        </w:trPr>
        <w:tc>
          <w:tcPr>
            <w:tcW w:w="7440" w:type="dxa"/>
            <w:vAlign w:val="bottom"/>
            <w:tcBorders>
              <w:bottom w:val="single" w:sz="8" w:color="auto"/>
            </w:tcBorders>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Gross profit margin</w:t>
            </w:r>
          </w:p>
        </w:tc>
        <w:tc>
          <w:tcPr>
            <w:tcW w:w="92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27.6%</w:t>
            </w:r>
          </w:p>
        </w:tc>
        <w:tc>
          <w:tcPr>
            <w:tcW w:w="6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28.1%</w:t>
            </w:r>
          </w:p>
        </w:tc>
      </w:tr>
    </w:tbl>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Gross Profit Margin</w:t>
      </w:r>
    </w:p>
    <w:p>
      <w:pPr>
        <w:spacing w:after="0" w:line="29" w:lineRule="exact"/>
        <w:rPr>
          <w:sz w:val="20"/>
          <w:szCs w:val="20"/>
          <w:color w:val="auto"/>
        </w:rPr>
      </w:pPr>
    </w:p>
    <w:p>
      <w:pPr>
        <w:jc w:val="both"/>
        <w:ind w:right="40"/>
        <w:spacing w:after="0" w:line="261" w:lineRule="auto"/>
        <w:rPr>
          <w:sz w:val="20"/>
          <w:szCs w:val="20"/>
          <w:color w:val="auto"/>
        </w:rPr>
      </w:pPr>
      <w:r>
        <w:rPr>
          <w:rFonts w:ascii="Times New Roman" w:cs="Times New Roman" w:eastAsia="Times New Roman" w:hAnsi="Times New Roman"/>
          <w:sz w:val="18"/>
          <w:szCs w:val="18"/>
          <w:color w:val="auto"/>
        </w:rPr>
        <w:t>Gross profit margin for the first nine months of 2017 decreased compared to the same period last year primarily due to margin decline in the Industrial and Healthcare Materials reportable segment driven by the impact of acquisitions and a program loss in personal care tapes.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Marketing, General and Administrative Expense</w:t>
      </w:r>
    </w:p>
    <w:p>
      <w:pPr>
        <w:spacing w:after="0" w:line="29" w:lineRule="exact"/>
        <w:rPr>
          <w:sz w:val="20"/>
          <w:szCs w:val="20"/>
          <w:color w:val="auto"/>
        </w:rPr>
      </w:pPr>
    </w:p>
    <w:p>
      <w:pPr>
        <w:jc w:val="both"/>
        <w:ind w:right="40"/>
        <w:spacing w:after="0" w:line="255" w:lineRule="auto"/>
        <w:rPr>
          <w:sz w:val="20"/>
          <w:szCs w:val="20"/>
          <w:color w:val="auto"/>
        </w:rPr>
      </w:pPr>
      <w:r>
        <w:rPr>
          <w:rFonts w:ascii="Times New Roman" w:cs="Times New Roman" w:eastAsia="Times New Roman" w:hAnsi="Times New Roman"/>
          <w:sz w:val="18"/>
          <w:szCs w:val="18"/>
          <w:color w:val="auto"/>
        </w:rPr>
        <w:t>Marketing, general and administrative expense increased in the first nine months of 2017 compared to the same period last year reflecting the impact of acquisitions and higher employee-related costs, partially offset by benefits from productivity initiatives, including savings from restructuring, net of transition costs.</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280" w:type="dxa"/>
            <w:vAlign w:val="bottom"/>
          </w:tcPr>
          <w:p>
            <w:pPr>
              <w:spacing w:after="0"/>
              <w:rPr>
                <w:sz w:val="20"/>
                <w:szCs w:val="20"/>
                <w:color w:val="auto"/>
              </w:rPr>
            </w:pPr>
          </w:p>
        </w:tc>
        <w:tc>
          <w:tcPr>
            <w:tcW w:w="62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24</w:t>
            </w:r>
          </w:p>
        </w:tc>
      </w:tr>
      <w:tr>
        <w:trPr>
          <w:trHeight w:val="132"/>
        </w:trPr>
        <w:tc>
          <w:tcPr>
            <w:tcW w:w="1280" w:type="dxa"/>
            <w:vAlign w:val="bottom"/>
            <w:tcBorders>
              <w:bottom w:val="single" w:sz="8" w:color="808080"/>
            </w:tcBorders>
          </w:tcPr>
          <w:p>
            <w:pPr>
              <w:spacing w:after="0"/>
              <w:rPr>
                <w:sz w:val="11"/>
                <w:szCs w:val="11"/>
                <w:color w:val="auto"/>
              </w:rPr>
            </w:pPr>
          </w:p>
        </w:tc>
        <w:tc>
          <w:tcPr>
            <w:tcW w:w="6220" w:type="dxa"/>
            <w:vAlign w:val="bottom"/>
            <w:tcBorders>
              <w:bottom w:val="single" w:sz="8" w:color="808080"/>
            </w:tcBorders>
          </w:tcPr>
          <w:p>
            <w:pPr>
              <w:spacing w:after="0"/>
              <w:rPr>
                <w:sz w:val="11"/>
                <w:szCs w:val="11"/>
                <w:color w:val="auto"/>
              </w:rPr>
            </w:pPr>
          </w:p>
        </w:tc>
        <w:tc>
          <w:tcPr>
            <w:tcW w:w="1020" w:type="dxa"/>
            <w:vAlign w:val="bottom"/>
            <w:tcBorders>
              <w:bottom w:val="single" w:sz="8" w:color="808080"/>
            </w:tcBorders>
          </w:tcPr>
          <w:p>
            <w:pPr>
              <w:spacing w:after="0"/>
              <w:rPr>
                <w:sz w:val="11"/>
                <w:szCs w:val="11"/>
                <w:color w:val="auto"/>
              </w:rPr>
            </w:pPr>
          </w:p>
        </w:tc>
        <w:tc>
          <w:tcPr>
            <w:tcW w:w="1240" w:type="dxa"/>
            <w:vAlign w:val="bottom"/>
            <w:tcBorders>
              <w:bottom w:val="single" w:sz="8" w:color="808080"/>
            </w:tcBorders>
          </w:tcPr>
          <w:p>
            <w:pPr>
              <w:spacing w:after="0"/>
              <w:rPr>
                <w:sz w:val="11"/>
                <w:szCs w:val="11"/>
                <w:color w:val="auto"/>
              </w:rPr>
            </w:pPr>
          </w:p>
        </w:tc>
        <w:tc>
          <w:tcPr>
            <w:tcW w:w="940" w:type="dxa"/>
            <w:vAlign w:val="bottom"/>
            <w:tcBorders>
              <w:bottom w:val="single" w:sz="8" w:color="808080"/>
            </w:tcBorders>
          </w:tcPr>
          <w:p>
            <w:pPr>
              <w:spacing w:after="0"/>
              <w:rPr>
                <w:sz w:val="11"/>
                <w:szCs w:val="11"/>
                <w:color w:val="auto"/>
              </w:rPr>
            </w:pPr>
          </w:p>
        </w:tc>
        <w:tc>
          <w:tcPr>
            <w:tcW w:w="72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r>
      <w:tr>
        <w:trPr>
          <w:trHeight w:val="523"/>
        </w:trPr>
        <w:tc>
          <w:tcPr>
            <w:tcW w:w="7500" w:type="dxa"/>
            <w:vAlign w:val="bottom"/>
            <w:gridSpan w:val="2"/>
          </w:tcPr>
          <w:p>
            <w:pPr>
              <w:spacing w:after="0"/>
              <w:rPr>
                <w:rFonts w:ascii="Times New Roman" w:cs="Times New Roman" w:eastAsia="Times New Roman" w:hAnsi="Times New Roman"/>
                <w:sz w:val="18"/>
                <w:szCs w:val="18"/>
                <w:color w:val="0000EE"/>
              </w:rPr>
            </w:pPr>
            <w:hyperlink w:anchor="page1">
              <w:r>
                <w:rPr>
                  <w:rFonts w:ascii="Times New Roman" w:cs="Times New Roman" w:eastAsia="Times New Roman" w:hAnsi="Times New Roman"/>
                  <w:sz w:val="18"/>
                  <w:szCs w:val="18"/>
                  <w:color w:val="0000EE"/>
                </w:rPr>
                <w:t>Table of Contents</w:t>
              </w:r>
            </w:hyperlink>
          </w:p>
        </w:tc>
        <w:tc>
          <w:tcPr>
            <w:tcW w:w="10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453"/>
        </w:trPr>
        <w:tc>
          <w:tcPr>
            <w:tcW w:w="1280" w:type="dxa"/>
            <w:vAlign w:val="bottom"/>
            <w:tcBorders>
              <w:top w:val="single" w:sz="8" w:color="0000EE"/>
            </w:tcBorders>
          </w:tcPr>
          <w:p>
            <w:pPr>
              <w:spacing w:after="0"/>
              <w:rPr>
                <w:sz w:val="24"/>
                <w:szCs w:val="24"/>
                <w:color w:val="auto"/>
              </w:rPr>
            </w:pPr>
          </w:p>
        </w:tc>
        <w:tc>
          <w:tcPr>
            <w:tcW w:w="62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940" w:type="dxa"/>
            <w:vAlign w:val="bottom"/>
            <w:gridSpan w:val="4"/>
          </w:tcPr>
          <w:p>
            <w:pPr>
              <w:jc w:val="right"/>
              <w:ind w:right="40"/>
              <w:spacing w:after="0"/>
              <w:rPr>
                <w:sz w:val="20"/>
                <w:szCs w:val="20"/>
                <w:color w:val="auto"/>
              </w:rPr>
            </w:pPr>
            <w:r>
              <w:rPr>
                <w:rFonts w:ascii="Times New Roman" w:cs="Times New Roman" w:eastAsia="Times New Roman" w:hAnsi="Times New Roman"/>
                <w:sz w:val="18"/>
                <w:szCs w:val="18"/>
                <w:color w:val="auto"/>
              </w:rPr>
              <w:t>Avery Dennison Corporation</w:t>
            </w:r>
          </w:p>
        </w:tc>
      </w:tr>
      <w:tr>
        <w:trPr>
          <w:trHeight w:val="432"/>
        </w:trPr>
        <w:tc>
          <w:tcPr>
            <w:tcW w:w="750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Other Expense, net</w:t>
            </w:r>
          </w:p>
        </w:tc>
        <w:tc>
          <w:tcPr>
            <w:tcW w:w="10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432"/>
        </w:trPr>
        <w:tc>
          <w:tcPr>
            <w:tcW w:w="1280" w:type="dxa"/>
            <w:vAlign w:val="bottom"/>
          </w:tcPr>
          <w:p>
            <w:pPr>
              <w:spacing w:after="0"/>
              <w:rPr>
                <w:sz w:val="24"/>
                <w:szCs w:val="24"/>
                <w:color w:val="auto"/>
              </w:rPr>
            </w:pPr>
          </w:p>
        </w:tc>
        <w:tc>
          <w:tcPr>
            <w:tcW w:w="6220" w:type="dxa"/>
            <w:vAlign w:val="bottom"/>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2180" w:type="dxa"/>
            <w:vAlign w:val="bottom"/>
            <w:tcBorders>
              <w:bottom w:val="single" w:sz="8" w:color="auto"/>
            </w:tcBorders>
            <w:gridSpan w:val="2"/>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Nine Months Ended</w:t>
            </w:r>
          </w:p>
        </w:tc>
        <w:tc>
          <w:tcPr>
            <w:tcW w:w="720" w:type="dxa"/>
            <w:vAlign w:val="bottom"/>
            <w:tcBorders>
              <w:bottom w:val="single" w:sz="8" w:color="auto"/>
            </w:tcBorders>
          </w:tcPr>
          <w:p>
            <w:pPr>
              <w:spacing w:after="0"/>
              <w:rPr>
                <w:sz w:val="24"/>
                <w:szCs w:val="24"/>
                <w:color w:val="auto"/>
              </w:rPr>
            </w:pPr>
          </w:p>
        </w:tc>
        <w:tc>
          <w:tcPr>
            <w:tcW w:w="40" w:type="dxa"/>
            <w:vAlign w:val="bottom"/>
          </w:tcPr>
          <w:p>
            <w:pPr>
              <w:spacing w:after="0"/>
              <w:rPr>
                <w:sz w:val="24"/>
                <w:szCs w:val="24"/>
                <w:color w:val="auto"/>
              </w:rPr>
            </w:pPr>
          </w:p>
        </w:tc>
      </w:tr>
      <w:tr>
        <w:trPr>
          <w:trHeight w:val="210"/>
        </w:trPr>
        <w:tc>
          <w:tcPr>
            <w:tcW w:w="750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4"/>
                <w:szCs w:val="14"/>
                <w:color w:val="auto"/>
              </w:rPr>
              <w:t>(In millions)</w:t>
            </w:r>
          </w:p>
        </w:tc>
        <w:tc>
          <w:tcPr>
            <w:tcW w:w="2260" w:type="dxa"/>
            <w:vAlign w:val="bottom"/>
            <w:tcBorders>
              <w:bottom w:val="single" w:sz="8" w:color="auto"/>
            </w:tcBorders>
            <w:gridSpan w:val="2"/>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September 30, 2017</w:t>
            </w:r>
          </w:p>
        </w:tc>
        <w:tc>
          <w:tcPr>
            <w:tcW w:w="1660" w:type="dxa"/>
            <w:vAlign w:val="bottom"/>
            <w:tcBorders>
              <w:bottom w:val="single" w:sz="8" w:color="auto"/>
            </w:tcBorders>
            <w:gridSpan w:val="2"/>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October 1, 2016</w:t>
            </w:r>
          </w:p>
        </w:tc>
        <w:tc>
          <w:tcPr>
            <w:tcW w:w="40" w:type="dxa"/>
            <w:vAlign w:val="bottom"/>
          </w:tcPr>
          <w:p>
            <w:pPr>
              <w:spacing w:after="0"/>
              <w:rPr>
                <w:sz w:val="18"/>
                <w:szCs w:val="18"/>
                <w:color w:val="auto"/>
              </w:rPr>
            </w:pPr>
          </w:p>
        </w:tc>
      </w:tr>
      <w:tr>
        <w:trPr>
          <w:trHeight w:val="210"/>
        </w:trPr>
        <w:tc>
          <w:tcPr>
            <w:tcW w:w="75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Other expense, net by type</w:t>
            </w:r>
          </w:p>
        </w:tc>
        <w:tc>
          <w:tcPr>
            <w:tcW w:w="10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7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Restructuring charges:</w:t>
            </w:r>
          </w:p>
        </w:tc>
        <w:tc>
          <w:tcPr>
            <w:tcW w:w="10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75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Severance and related costs</w:t>
            </w:r>
          </w:p>
        </w:tc>
        <w:tc>
          <w:tcPr>
            <w:tcW w:w="10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21.7</w:t>
            </w:r>
          </w:p>
        </w:tc>
        <w:tc>
          <w:tcPr>
            <w:tcW w:w="94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10.7</w:t>
            </w:r>
          </w:p>
        </w:tc>
        <w:tc>
          <w:tcPr>
            <w:tcW w:w="40" w:type="dxa"/>
            <w:vAlign w:val="bottom"/>
          </w:tcPr>
          <w:p>
            <w:pPr>
              <w:spacing w:after="0"/>
              <w:rPr>
                <w:sz w:val="18"/>
                <w:szCs w:val="18"/>
                <w:color w:val="auto"/>
              </w:rPr>
            </w:pPr>
          </w:p>
        </w:tc>
      </w:tr>
      <w:tr>
        <w:trPr>
          <w:trHeight w:val="216"/>
        </w:trPr>
        <w:tc>
          <w:tcPr>
            <w:tcW w:w="75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Asset impairment charges and lease cancellation costs</w:t>
            </w:r>
          </w:p>
        </w:tc>
        <w:tc>
          <w:tcPr>
            <w:tcW w:w="1020" w:type="dxa"/>
            <w:vAlign w:val="bottom"/>
          </w:tcPr>
          <w:p>
            <w:pPr>
              <w:spacing w:after="0"/>
              <w:rPr>
                <w:sz w:val="18"/>
                <w:szCs w:val="18"/>
                <w:color w:val="auto"/>
              </w:rPr>
            </w:pPr>
          </w:p>
        </w:tc>
        <w:tc>
          <w:tcPr>
            <w:tcW w:w="124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2.1</w:t>
            </w:r>
          </w:p>
        </w:tc>
        <w:tc>
          <w:tcPr>
            <w:tcW w:w="940" w:type="dxa"/>
            <w:vAlign w:val="bottom"/>
          </w:tcPr>
          <w:p>
            <w:pPr>
              <w:spacing w:after="0"/>
              <w:rPr>
                <w:sz w:val="18"/>
                <w:szCs w:val="18"/>
                <w:color w:val="auto"/>
              </w:rPr>
            </w:pPr>
          </w:p>
        </w:tc>
        <w:tc>
          <w:tcPr>
            <w:tcW w:w="7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3.9</w:t>
            </w:r>
          </w:p>
        </w:tc>
        <w:tc>
          <w:tcPr>
            <w:tcW w:w="40" w:type="dxa"/>
            <w:vAlign w:val="bottom"/>
          </w:tcPr>
          <w:p>
            <w:pPr>
              <w:spacing w:after="0"/>
              <w:rPr>
                <w:sz w:val="18"/>
                <w:szCs w:val="18"/>
                <w:color w:val="auto"/>
              </w:rPr>
            </w:pPr>
          </w:p>
        </w:tc>
      </w:tr>
      <w:tr>
        <w:trPr>
          <w:trHeight w:val="216"/>
        </w:trPr>
        <w:tc>
          <w:tcPr>
            <w:tcW w:w="75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items:</w:t>
            </w:r>
          </w:p>
        </w:tc>
        <w:tc>
          <w:tcPr>
            <w:tcW w:w="10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75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Transaction costs</w:t>
            </w:r>
          </w:p>
        </w:tc>
        <w:tc>
          <w:tcPr>
            <w:tcW w:w="1020" w:type="dxa"/>
            <w:vAlign w:val="bottom"/>
          </w:tcPr>
          <w:p>
            <w:pPr>
              <w:spacing w:after="0"/>
              <w:rPr>
                <w:sz w:val="18"/>
                <w:szCs w:val="18"/>
                <w:color w:val="auto"/>
              </w:rPr>
            </w:pPr>
          </w:p>
        </w:tc>
        <w:tc>
          <w:tcPr>
            <w:tcW w:w="124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3.7</w:t>
            </w:r>
          </w:p>
        </w:tc>
        <w:tc>
          <w:tcPr>
            <w:tcW w:w="940" w:type="dxa"/>
            <w:vAlign w:val="bottom"/>
          </w:tcPr>
          <w:p>
            <w:pPr>
              <w:spacing w:after="0"/>
              <w:rPr>
                <w:sz w:val="18"/>
                <w:szCs w:val="18"/>
                <w:color w:val="auto"/>
              </w:rPr>
            </w:pPr>
          </w:p>
        </w:tc>
        <w:tc>
          <w:tcPr>
            <w:tcW w:w="7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4.1</w:t>
            </w:r>
          </w:p>
        </w:tc>
        <w:tc>
          <w:tcPr>
            <w:tcW w:w="40" w:type="dxa"/>
            <w:vAlign w:val="bottom"/>
          </w:tcPr>
          <w:p>
            <w:pPr>
              <w:spacing w:after="0"/>
              <w:rPr>
                <w:sz w:val="18"/>
                <w:szCs w:val="18"/>
                <w:color w:val="auto"/>
              </w:rPr>
            </w:pPr>
          </w:p>
        </w:tc>
      </w:tr>
      <w:tr>
        <w:trPr>
          <w:trHeight w:val="216"/>
        </w:trPr>
        <w:tc>
          <w:tcPr>
            <w:tcW w:w="75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Loss from settlement of pension obligations</w:t>
            </w:r>
          </w:p>
        </w:tc>
        <w:tc>
          <w:tcPr>
            <w:tcW w:w="102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spacing w:after="0"/>
              <w:rPr>
                <w:sz w:val="18"/>
                <w:szCs w:val="18"/>
                <w:color w:val="auto"/>
              </w:rPr>
            </w:pPr>
          </w:p>
        </w:tc>
        <w:tc>
          <w:tcPr>
            <w:tcW w:w="7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41.4</w:t>
            </w:r>
          </w:p>
        </w:tc>
        <w:tc>
          <w:tcPr>
            <w:tcW w:w="40" w:type="dxa"/>
            <w:vAlign w:val="bottom"/>
          </w:tcPr>
          <w:p>
            <w:pPr>
              <w:spacing w:after="0"/>
              <w:rPr>
                <w:sz w:val="18"/>
                <w:szCs w:val="18"/>
                <w:color w:val="auto"/>
              </w:rPr>
            </w:pPr>
          </w:p>
        </w:tc>
      </w:tr>
      <w:tr>
        <w:trPr>
          <w:trHeight w:val="216"/>
        </w:trPr>
        <w:tc>
          <w:tcPr>
            <w:tcW w:w="7500" w:type="dxa"/>
            <w:vAlign w:val="bottom"/>
            <w:tcBorders>
              <w:bottom w:val="single" w:sz="8" w:color="auto"/>
            </w:tcBorders>
            <w:gridSpan w:val="2"/>
          </w:tcPr>
          <w:p>
            <w:pPr>
              <w:ind w:left="180"/>
              <w:spacing w:after="0"/>
              <w:rPr>
                <w:sz w:val="20"/>
                <w:szCs w:val="20"/>
                <w:color w:val="auto"/>
              </w:rPr>
            </w:pPr>
            <w:r>
              <w:rPr>
                <w:rFonts w:ascii="Times New Roman" w:cs="Times New Roman" w:eastAsia="Times New Roman" w:hAnsi="Times New Roman"/>
                <w:sz w:val="18"/>
                <w:szCs w:val="18"/>
                <w:color w:val="auto"/>
              </w:rPr>
              <w:t>Loss on sale of asset</w:t>
            </w:r>
          </w:p>
        </w:tc>
        <w:tc>
          <w:tcPr>
            <w:tcW w:w="10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.3</w:t>
            </w:r>
          </w:p>
        </w:tc>
        <w:tc>
          <w:tcPr>
            <w:tcW w:w="40" w:type="dxa"/>
            <w:vAlign w:val="bottom"/>
          </w:tcPr>
          <w:p>
            <w:pPr>
              <w:spacing w:after="0"/>
              <w:rPr>
                <w:sz w:val="18"/>
                <w:szCs w:val="18"/>
                <w:color w:val="auto"/>
              </w:rPr>
            </w:pPr>
          </w:p>
        </w:tc>
      </w:tr>
      <w:tr>
        <w:trPr>
          <w:trHeight w:val="172"/>
        </w:trPr>
        <w:tc>
          <w:tcPr>
            <w:tcW w:w="1280" w:type="dxa"/>
            <w:vAlign w:val="bottom"/>
            <w:shd w:val="clear" w:color="auto" w:fill="CCEEFF"/>
          </w:tcPr>
          <w:p>
            <w:pPr>
              <w:spacing w:after="0"/>
              <w:rPr>
                <w:sz w:val="14"/>
                <w:szCs w:val="14"/>
                <w:color w:val="auto"/>
              </w:rPr>
            </w:pPr>
          </w:p>
        </w:tc>
        <w:tc>
          <w:tcPr>
            <w:tcW w:w="622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124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40" w:type="dxa"/>
            <w:vAlign w:val="bottom"/>
          </w:tcPr>
          <w:p>
            <w:pPr>
              <w:spacing w:after="0"/>
              <w:rPr>
                <w:sz w:val="14"/>
                <w:szCs w:val="1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-2584450</wp:posOffset>
            </wp:positionV>
            <wp:extent cx="12700" cy="298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-2584450</wp:posOffset>
            </wp:positionV>
            <wp:extent cx="12700" cy="298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900" w:orient="portrait"/>
          <w:cols w:equalWidth="0" w:num="1">
            <w:col w:w="11460"/>
          </w:cols>
          <w:pgMar w:left="240" w:top="121" w:right="199" w:bottom="0" w:gutter="0" w:footer="0" w:header="0"/>
        </w:sectPr>
      </w:pPr>
    </w:p>
    <w:bookmarkStart w:id="19" w:name="page20"/>
    <w:bookmarkEnd w:id="19"/>
    <w:p>
      <w:pPr>
        <w:spacing w:after="0"/>
        <w:tabs>
          <w:tab w:leader="none" w:pos="8300" w:val="left"/>
          <w:tab w:leader="none" w:pos="9100" w:val="left"/>
          <w:tab w:leader="none" w:pos="10280" w:val="left"/>
          <w:tab w:leader="none" w:pos="10980" w:val="left"/>
        </w:tabs>
        <w:rPr>
          <w:sz w:val="20"/>
          <w:szCs w:val="20"/>
          <w:color w:val="auto"/>
        </w:rPr>
      </w:pPr>
      <w:r>
        <w:rPr>
          <w:rFonts w:ascii="Times New Roman" w:cs="Times New Roman" w:eastAsia="Times New Roman" w:hAnsi="Times New Roman"/>
          <w:sz w:val="18"/>
          <w:szCs w:val="18"/>
          <w:color w:val="auto"/>
        </w:rPr>
        <w:t>Other expense, net</w:t>
      </w:r>
      <w:r>
        <w:rPr>
          <w:sz w:val="20"/>
          <w:szCs w:val="20"/>
          <w:color w:val="auto"/>
        </w:rPr>
        <w:tab/>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27.5</w:t>
      </w:r>
      <w:r>
        <w:rPr>
          <w:sz w:val="20"/>
          <w:szCs w:val="20"/>
          <w:color w:val="auto"/>
        </w:rPr>
        <w:tab/>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60.4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246620" cy="15430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46620" cy="154305"/>
                    </a:xfrm>
                    <a:prstGeom prst="rect">
                      <a:avLst/>
                    </a:prstGeom>
                    <a:noFill/>
                  </pic:spPr>
                </pic:pic>
              </a:graphicData>
            </a:graphic>
          </wp:anchor>
        </w:drawing>
      </w:r>
    </w:p>
    <w:p>
      <w:pPr>
        <w:spacing w:after="0" w:line="23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Refer to Note 9, “Cost Reduction Actions,” to the unaudited Condensed Consolidated Financial Statements for more information regarding costs associated with restructuring.</w:t>
      </w:r>
    </w:p>
    <w:p>
      <w:pPr>
        <w:spacing w:after="0" w:line="16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Refer to Note 6, “Pension and Other Postretirement Benefits,” to the unaudited Condensed Consolidated Financial Statements for more information regarding loss from settlement of pension obligations.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Net Income and Earnings per Share</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7440" w:type="dxa"/>
            <w:vAlign w:val="bottom"/>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2140" w:type="dxa"/>
            <w:vAlign w:val="bottom"/>
            <w:tcBorders>
              <w:bottom w:val="single" w:sz="8" w:color="auto"/>
            </w:tcBorders>
            <w:gridSpan w:val="2"/>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Nine Months Ended</w:t>
            </w:r>
          </w:p>
        </w:tc>
        <w:tc>
          <w:tcPr>
            <w:tcW w:w="86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74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(Dollars in millions, except per share amounts)</w:t>
            </w:r>
          </w:p>
        </w:tc>
        <w:tc>
          <w:tcPr>
            <w:tcW w:w="2340" w:type="dxa"/>
            <w:vAlign w:val="bottom"/>
            <w:gridSpan w:val="2"/>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September 30, 2017</w:t>
            </w:r>
          </w:p>
        </w:tc>
        <w:tc>
          <w:tcPr>
            <w:tcW w:w="162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October 1, 2016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4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before taxes</w:t>
            </w:r>
          </w:p>
        </w:tc>
        <w:tc>
          <w:tcPr>
            <w:tcW w:w="96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top w:val="single" w:sz="8" w:color="auto"/>
            </w:tcBorders>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432.2</w:t>
            </w:r>
          </w:p>
        </w:tc>
        <w:tc>
          <w:tcPr>
            <w:tcW w:w="760" w:type="dxa"/>
            <w:vAlign w:val="bottom"/>
            <w:tcBorders>
              <w:top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350.8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96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rPr>
              <w:t>90.8</w:t>
            </w:r>
          </w:p>
        </w:tc>
        <w:tc>
          <w:tcPr>
            <w:tcW w:w="7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92.1</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744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w:t>
            </w:r>
          </w:p>
        </w:tc>
        <w:tc>
          <w:tcPr>
            <w:tcW w:w="9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bottom w:val="single" w:sz="8" w:color="auto"/>
            </w:tcBorders>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341.4</w:t>
            </w:r>
          </w:p>
        </w:tc>
        <w:tc>
          <w:tcPr>
            <w:tcW w:w="76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258.7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40" w:type="dxa"/>
            <w:vAlign w:val="bottom"/>
          </w:tcPr>
          <w:p>
            <w:pPr>
              <w:spacing w:after="0"/>
              <w:rPr>
                <w:sz w:val="20"/>
                <w:szCs w:val="20"/>
                <w:color w:val="auto"/>
              </w:rPr>
            </w:pPr>
            <w:r>
              <w:rPr>
                <w:rFonts w:ascii="Times New Roman" w:cs="Times New Roman" w:eastAsia="Times New Roman" w:hAnsi="Times New Roman"/>
                <w:sz w:val="18"/>
                <w:szCs w:val="18"/>
                <w:color w:val="auto"/>
              </w:rPr>
              <w:t>Net income per common share</w:t>
            </w:r>
          </w:p>
        </w:tc>
        <w:tc>
          <w:tcPr>
            <w:tcW w:w="9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3.86</w:t>
            </w:r>
          </w:p>
        </w:tc>
        <w:tc>
          <w:tcPr>
            <w:tcW w:w="76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2.90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44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 per common share, assuming dilution</w:t>
            </w:r>
          </w:p>
        </w:tc>
        <w:tc>
          <w:tcPr>
            <w:tcW w:w="96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3.79</w:t>
            </w:r>
          </w:p>
        </w:tc>
        <w:tc>
          <w:tcPr>
            <w:tcW w:w="76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2.85</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4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744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Effective tax rate</w:t>
            </w:r>
          </w:p>
        </w:tc>
        <w:tc>
          <w:tcPr>
            <w:tcW w:w="96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21.0%</w:t>
            </w:r>
          </w:p>
        </w:tc>
        <w:tc>
          <w:tcPr>
            <w:tcW w:w="76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26.3%</w:t>
            </w:r>
          </w:p>
        </w:tc>
        <w:tc>
          <w:tcPr>
            <w:tcW w:w="0" w:type="dxa"/>
            <w:vAlign w:val="bottom"/>
          </w:tcPr>
          <w:p>
            <w:pPr>
              <w:spacing w:after="0"/>
              <w:rPr>
                <w:sz w:val="1"/>
                <w:szCs w:val="1"/>
                <w:color w:val="auto"/>
              </w:rPr>
            </w:pPr>
          </w:p>
        </w:tc>
      </w:tr>
    </w:tbl>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Provision for Income Taxes</w:t>
      </w:r>
    </w:p>
    <w:p>
      <w:pPr>
        <w:spacing w:after="0" w:line="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effective tax rate for the nine months ended September 30, 2017 included $3.2 million of tax benefit from the releases of valuation allowances on certain U.S. state deferred tax assets; $4.5 million of tax benefit from the effective settlements of certain tax examinations and changes in our judgment about tax filing positions as a result of new information; and $4.6 million of tax benefit from decreases in certain tax reserves, including interest and penalties, as a result of closing tax years.</w:t>
      </w:r>
    </w:p>
    <w:p>
      <w:pPr>
        <w:spacing w:after="0" w:line="18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effective tax rate for the nine months ended September 30, 2017 also included a net benefit of $13.6 million related to our adoption of the accounting guidance update related to stock-based payments described in Note 1, “General,” to the unaudited Condensed Consolidated Financial Statements. The accounting guidance update related to stock-based payments requires that the effect of excess tax benefits associated with stock-based payments be recognized in the income statement instead of in capital in excess of par value as was the case prior to our adoption of this update. Excess tax benefits are the effects of tax deductions in excess of compensation expenses recognized for financial accounting purposes. These benefits related to stock-based awards are generally generated as a result of stock price appreciation during the vesting period or between the time of grant and the time of exercise. We expect future excess tax benefits pursuant to this update to vary depending on our stock-based payments in future reporting periods. These excess tax benefits may cause variability in our future effective tax rate as they can fluctuate based on vesting and exercise activity, as well as our future stock price. The tax effect of the tax deductions in excess of compensation cost related to the exercise of nonqualified stock options and vesting of other stock-based compensation awards recognized in capital in excess of par value was $10.0 million for the nine months ended October 1, 2016.</w:t>
      </w:r>
    </w:p>
    <w:p>
      <w:pPr>
        <w:spacing w:after="0" w:line="18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effective tax rate for the nine months ended September 30, 2017 also included the immediate recognition of $1.6 million of tax expense primarily from intra-entity sales and transfers of assets other than inventory related to the integration of a recent acquisition. The remaining tax effects were recognized as deferred tax charges and recorded in “Other current assets” and “Other assets.” However, we expect the deferred tax charges to be derecognized as an adjustment to retained earnings upon adoption of the accounting guidance update described in Note 17, “Recent Accounting Requirements,” to the unaudited Condensed Consolidated Financial Statements.</w:t>
      </w:r>
    </w:p>
    <w:p>
      <w:pPr>
        <w:spacing w:after="0" w:line="184"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w:anchor="page1">
        <w:r>
          <w:rPr>
            <w:rFonts w:ascii="Times New Roman" w:cs="Times New Roman" w:eastAsia="Times New Roman" w:hAnsi="Times New Roman"/>
            <w:sz w:val="18"/>
            <w:szCs w:val="18"/>
            <w:u w:val="single" w:color="auto"/>
            <w:color w:val="0000EE"/>
          </w:rPr>
          <w:t>Table of Contents</w:t>
        </w:r>
      </w:hyperlink>
    </w:p>
    <w:p>
      <w:pPr>
        <w:spacing w:after="0" w:line="225" w:lineRule="exact"/>
        <w:rPr>
          <w:sz w:val="20"/>
          <w:szCs w:val="20"/>
          <w:color w:val="auto"/>
        </w:rPr>
      </w:pPr>
    </w:p>
    <w:p>
      <w:pPr>
        <w:ind w:left="9340"/>
        <w:spacing w:after="0"/>
        <w:rPr>
          <w:sz w:val="20"/>
          <w:szCs w:val="20"/>
          <w:color w:val="auto"/>
        </w:rPr>
      </w:pPr>
      <w:r>
        <w:rPr>
          <w:rFonts w:ascii="Times New Roman" w:cs="Times New Roman" w:eastAsia="Times New Roman" w:hAnsi="Times New Roman"/>
          <w:sz w:val="17"/>
          <w:szCs w:val="17"/>
          <w:color w:val="auto"/>
        </w:rPr>
        <w:t>Avery Dennison Corporation</w:t>
      </w:r>
    </w:p>
    <w:p>
      <w:pPr>
        <w:spacing w:after="0" w:line="23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addition, the effective tax rate for the nine months ended September 30, 2017 compared to the same period last year reflects a decrease in tax expense related to the repatriation of non-permanently reinvested earnings of certain foreign subsidiaries and favorable changes in the geographic mix of our income before taxes.</w:t>
      </w:r>
    </w:p>
    <w:p>
      <w:pPr>
        <w:spacing w:after="0" w:line="17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effective tax rate for the nine months ended October 1, 2016 included $3.1 million of tax expense resulting from return to provision adjustments pursuant to the completion of the 2015 U.S. federal tax return; $7.1 million of tax benefit from our change in judgment about tax filing positions in certain foreign jurisdictions as a result of new information gained from our interactions with tax authorities; $26.9 million of tax expense associated with the tax cost to repatriate non-permanently reinvested earnings of certain foreign subsidiaries; $11.1 million of tax benefit resulting from effective settlements of tax examinations in various foreign jurisdictions; $6.7 million of tax benefit from the releases of valuation allowances against certain deferred tax assets in a foreign jurisdiction associated with a structural simplification approved by the tax authority; and $3.3 million of tax benefit due to decreases in certain tax reserves as a result of closing tax years.</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effective tax rate can vary widely from quarter to quarter due to interim reporting requirements, the recognition of discrete events and the timing of repatriation of foreign earnings. Refer to Note 11, “Taxes Based on Income,” to the unaudited Condensed Consolidated Financial Statements for further information.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RESULTS OF OPERATIONS BY REPORTABLE SEGMENT FOR THE NINE MONTHS YEAR-TO-DATE</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560" w:type="dxa"/>
            <w:vAlign w:val="bottom"/>
          </w:tcPr>
          <w:p>
            <w:pPr>
              <w:spacing w:after="0"/>
              <w:rPr>
                <w:sz w:val="20"/>
                <w:szCs w:val="20"/>
                <w:color w:val="auto"/>
              </w:rPr>
            </w:pPr>
            <w:r>
              <w:rPr>
                <w:rFonts w:ascii="Times New Roman" w:cs="Times New Roman" w:eastAsia="Times New Roman" w:hAnsi="Times New Roman"/>
                <w:sz w:val="18"/>
                <w:szCs w:val="18"/>
                <w:color w:val="auto"/>
              </w:rPr>
              <w:t>Operating income refers to income before interest and taxes.</w:t>
            </w:r>
          </w:p>
        </w:tc>
        <w:tc>
          <w:tcPr>
            <w:tcW w:w="2220" w:type="dxa"/>
            <w:vAlign w:val="bottom"/>
          </w:tcPr>
          <w:p>
            <w:pPr>
              <w:spacing w:after="0"/>
              <w:rPr>
                <w:sz w:val="20"/>
                <w:szCs w:val="20"/>
                <w:color w:val="auto"/>
              </w:rPr>
            </w:pPr>
          </w:p>
        </w:tc>
        <w:tc>
          <w:tcPr>
            <w:tcW w:w="1640" w:type="dxa"/>
            <w:vAlign w:val="bottom"/>
          </w:tcPr>
          <w:p>
            <w:pPr>
              <w:spacing w:after="0"/>
              <w:rPr>
                <w:sz w:val="20"/>
                <w:szCs w:val="20"/>
                <w:color w:val="auto"/>
              </w:rPr>
            </w:pPr>
          </w:p>
        </w:tc>
      </w:tr>
      <w:tr>
        <w:trPr>
          <w:trHeight w:val="432"/>
        </w:trPr>
        <w:tc>
          <w:tcPr>
            <w:tcW w:w="756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Label and Graphic Materials</w:t>
            </w:r>
          </w:p>
        </w:tc>
        <w:tc>
          <w:tcPr>
            <w:tcW w:w="2220" w:type="dxa"/>
            <w:vAlign w:val="bottom"/>
          </w:tcPr>
          <w:p>
            <w:pPr>
              <w:spacing w:after="0"/>
              <w:rPr>
                <w:sz w:val="24"/>
                <w:szCs w:val="24"/>
                <w:color w:val="auto"/>
              </w:rPr>
            </w:pPr>
          </w:p>
        </w:tc>
        <w:tc>
          <w:tcPr>
            <w:tcW w:w="1640" w:type="dxa"/>
            <w:vAlign w:val="bottom"/>
          </w:tcPr>
          <w:p>
            <w:pPr>
              <w:spacing w:after="0"/>
              <w:rPr>
                <w:sz w:val="24"/>
                <w:szCs w:val="24"/>
                <w:color w:val="auto"/>
              </w:rPr>
            </w:pPr>
          </w:p>
        </w:tc>
      </w:tr>
      <w:tr>
        <w:trPr>
          <w:trHeight w:val="432"/>
        </w:trPr>
        <w:tc>
          <w:tcPr>
            <w:tcW w:w="7560" w:type="dxa"/>
            <w:vAlign w:val="bottom"/>
          </w:tcPr>
          <w:p>
            <w:pPr>
              <w:spacing w:after="0"/>
              <w:rPr>
                <w:sz w:val="24"/>
                <w:szCs w:val="24"/>
                <w:color w:val="auto"/>
              </w:rPr>
            </w:pPr>
          </w:p>
        </w:tc>
        <w:tc>
          <w:tcPr>
            <w:tcW w:w="3860" w:type="dxa"/>
            <w:vAlign w:val="bottom"/>
            <w:tcBorders>
              <w:bottom w:val="single" w:sz="8" w:color="auto"/>
            </w:tcBorders>
            <w:gridSpan w:val="2"/>
          </w:tcPr>
          <w:p>
            <w:pPr>
              <w:ind w:left="1100"/>
              <w:spacing w:after="0"/>
              <w:rPr>
                <w:sz w:val="20"/>
                <w:szCs w:val="20"/>
                <w:color w:val="auto"/>
              </w:rPr>
            </w:pPr>
            <w:r>
              <w:rPr>
                <w:rFonts w:ascii="Times New Roman" w:cs="Times New Roman" w:eastAsia="Times New Roman" w:hAnsi="Times New Roman"/>
                <w:sz w:val="18"/>
                <w:szCs w:val="18"/>
                <w:b w:val="1"/>
                <w:bCs w:val="1"/>
                <w:color w:val="auto"/>
              </w:rPr>
              <w:t>Nine Months Ended</w:t>
            </w:r>
          </w:p>
        </w:tc>
      </w:tr>
      <w:tr>
        <w:trPr>
          <w:trHeight w:val="225"/>
        </w:trPr>
        <w:tc>
          <w:tcPr>
            <w:tcW w:w="7560" w:type="dxa"/>
            <w:vAlign w:val="bottom"/>
          </w:tcPr>
          <w:p>
            <w:pPr>
              <w:spacing w:after="0"/>
              <w:rPr>
                <w:sz w:val="20"/>
                <w:szCs w:val="20"/>
                <w:color w:val="auto"/>
              </w:rPr>
            </w:pPr>
            <w:r>
              <w:rPr>
                <w:rFonts w:ascii="Times New Roman" w:cs="Times New Roman" w:eastAsia="Times New Roman" w:hAnsi="Times New Roman"/>
                <w:sz w:val="14"/>
                <w:szCs w:val="14"/>
                <w:color w:val="auto"/>
              </w:rPr>
              <w:t>(In millions)</w:t>
            </w:r>
          </w:p>
        </w:tc>
        <w:tc>
          <w:tcPr>
            <w:tcW w:w="2220" w:type="dxa"/>
            <w:vAlign w:val="bottom"/>
          </w:tcPr>
          <w:p>
            <w:pPr>
              <w:ind w:left="380"/>
              <w:spacing w:after="0"/>
              <w:rPr>
                <w:sz w:val="20"/>
                <w:szCs w:val="20"/>
                <w:color w:val="auto"/>
              </w:rPr>
            </w:pPr>
            <w:r>
              <w:rPr>
                <w:rFonts w:ascii="Times New Roman" w:cs="Times New Roman" w:eastAsia="Times New Roman" w:hAnsi="Times New Roman"/>
                <w:sz w:val="18"/>
                <w:szCs w:val="18"/>
                <w:b w:val="1"/>
                <w:bCs w:val="1"/>
                <w:color w:val="auto"/>
              </w:rPr>
              <w:t>September 30, 2017</w:t>
            </w:r>
          </w:p>
        </w:tc>
        <w:tc>
          <w:tcPr>
            <w:tcW w:w="1640" w:type="dxa"/>
            <w:vAlign w:val="bottom"/>
          </w:tcPr>
          <w:p>
            <w:pPr>
              <w:ind w:left="320"/>
              <w:spacing w:after="0"/>
              <w:rPr>
                <w:sz w:val="20"/>
                <w:szCs w:val="20"/>
                <w:color w:val="auto"/>
              </w:rPr>
            </w:pPr>
            <w:r>
              <w:rPr>
                <w:rFonts w:ascii="Times New Roman" w:cs="Times New Roman" w:eastAsia="Times New Roman" w:hAnsi="Times New Roman"/>
                <w:sz w:val="18"/>
                <w:szCs w:val="18"/>
                <w:b w:val="1"/>
                <w:bCs w:val="1"/>
                <w:color w:val="auto"/>
              </w:rPr>
              <w:t>October 1, 2016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wp:posOffset>
            </wp:positionV>
            <wp:extent cx="7246620" cy="14605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46620" cy="146050"/>
                    </a:xfrm>
                    <a:prstGeom prst="rect">
                      <a:avLst/>
                    </a:prstGeom>
                    <a:noFill/>
                  </pic:spPr>
                </pic:pic>
              </a:graphicData>
            </a:graphic>
          </wp:anchor>
        </w:drawing>
      </w:r>
    </w:p>
    <w:p>
      <w:pPr>
        <w:sectPr>
          <w:pgSz w:w="11900" w:h="16838" w:orient="portrait"/>
          <w:cols w:equalWidth="0" w:num="1">
            <w:col w:w="11420"/>
          </w:cols>
          <w:pgMar w:left="240" w:top="121" w:right="239" w:bottom="0" w:gutter="0" w:footer="0" w:header="0"/>
        </w:sectPr>
      </w:pPr>
    </w:p>
    <w:p>
      <w:pPr>
        <w:spacing w:after="0"/>
        <w:tabs>
          <w:tab w:leader="none" w:pos="8160" w:val="left"/>
          <w:tab w:leader="none" w:pos="8880" w:val="left"/>
          <w:tab w:leader="none" w:pos="10120" w:val="left"/>
          <w:tab w:leader="none" w:pos="10760" w:val="left"/>
        </w:tabs>
        <w:rPr>
          <w:sz w:val="20"/>
          <w:szCs w:val="20"/>
          <w:color w:val="auto"/>
        </w:rPr>
      </w:pPr>
      <w:r>
        <w:rPr>
          <w:rFonts w:ascii="Times New Roman" w:cs="Times New Roman" w:eastAsia="Times New Roman" w:hAnsi="Times New Roman"/>
          <w:sz w:val="18"/>
          <w:szCs w:val="18"/>
          <w:color w:val="auto"/>
        </w:rPr>
        <w:t>Net sales including intersegment sales</w:t>
      </w:r>
      <w:r>
        <w:rPr>
          <w:sz w:val="20"/>
          <w:szCs w:val="20"/>
          <w:color w:val="auto"/>
        </w:rPr>
        <w:tab/>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3,397.9</w:t>
      </w:r>
      <w:r>
        <w:rPr>
          <w:sz w:val="20"/>
          <w:szCs w:val="20"/>
          <w:color w:val="auto"/>
        </w:rPr>
        <w:tab/>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3,172.8</w:t>
      </w:r>
    </w:p>
    <w:p>
      <w:pPr>
        <w:sectPr>
          <w:pgSz w:w="11900" w:h="16838" w:orient="portrait"/>
          <w:cols w:equalWidth="0" w:num="1">
            <w:col w:w="11420"/>
          </w:cols>
          <w:pgMar w:left="240" w:top="121" w:right="239" w:bottom="0" w:gutter="0" w:footer="0" w:header="0"/>
          <w:type w:val="continuous"/>
        </w:sectPr>
      </w:pPr>
    </w:p>
    <w:bookmarkStart w:id="20" w:name="page21"/>
    <w:bookmarkEnd w:id="20"/>
    <w:tbl>
      <w:tblPr>
        <w:tblLayout w:type="fixed"/>
        <w:tblInd w:w="0" w:type="dxa"/>
        <w:tblCellMar>
          <w:top w:w="0" w:type="dxa"/>
          <w:left w:w="0" w:type="dxa"/>
          <w:bottom w:w="0" w:type="dxa"/>
          <w:right w:w="0" w:type="dxa"/>
        </w:tblCellMar>
      </w:tblPr>
      <w:tr>
        <w:trPr>
          <w:trHeight w:val="234"/>
        </w:trPr>
        <w:tc>
          <w:tcPr>
            <w:tcW w:w="68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Less intersegment sales</w:t>
            </w:r>
          </w:p>
        </w:tc>
        <w:tc>
          <w:tcPr>
            <w:tcW w:w="17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(47.9)</w:t>
            </w:r>
          </w:p>
        </w:tc>
        <w:tc>
          <w:tcPr>
            <w:tcW w:w="9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(49.3)</w:t>
            </w:r>
          </w:p>
        </w:tc>
      </w:tr>
      <w:tr>
        <w:trPr>
          <w:trHeight w:val="210"/>
        </w:trPr>
        <w:tc>
          <w:tcPr>
            <w:tcW w:w="6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sales</w:t>
            </w:r>
          </w:p>
        </w:tc>
        <w:tc>
          <w:tcPr>
            <w:tcW w:w="176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3,350.0</w:t>
            </w:r>
          </w:p>
        </w:tc>
        <w:tc>
          <w:tcPr>
            <w:tcW w:w="92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3,123.5</w:t>
            </w:r>
          </w:p>
        </w:tc>
      </w:tr>
      <w:tr>
        <w:trPr>
          <w:trHeight w:val="223"/>
        </w:trPr>
        <w:tc>
          <w:tcPr>
            <w:tcW w:w="6840" w:type="dxa"/>
            <w:vAlign w:val="bottom"/>
            <w:tcBorders>
              <w:bottom w:val="single" w:sz="8" w:color="auto"/>
            </w:tcBorders>
          </w:tcPr>
          <w:p>
            <w:pPr>
              <w:spacing w:after="0" w:line="216" w:lineRule="exact"/>
              <w:rPr>
                <w:sz w:val="20"/>
                <w:szCs w:val="20"/>
                <w:color w:val="auto"/>
              </w:rPr>
            </w:pPr>
            <w:r>
              <w:rPr>
                <w:rFonts w:ascii="Times New Roman" w:cs="Times New Roman" w:eastAsia="Times New Roman" w:hAnsi="Times New Roman"/>
                <w:sz w:val="18"/>
                <w:szCs w:val="18"/>
                <w:color w:val="auto"/>
              </w:rPr>
              <w:t>Operating income</w:t>
            </w:r>
            <w:r>
              <w:rPr>
                <w:rFonts w:ascii="Times New Roman" w:cs="Times New Roman" w:eastAsia="Times New Roman" w:hAnsi="Times New Roman"/>
                <w:sz w:val="23"/>
                <w:szCs w:val="23"/>
                <w:color w:val="auto"/>
                <w:vertAlign w:val="superscript"/>
              </w:rPr>
              <w:t>(1)</w:t>
            </w:r>
          </w:p>
        </w:tc>
        <w:tc>
          <w:tcPr>
            <w:tcW w:w="17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429.3</w:t>
            </w:r>
          </w:p>
        </w:tc>
        <w:tc>
          <w:tcPr>
            <w:tcW w:w="9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395.6</w:t>
            </w:r>
          </w:p>
        </w:tc>
      </w:tr>
      <w:tr>
        <w:trPr>
          <w:trHeight w:val="223"/>
        </w:trPr>
        <w:tc>
          <w:tcPr>
            <w:tcW w:w="6840" w:type="dxa"/>
            <w:vAlign w:val="bottom"/>
            <w:tcBorders>
              <w:bottom w:val="single" w:sz="8" w:color="auto"/>
            </w:tcBorders>
            <w:shd w:val="clear" w:color="auto" w:fill="CCEEFF"/>
          </w:tcPr>
          <w:p>
            <w:pPr>
              <w:spacing w:after="0" w:line="216" w:lineRule="exact"/>
              <w:rPr>
                <w:sz w:val="20"/>
                <w:szCs w:val="20"/>
                <w:color w:val="auto"/>
              </w:rPr>
            </w:pPr>
            <w:r>
              <w:rPr>
                <w:rFonts w:ascii="Times New Roman" w:cs="Times New Roman" w:eastAsia="Times New Roman" w:hAnsi="Times New Roman"/>
                <w:sz w:val="23"/>
                <w:szCs w:val="23"/>
                <w:color w:val="auto"/>
                <w:vertAlign w:val="superscript"/>
              </w:rPr>
              <w:t>(1)</w:t>
            </w:r>
            <w:r>
              <w:rPr>
                <w:rFonts w:ascii="Times New Roman" w:cs="Times New Roman" w:eastAsia="Times New Roman" w:hAnsi="Times New Roman"/>
                <w:sz w:val="18"/>
                <w:szCs w:val="18"/>
                <w:color w:val="auto"/>
              </w:rPr>
              <w:t>Included costs associated with restructuring and transaction costs in both years.</w:t>
            </w:r>
          </w:p>
        </w:tc>
        <w:tc>
          <w:tcPr>
            <w:tcW w:w="1760" w:type="dxa"/>
            <w:vAlign w:val="bottom"/>
            <w:tcBorders>
              <w:bottom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10.4</w:t>
            </w:r>
          </w:p>
        </w:tc>
        <w:tc>
          <w:tcPr>
            <w:tcW w:w="92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11.0</w:t>
            </w:r>
          </w:p>
        </w:tc>
      </w:tr>
      <w:tr>
        <w:trPr>
          <w:trHeight w:val="414"/>
        </w:trPr>
        <w:tc>
          <w:tcPr>
            <w:tcW w:w="684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Net Sales</w:t>
            </w:r>
          </w:p>
        </w:tc>
        <w:tc>
          <w:tcPr>
            <w:tcW w:w="17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234"/>
        </w:trPr>
        <w:tc>
          <w:tcPr>
            <w:tcW w:w="6840" w:type="dxa"/>
            <w:vAlign w:val="bottom"/>
          </w:tcPr>
          <w:p>
            <w:pPr>
              <w:spacing w:after="0"/>
              <w:rPr>
                <w:sz w:val="20"/>
                <w:szCs w:val="20"/>
                <w:color w:val="auto"/>
              </w:rPr>
            </w:pPr>
            <w:r>
              <w:rPr>
                <w:rFonts w:ascii="Times New Roman" w:cs="Times New Roman" w:eastAsia="Times New Roman" w:hAnsi="Times New Roman"/>
                <w:sz w:val="18"/>
                <w:szCs w:val="18"/>
                <w:color w:val="auto"/>
              </w:rPr>
              <w:t>The factors impacting reported sales change are shown in the table below:</w:t>
            </w:r>
          </w:p>
        </w:tc>
        <w:tc>
          <w:tcPr>
            <w:tcW w:w="17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920" w:type="dxa"/>
            <w:vAlign w:val="bottom"/>
          </w:tcPr>
          <w:p>
            <w:pPr>
              <w:spacing w:after="0"/>
              <w:rPr>
                <w:sz w:val="20"/>
                <w:szCs w:val="20"/>
                <w:color w:val="auto"/>
              </w:rPr>
            </w:pPr>
          </w:p>
        </w:tc>
      </w:tr>
      <w:tr>
        <w:trPr>
          <w:trHeight w:val="410"/>
        </w:trPr>
        <w:tc>
          <w:tcPr>
            <w:tcW w:w="6840" w:type="dxa"/>
            <w:vAlign w:val="bottom"/>
          </w:tcPr>
          <w:p>
            <w:pPr>
              <w:spacing w:after="0"/>
              <w:rPr>
                <w:sz w:val="24"/>
                <w:szCs w:val="24"/>
                <w:color w:val="auto"/>
              </w:rPr>
            </w:pPr>
          </w:p>
        </w:tc>
        <w:tc>
          <w:tcPr>
            <w:tcW w:w="274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Nine Months Ended</w:t>
            </w:r>
          </w:p>
        </w:tc>
        <w:tc>
          <w:tcPr>
            <w:tcW w:w="92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238"/>
        </w:trPr>
        <w:tc>
          <w:tcPr>
            <w:tcW w:w="6840" w:type="dxa"/>
            <w:vAlign w:val="bottom"/>
            <w:tcBorders>
              <w:bottom w:val="single" w:sz="8" w:color="auto"/>
            </w:tcBorders>
          </w:tcPr>
          <w:p>
            <w:pPr>
              <w:spacing w:after="0"/>
              <w:rPr>
                <w:sz w:val="20"/>
                <w:szCs w:val="20"/>
                <w:color w:val="auto"/>
              </w:rPr>
            </w:pPr>
          </w:p>
        </w:tc>
        <w:tc>
          <w:tcPr>
            <w:tcW w:w="2740" w:type="dxa"/>
            <w:vAlign w:val="bottom"/>
            <w:tcBorders>
              <w:bottom w:val="single" w:sz="8" w:color="auto"/>
            </w:tcBorders>
            <w:gridSpan w:val="2"/>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September 30, 2017</w:t>
            </w:r>
          </w:p>
        </w:tc>
        <w:tc>
          <w:tcPr>
            <w:tcW w:w="920" w:type="dxa"/>
            <w:vAlign w:val="bottom"/>
          </w:tcPr>
          <w:p>
            <w:pPr>
              <w:spacing w:after="0"/>
              <w:rPr>
                <w:sz w:val="20"/>
                <w:szCs w:val="20"/>
                <w:color w:val="auto"/>
              </w:rPr>
            </w:pPr>
          </w:p>
        </w:tc>
        <w:tc>
          <w:tcPr>
            <w:tcW w:w="920" w:type="dxa"/>
            <w:vAlign w:val="bottom"/>
          </w:tcPr>
          <w:p>
            <w:pPr>
              <w:spacing w:after="0"/>
              <w:rPr>
                <w:sz w:val="20"/>
                <w:szCs w:val="20"/>
                <w:color w:val="auto"/>
              </w:rPr>
            </w:pPr>
          </w:p>
        </w:tc>
      </w:tr>
      <w:tr>
        <w:trPr>
          <w:trHeight w:val="210"/>
        </w:trPr>
        <w:tc>
          <w:tcPr>
            <w:tcW w:w="6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Reported sales change</w:t>
            </w:r>
          </w:p>
        </w:tc>
        <w:tc>
          <w:tcPr>
            <w:tcW w:w="17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92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216"/>
        </w:trPr>
        <w:tc>
          <w:tcPr>
            <w:tcW w:w="684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Foreign currency translation</w:t>
            </w:r>
          </w:p>
        </w:tc>
        <w:tc>
          <w:tcPr>
            <w:tcW w:w="17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210"/>
        </w:trPr>
        <w:tc>
          <w:tcPr>
            <w:tcW w:w="684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Sales change ex. currency</w:t>
            </w:r>
          </w:p>
        </w:tc>
        <w:tc>
          <w:tcPr>
            <w:tcW w:w="176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92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210"/>
        </w:trPr>
        <w:tc>
          <w:tcPr>
            <w:tcW w:w="684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Acquisitions</w:t>
            </w:r>
          </w:p>
        </w:tc>
        <w:tc>
          <w:tcPr>
            <w:tcW w:w="17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(3)</w:t>
            </w:r>
          </w:p>
        </w:tc>
        <w:tc>
          <w:tcPr>
            <w:tcW w:w="92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217"/>
        </w:trPr>
        <w:tc>
          <w:tcPr>
            <w:tcW w:w="684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Organic sales change</w:t>
            </w:r>
          </w:p>
        </w:tc>
        <w:tc>
          <w:tcPr>
            <w:tcW w:w="176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920" w:type="dxa"/>
            <w:vAlign w:val="bottom"/>
          </w:tcPr>
          <w:p>
            <w:pPr>
              <w:spacing w:after="0"/>
              <w:rPr>
                <w:sz w:val="18"/>
                <w:szCs w:val="18"/>
                <w:color w:val="auto"/>
              </w:rPr>
            </w:pPr>
          </w:p>
        </w:tc>
        <w:tc>
          <w:tcPr>
            <w:tcW w:w="920" w:type="dxa"/>
            <w:vAlign w:val="bottom"/>
          </w:tcPr>
          <w:p>
            <w:pPr>
              <w:spacing w:after="0"/>
              <w:rPr>
                <w:sz w:val="18"/>
                <w:szCs w:val="18"/>
                <w:color w:val="auto"/>
              </w:rPr>
            </w:pPr>
          </w:p>
        </w:tc>
      </w:tr>
    </w:tbl>
    <w:p>
      <w:pPr>
        <w:spacing w:after="0" w:line="198" w:lineRule="exact"/>
        <w:rPr>
          <w:sz w:val="20"/>
          <w:szCs w:val="20"/>
          <w:color w:val="auto"/>
        </w:rPr>
      </w:pPr>
    </w:p>
    <w:p>
      <w:pPr>
        <w:jc w:val="both"/>
        <w:ind w:right="60"/>
        <w:spacing w:after="0" w:line="282" w:lineRule="auto"/>
        <w:rPr>
          <w:sz w:val="20"/>
          <w:szCs w:val="20"/>
          <w:color w:val="auto"/>
        </w:rPr>
      </w:pPr>
      <w:r>
        <w:rPr>
          <w:rFonts w:ascii="Times New Roman" w:cs="Times New Roman" w:eastAsia="Times New Roman" w:hAnsi="Times New Roman"/>
          <w:sz w:val="18"/>
          <w:szCs w:val="18"/>
          <w:color w:val="auto"/>
        </w:rPr>
        <w:t>In the first nine months of 2017, net sales increased on an organic basis primarily due to higher volume. Net sales increased on an organic basis at a high-single digit rate in emerging markets, a mid-single digit rate in Western Europe, and a low-single digit rate in North America.</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Operating Income</w:t>
      </w:r>
    </w:p>
    <w:p>
      <w:pPr>
        <w:spacing w:after="0" w:line="29" w:lineRule="exact"/>
        <w:rPr>
          <w:sz w:val="20"/>
          <w:szCs w:val="20"/>
          <w:color w:val="auto"/>
        </w:rPr>
      </w:pPr>
    </w:p>
    <w:p>
      <w:pPr>
        <w:jc w:val="both"/>
        <w:ind w:right="40"/>
        <w:spacing w:after="0" w:line="255" w:lineRule="auto"/>
        <w:rPr>
          <w:sz w:val="20"/>
          <w:szCs w:val="20"/>
          <w:color w:val="auto"/>
        </w:rPr>
      </w:pPr>
      <w:r>
        <w:rPr>
          <w:rFonts w:ascii="Times New Roman" w:cs="Times New Roman" w:eastAsia="Times New Roman" w:hAnsi="Times New Roman"/>
          <w:sz w:val="18"/>
          <w:szCs w:val="18"/>
          <w:color w:val="auto"/>
        </w:rPr>
        <w:t>Operating income increased in the first nine months of 2017 compared to the same period last year primarily reflecting higher volume/mix and benefits from productivity initiatives, including savings from restructuring, net of transition costs, partially offset by higher employee-related costs and the net impact of pricing and raw material costs.</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280" w:type="dxa"/>
            <w:vAlign w:val="bottom"/>
          </w:tcPr>
          <w:p>
            <w:pPr>
              <w:spacing w:after="0"/>
              <w:rPr>
                <w:sz w:val="20"/>
                <w:szCs w:val="20"/>
                <w:color w:val="auto"/>
              </w:rPr>
            </w:pPr>
          </w:p>
        </w:tc>
        <w:tc>
          <w:tcPr>
            <w:tcW w:w="62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26</w:t>
            </w:r>
          </w:p>
        </w:tc>
      </w:tr>
      <w:tr>
        <w:trPr>
          <w:trHeight w:val="132"/>
        </w:trPr>
        <w:tc>
          <w:tcPr>
            <w:tcW w:w="1280" w:type="dxa"/>
            <w:vAlign w:val="bottom"/>
            <w:tcBorders>
              <w:bottom w:val="single" w:sz="8" w:color="808080"/>
            </w:tcBorders>
          </w:tcPr>
          <w:p>
            <w:pPr>
              <w:spacing w:after="0"/>
              <w:rPr>
                <w:sz w:val="11"/>
                <w:szCs w:val="11"/>
                <w:color w:val="auto"/>
              </w:rPr>
            </w:pPr>
          </w:p>
        </w:tc>
        <w:tc>
          <w:tcPr>
            <w:tcW w:w="6220" w:type="dxa"/>
            <w:vAlign w:val="bottom"/>
            <w:tcBorders>
              <w:bottom w:val="single" w:sz="8" w:color="808080"/>
            </w:tcBorders>
          </w:tcPr>
          <w:p>
            <w:pPr>
              <w:spacing w:after="0"/>
              <w:rPr>
                <w:sz w:val="11"/>
                <w:szCs w:val="11"/>
                <w:color w:val="auto"/>
              </w:rPr>
            </w:pPr>
          </w:p>
        </w:tc>
        <w:tc>
          <w:tcPr>
            <w:tcW w:w="920" w:type="dxa"/>
            <w:vAlign w:val="bottom"/>
            <w:tcBorders>
              <w:bottom w:val="single" w:sz="8" w:color="808080"/>
            </w:tcBorders>
          </w:tcPr>
          <w:p>
            <w:pPr>
              <w:spacing w:after="0"/>
              <w:rPr>
                <w:sz w:val="11"/>
                <w:szCs w:val="11"/>
                <w:color w:val="auto"/>
              </w:rPr>
            </w:pPr>
          </w:p>
        </w:tc>
        <w:tc>
          <w:tcPr>
            <w:tcW w:w="1380" w:type="dxa"/>
            <w:vAlign w:val="bottom"/>
            <w:tcBorders>
              <w:bottom w:val="single" w:sz="8" w:color="808080"/>
            </w:tcBorders>
          </w:tcPr>
          <w:p>
            <w:pPr>
              <w:spacing w:after="0"/>
              <w:rPr>
                <w:sz w:val="11"/>
                <w:szCs w:val="11"/>
                <w:color w:val="auto"/>
              </w:rPr>
            </w:pPr>
          </w:p>
        </w:tc>
        <w:tc>
          <w:tcPr>
            <w:tcW w:w="740" w:type="dxa"/>
            <w:vAlign w:val="bottom"/>
            <w:tcBorders>
              <w:bottom w:val="single" w:sz="8" w:color="808080"/>
            </w:tcBorders>
          </w:tcPr>
          <w:p>
            <w:pPr>
              <w:spacing w:after="0"/>
              <w:rPr>
                <w:sz w:val="11"/>
                <w:szCs w:val="11"/>
                <w:color w:val="auto"/>
              </w:rPr>
            </w:pPr>
          </w:p>
        </w:tc>
        <w:tc>
          <w:tcPr>
            <w:tcW w:w="88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r>
      <w:tr>
        <w:trPr>
          <w:trHeight w:val="523"/>
        </w:trPr>
        <w:tc>
          <w:tcPr>
            <w:tcW w:w="7500" w:type="dxa"/>
            <w:vAlign w:val="bottom"/>
            <w:gridSpan w:val="2"/>
          </w:tcPr>
          <w:p>
            <w:pPr>
              <w:spacing w:after="0"/>
              <w:rPr>
                <w:rFonts w:ascii="Times New Roman" w:cs="Times New Roman" w:eastAsia="Times New Roman" w:hAnsi="Times New Roman"/>
                <w:sz w:val="18"/>
                <w:szCs w:val="18"/>
                <w:color w:val="0000EE"/>
              </w:rPr>
            </w:pPr>
            <w:hyperlink w:anchor="page1">
              <w:r>
                <w:rPr>
                  <w:rFonts w:ascii="Times New Roman" w:cs="Times New Roman" w:eastAsia="Times New Roman" w:hAnsi="Times New Roman"/>
                  <w:sz w:val="18"/>
                  <w:szCs w:val="18"/>
                  <w:color w:val="0000EE"/>
                </w:rPr>
                <w:t>Table of Contents</w:t>
              </w:r>
            </w:hyperlink>
          </w:p>
        </w:tc>
        <w:tc>
          <w:tcPr>
            <w:tcW w:w="9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453"/>
        </w:trPr>
        <w:tc>
          <w:tcPr>
            <w:tcW w:w="1280" w:type="dxa"/>
            <w:vAlign w:val="bottom"/>
            <w:tcBorders>
              <w:top w:val="single" w:sz="8" w:color="0000EE"/>
            </w:tcBorders>
          </w:tcPr>
          <w:p>
            <w:pPr>
              <w:spacing w:after="0"/>
              <w:rPr>
                <w:sz w:val="24"/>
                <w:szCs w:val="24"/>
                <w:color w:val="auto"/>
              </w:rPr>
            </w:pPr>
          </w:p>
        </w:tc>
        <w:tc>
          <w:tcPr>
            <w:tcW w:w="6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040" w:type="dxa"/>
            <w:vAlign w:val="bottom"/>
            <w:gridSpan w:val="4"/>
          </w:tcPr>
          <w:p>
            <w:pPr>
              <w:jc w:val="right"/>
              <w:ind w:right="40"/>
              <w:spacing w:after="0"/>
              <w:rPr>
                <w:sz w:val="20"/>
                <w:szCs w:val="20"/>
                <w:color w:val="auto"/>
              </w:rPr>
            </w:pPr>
            <w:r>
              <w:rPr>
                <w:rFonts w:ascii="Times New Roman" w:cs="Times New Roman" w:eastAsia="Times New Roman" w:hAnsi="Times New Roman"/>
                <w:sz w:val="18"/>
                <w:szCs w:val="18"/>
                <w:color w:val="auto"/>
              </w:rPr>
              <w:t>Avery Dennison Corporation</w:t>
            </w:r>
          </w:p>
        </w:tc>
      </w:tr>
      <w:tr>
        <w:trPr>
          <w:trHeight w:val="432"/>
        </w:trPr>
        <w:tc>
          <w:tcPr>
            <w:tcW w:w="75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i w:val="1"/>
                <w:iCs w:val="1"/>
                <w:color w:val="auto"/>
              </w:rPr>
              <w:t>Retail Branding and Information Solutions</w:t>
            </w:r>
          </w:p>
        </w:tc>
        <w:tc>
          <w:tcPr>
            <w:tcW w:w="9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432"/>
        </w:trPr>
        <w:tc>
          <w:tcPr>
            <w:tcW w:w="1280" w:type="dxa"/>
            <w:vAlign w:val="bottom"/>
          </w:tcPr>
          <w:p>
            <w:pPr>
              <w:spacing w:after="0"/>
              <w:rPr>
                <w:sz w:val="24"/>
                <w:szCs w:val="24"/>
                <w:color w:val="auto"/>
              </w:rPr>
            </w:pPr>
          </w:p>
        </w:tc>
        <w:tc>
          <w:tcPr>
            <w:tcW w:w="6220" w:type="dxa"/>
            <w:vAlign w:val="bottom"/>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2120" w:type="dxa"/>
            <w:vAlign w:val="bottom"/>
            <w:tcBorders>
              <w:bottom w:val="single" w:sz="8" w:color="auto"/>
            </w:tcBorders>
            <w:gridSpan w:val="2"/>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Nine Months Ended</w:t>
            </w:r>
          </w:p>
        </w:tc>
        <w:tc>
          <w:tcPr>
            <w:tcW w:w="880" w:type="dxa"/>
            <w:vAlign w:val="bottom"/>
            <w:tcBorders>
              <w:bottom w:val="single" w:sz="8" w:color="auto"/>
            </w:tcBorders>
          </w:tcPr>
          <w:p>
            <w:pPr>
              <w:spacing w:after="0"/>
              <w:rPr>
                <w:sz w:val="24"/>
                <w:szCs w:val="24"/>
                <w:color w:val="auto"/>
              </w:rPr>
            </w:pPr>
          </w:p>
        </w:tc>
        <w:tc>
          <w:tcPr>
            <w:tcW w:w="40" w:type="dxa"/>
            <w:vAlign w:val="bottom"/>
          </w:tcPr>
          <w:p>
            <w:pPr>
              <w:spacing w:after="0"/>
              <w:rPr>
                <w:sz w:val="24"/>
                <w:szCs w:val="24"/>
                <w:color w:val="auto"/>
              </w:rPr>
            </w:pPr>
          </w:p>
        </w:tc>
      </w:tr>
      <w:tr>
        <w:trPr>
          <w:trHeight w:val="210"/>
        </w:trPr>
        <w:tc>
          <w:tcPr>
            <w:tcW w:w="750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4"/>
                <w:szCs w:val="14"/>
                <w:color w:val="auto"/>
              </w:rPr>
              <w:t>(In millions)</w:t>
            </w:r>
          </w:p>
        </w:tc>
        <w:tc>
          <w:tcPr>
            <w:tcW w:w="2300" w:type="dxa"/>
            <w:vAlign w:val="bottom"/>
            <w:tcBorders>
              <w:bottom w:val="single" w:sz="8" w:color="auto"/>
            </w:tcBorders>
            <w:gridSpan w:val="2"/>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September 30, 2017</w:t>
            </w:r>
          </w:p>
        </w:tc>
        <w:tc>
          <w:tcPr>
            <w:tcW w:w="1620" w:type="dxa"/>
            <w:vAlign w:val="bottom"/>
            <w:tcBorders>
              <w:bottom w:val="single" w:sz="8" w:color="auto"/>
            </w:tcBorders>
            <w:gridSpan w:val="2"/>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October 1, 2016</w:t>
            </w:r>
          </w:p>
        </w:tc>
        <w:tc>
          <w:tcPr>
            <w:tcW w:w="40" w:type="dxa"/>
            <w:vAlign w:val="bottom"/>
          </w:tcPr>
          <w:p>
            <w:pPr>
              <w:spacing w:after="0"/>
              <w:rPr>
                <w:sz w:val="18"/>
                <w:szCs w:val="18"/>
                <w:color w:val="auto"/>
              </w:rPr>
            </w:pPr>
          </w:p>
        </w:tc>
      </w:tr>
      <w:tr>
        <w:trPr>
          <w:trHeight w:val="210"/>
        </w:trPr>
        <w:tc>
          <w:tcPr>
            <w:tcW w:w="75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sales including intersegment sales</w:t>
            </w:r>
          </w:p>
        </w:tc>
        <w:tc>
          <w:tcPr>
            <w:tcW w:w="9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1,118.0</w:t>
            </w:r>
          </w:p>
        </w:tc>
        <w:tc>
          <w:tcPr>
            <w:tcW w:w="7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1,071.8</w:t>
            </w:r>
          </w:p>
        </w:tc>
        <w:tc>
          <w:tcPr>
            <w:tcW w:w="40" w:type="dxa"/>
            <w:vAlign w:val="bottom"/>
          </w:tcPr>
          <w:p>
            <w:pPr>
              <w:spacing w:after="0"/>
              <w:rPr>
                <w:sz w:val="18"/>
                <w:szCs w:val="18"/>
                <w:color w:val="auto"/>
              </w:rPr>
            </w:pPr>
          </w:p>
        </w:tc>
      </w:tr>
      <w:tr>
        <w:trPr>
          <w:trHeight w:val="216"/>
        </w:trPr>
        <w:tc>
          <w:tcPr>
            <w:tcW w:w="750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Less intersegment sales</w:t>
            </w:r>
          </w:p>
        </w:tc>
        <w:tc>
          <w:tcPr>
            <w:tcW w:w="92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rPr>
              <w:t>(2.3)</w:t>
            </w:r>
          </w:p>
        </w:tc>
        <w:tc>
          <w:tcPr>
            <w:tcW w:w="7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40" w:type="dxa"/>
            <w:vAlign w:val="bottom"/>
          </w:tcPr>
          <w:p>
            <w:pPr>
              <w:spacing w:after="0"/>
              <w:rPr>
                <w:sz w:val="18"/>
                <w:szCs w:val="18"/>
                <w:color w:val="auto"/>
              </w:rPr>
            </w:pPr>
          </w:p>
        </w:tc>
      </w:tr>
      <w:tr>
        <w:trPr>
          <w:trHeight w:val="210"/>
        </w:trPr>
        <w:tc>
          <w:tcPr>
            <w:tcW w:w="75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sales</w:t>
            </w:r>
          </w:p>
        </w:tc>
        <w:tc>
          <w:tcPr>
            <w:tcW w:w="9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1,115.7</w:t>
            </w:r>
          </w:p>
        </w:tc>
        <w:tc>
          <w:tcPr>
            <w:tcW w:w="7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1,069.5</w:t>
            </w:r>
          </w:p>
        </w:tc>
        <w:tc>
          <w:tcPr>
            <w:tcW w:w="40" w:type="dxa"/>
            <w:vAlign w:val="bottom"/>
          </w:tcPr>
          <w:p>
            <w:pPr>
              <w:spacing w:after="0"/>
              <w:rPr>
                <w:sz w:val="18"/>
                <w:szCs w:val="18"/>
                <w:color w:val="auto"/>
              </w:rPr>
            </w:pPr>
          </w:p>
        </w:tc>
      </w:tr>
      <w:tr>
        <w:trPr>
          <w:trHeight w:val="223"/>
        </w:trPr>
        <w:tc>
          <w:tcPr>
            <w:tcW w:w="7500" w:type="dxa"/>
            <w:vAlign w:val="bottom"/>
            <w:tcBorders>
              <w:bottom w:val="single" w:sz="8" w:color="auto"/>
            </w:tcBorders>
            <w:gridSpan w:val="2"/>
          </w:tcPr>
          <w:p>
            <w:pPr>
              <w:spacing w:after="0" w:line="216" w:lineRule="exact"/>
              <w:rPr>
                <w:sz w:val="20"/>
                <w:szCs w:val="20"/>
                <w:color w:val="auto"/>
              </w:rPr>
            </w:pPr>
            <w:r>
              <w:rPr>
                <w:rFonts w:ascii="Times New Roman" w:cs="Times New Roman" w:eastAsia="Times New Roman" w:hAnsi="Times New Roman"/>
                <w:sz w:val="18"/>
                <w:szCs w:val="18"/>
                <w:color w:val="auto"/>
              </w:rPr>
              <w:t>Operating income</w:t>
            </w:r>
            <w:r>
              <w:rPr>
                <w:rFonts w:ascii="Times New Roman" w:cs="Times New Roman" w:eastAsia="Times New Roman" w:hAnsi="Times New Roman"/>
                <w:sz w:val="23"/>
                <w:szCs w:val="23"/>
                <w:color w:val="auto"/>
                <w:vertAlign w:val="superscript"/>
              </w:rPr>
              <w:t>(1)</w:t>
            </w:r>
          </w:p>
        </w:tc>
        <w:tc>
          <w:tcPr>
            <w:tcW w:w="92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80.1</w:t>
            </w:r>
          </w:p>
        </w:tc>
        <w:tc>
          <w:tcPr>
            <w:tcW w:w="7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67.8</w:t>
            </w:r>
          </w:p>
        </w:tc>
        <w:tc>
          <w:tcPr>
            <w:tcW w:w="40" w:type="dxa"/>
            <w:vAlign w:val="bottom"/>
          </w:tcPr>
          <w:p>
            <w:pPr>
              <w:spacing w:after="0"/>
              <w:rPr>
                <w:sz w:val="19"/>
                <w:szCs w:val="19"/>
                <w:color w:val="auto"/>
              </w:rPr>
            </w:pPr>
          </w:p>
        </w:tc>
      </w:tr>
      <w:tr>
        <w:trPr>
          <w:trHeight w:val="216"/>
        </w:trPr>
        <w:tc>
          <w:tcPr>
            <w:tcW w:w="1280" w:type="dxa"/>
            <w:vAlign w:val="bottom"/>
            <w:shd w:val="clear" w:color="auto" w:fill="CCEEFF"/>
          </w:tcPr>
          <w:p>
            <w:pPr>
              <w:spacing w:after="0"/>
              <w:rPr>
                <w:sz w:val="18"/>
                <w:szCs w:val="18"/>
                <w:color w:val="auto"/>
              </w:rPr>
            </w:pPr>
          </w:p>
        </w:tc>
        <w:tc>
          <w:tcPr>
            <w:tcW w:w="6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-2077085</wp:posOffset>
            </wp:positionV>
            <wp:extent cx="12700" cy="298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-2077085</wp:posOffset>
            </wp:positionV>
            <wp:extent cx="12700" cy="298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ind w:left="180" w:hanging="172"/>
        <w:spacing w:after="0" w:line="204" w:lineRule="auto"/>
        <w:tabs>
          <w:tab w:leader="none" w:pos="180" w:val="left"/>
        </w:tabs>
        <w:numPr>
          <w:ilvl w:val="0"/>
          <w:numId w:val="11"/>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Included costs associated with restructuring and transaction costs in both years, and loss on sale</w:t>
      </w:r>
    </w:p>
    <w:p>
      <w:pPr>
        <w:spacing w:after="0" w:line="3"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656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of an asset in 2016.</w:t>
            </w:r>
          </w:p>
        </w:tc>
        <w:tc>
          <w:tcPr>
            <w:tcW w:w="212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14.0</w:t>
            </w:r>
          </w:p>
        </w:tc>
        <w:tc>
          <w:tcPr>
            <w:tcW w:w="112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7.1</w:t>
            </w:r>
          </w:p>
        </w:tc>
      </w:tr>
      <w:tr>
        <w:trPr>
          <w:trHeight w:val="414"/>
        </w:trPr>
        <w:tc>
          <w:tcPr>
            <w:tcW w:w="656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Net Sales</w:t>
            </w:r>
          </w:p>
        </w:tc>
        <w:tc>
          <w:tcPr>
            <w:tcW w:w="2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720" w:type="dxa"/>
            <w:vAlign w:val="bottom"/>
          </w:tcPr>
          <w:p>
            <w:pPr>
              <w:spacing w:after="0"/>
              <w:rPr>
                <w:sz w:val="24"/>
                <w:szCs w:val="24"/>
                <w:color w:val="auto"/>
              </w:rPr>
            </w:pPr>
          </w:p>
        </w:tc>
      </w:tr>
      <w:tr>
        <w:trPr>
          <w:trHeight w:val="234"/>
        </w:trPr>
        <w:tc>
          <w:tcPr>
            <w:tcW w:w="6560" w:type="dxa"/>
            <w:vAlign w:val="bottom"/>
          </w:tcPr>
          <w:p>
            <w:pPr>
              <w:spacing w:after="0"/>
              <w:rPr>
                <w:sz w:val="20"/>
                <w:szCs w:val="20"/>
                <w:color w:val="auto"/>
              </w:rPr>
            </w:pPr>
            <w:r>
              <w:rPr>
                <w:rFonts w:ascii="Times New Roman" w:cs="Times New Roman" w:eastAsia="Times New Roman" w:hAnsi="Times New Roman"/>
                <w:sz w:val="18"/>
                <w:szCs w:val="18"/>
                <w:color w:val="auto"/>
              </w:rPr>
              <w:t>The factors impacting reported sales change are shown in the table below:</w:t>
            </w:r>
          </w:p>
        </w:tc>
        <w:tc>
          <w:tcPr>
            <w:tcW w:w="21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720" w:type="dxa"/>
            <w:vAlign w:val="bottom"/>
          </w:tcPr>
          <w:p>
            <w:pPr>
              <w:spacing w:after="0"/>
              <w:rPr>
                <w:sz w:val="20"/>
                <w:szCs w:val="20"/>
                <w:color w:val="auto"/>
              </w:rPr>
            </w:pPr>
          </w:p>
        </w:tc>
      </w:tr>
      <w:tr>
        <w:trPr>
          <w:trHeight w:val="410"/>
        </w:trPr>
        <w:tc>
          <w:tcPr>
            <w:tcW w:w="6560" w:type="dxa"/>
            <w:vAlign w:val="bottom"/>
          </w:tcPr>
          <w:p>
            <w:pPr>
              <w:spacing w:after="0"/>
              <w:rPr>
                <w:sz w:val="24"/>
                <w:szCs w:val="24"/>
                <w:color w:val="auto"/>
              </w:rPr>
            </w:pPr>
          </w:p>
        </w:tc>
        <w:tc>
          <w:tcPr>
            <w:tcW w:w="3020" w:type="dxa"/>
            <w:vAlign w:val="bottom"/>
            <w:gridSpan w:val="2"/>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Nine Months Ended</w:t>
            </w:r>
          </w:p>
        </w:tc>
        <w:tc>
          <w:tcPr>
            <w:tcW w:w="1120" w:type="dxa"/>
            <w:vAlign w:val="bottom"/>
          </w:tcPr>
          <w:p>
            <w:pPr>
              <w:spacing w:after="0"/>
              <w:rPr>
                <w:sz w:val="24"/>
                <w:szCs w:val="24"/>
                <w:color w:val="auto"/>
              </w:rPr>
            </w:pPr>
          </w:p>
        </w:tc>
        <w:tc>
          <w:tcPr>
            <w:tcW w:w="720" w:type="dxa"/>
            <w:vAlign w:val="bottom"/>
          </w:tcPr>
          <w:p>
            <w:pPr>
              <w:spacing w:after="0"/>
              <w:rPr>
                <w:sz w:val="24"/>
                <w:szCs w:val="24"/>
                <w:color w:val="auto"/>
              </w:rPr>
            </w:pPr>
          </w:p>
        </w:tc>
      </w:tr>
      <w:tr>
        <w:trPr>
          <w:trHeight w:val="238"/>
        </w:trPr>
        <w:tc>
          <w:tcPr>
            <w:tcW w:w="6560" w:type="dxa"/>
            <w:vAlign w:val="bottom"/>
            <w:tcBorders>
              <w:bottom w:val="single" w:sz="8" w:color="auto"/>
            </w:tcBorders>
          </w:tcPr>
          <w:p>
            <w:pPr>
              <w:spacing w:after="0"/>
              <w:rPr>
                <w:sz w:val="20"/>
                <w:szCs w:val="20"/>
                <w:color w:val="auto"/>
              </w:rPr>
            </w:pPr>
          </w:p>
        </w:tc>
        <w:tc>
          <w:tcPr>
            <w:tcW w:w="3020" w:type="dxa"/>
            <w:vAlign w:val="bottom"/>
            <w:tcBorders>
              <w:bottom w:val="single" w:sz="8" w:color="auto"/>
            </w:tcBorders>
            <w:gridSpan w:val="2"/>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September 30, 2017</w:t>
            </w:r>
          </w:p>
        </w:tc>
        <w:tc>
          <w:tcPr>
            <w:tcW w:w="1120" w:type="dxa"/>
            <w:vAlign w:val="bottom"/>
          </w:tcPr>
          <w:p>
            <w:pPr>
              <w:spacing w:after="0"/>
              <w:rPr>
                <w:sz w:val="20"/>
                <w:szCs w:val="20"/>
                <w:color w:val="auto"/>
              </w:rPr>
            </w:pPr>
          </w:p>
        </w:tc>
        <w:tc>
          <w:tcPr>
            <w:tcW w:w="720" w:type="dxa"/>
            <w:vAlign w:val="bottom"/>
          </w:tcPr>
          <w:p>
            <w:pPr>
              <w:spacing w:after="0"/>
              <w:rPr>
                <w:sz w:val="20"/>
                <w:szCs w:val="20"/>
                <w:color w:val="auto"/>
              </w:rPr>
            </w:pPr>
          </w:p>
        </w:tc>
      </w:tr>
      <w:tr>
        <w:trPr>
          <w:trHeight w:val="210"/>
        </w:trPr>
        <w:tc>
          <w:tcPr>
            <w:tcW w:w="6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Reported sales change</w:t>
            </w:r>
          </w:p>
        </w:tc>
        <w:tc>
          <w:tcPr>
            <w:tcW w:w="2120" w:type="dxa"/>
            <w:vAlign w:val="bottom"/>
            <w:shd w:val="clear" w:color="auto" w:fill="CCEEFF"/>
          </w:tcPr>
          <w:p>
            <w:pPr>
              <w:spacing w:after="0"/>
              <w:rPr>
                <w:sz w:val="18"/>
                <w:szCs w:val="18"/>
                <w:color w:val="auto"/>
              </w:rPr>
            </w:pPr>
          </w:p>
        </w:tc>
        <w:tc>
          <w:tcPr>
            <w:tcW w:w="90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4%</w:t>
            </w:r>
          </w:p>
        </w:tc>
        <w:tc>
          <w:tcPr>
            <w:tcW w:w="1120" w:type="dxa"/>
            <w:vAlign w:val="bottom"/>
          </w:tcPr>
          <w:p>
            <w:pPr>
              <w:spacing w:after="0"/>
              <w:rPr>
                <w:sz w:val="18"/>
                <w:szCs w:val="18"/>
                <w:color w:val="auto"/>
              </w:rPr>
            </w:pPr>
          </w:p>
        </w:tc>
        <w:tc>
          <w:tcPr>
            <w:tcW w:w="720" w:type="dxa"/>
            <w:vAlign w:val="bottom"/>
          </w:tcPr>
          <w:p>
            <w:pPr>
              <w:spacing w:after="0"/>
              <w:rPr>
                <w:sz w:val="18"/>
                <w:szCs w:val="18"/>
                <w:color w:val="auto"/>
              </w:rPr>
            </w:pPr>
          </w:p>
        </w:tc>
      </w:tr>
      <w:tr>
        <w:trPr>
          <w:trHeight w:val="216"/>
        </w:trPr>
        <w:tc>
          <w:tcPr>
            <w:tcW w:w="656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Foreign currency translation</w:t>
            </w:r>
          </w:p>
        </w:tc>
        <w:tc>
          <w:tcPr>
            <w:tcW w:w="21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ind w:left="560"/>
              <w:spacing w:after="0"/>
              <w:rPr>
                <w:sz w:val="20"/>
                <w:szCs w:val="20"/>
                <w:color w:val="auto"/>
              </w:rPr>
            </w:pPr>
            <w:r>
              <w:rPr>
                <w:rFonts w:ascii="Times New Roman" w:cs="Times New Roman" w:eastAsia="Times New Roman" w:hAnsi="Times New Roman"/>
                <w:sz w:val="18"/>
                <w:szCs w:val="18"/>
                <w:color w:val="auto"/>
              </w:rPr>
              <w:t>1</w:t>
            </w:r>
          </w:p>
        </w:tc>
        <w:tc>
          <w:tcPr>
            <w:tcW w:w="1120" w:type="dxa"/>
            <w:vAlign w:val="bottom"/>
          </w:tcPr>
          <w:p>
            <w:pPr>
              <w:spacing w:after="0"/>
              <w:rPr>
                <w:sz w:val="18"/>
                <w:szCs w:val="18"/>
                <w:color w:val="auto"/>
              </w:rPr>
            </w:pPr>
          </w:p>
        </w:tc>
        <w:tc>
          <w:tcPr>
            <w:tcW w:w="720" w:type="dxa"/>
            <w:vAlign w:val="bottom"/>
          </w:tcPr>
          <w:p>
            <w:pPr>
              <w:spacing w:after="0"/>
              <w:rPr>
                <w:sz w:val="18"/>
                <w:szCs w:val="18"/>
                <w:color w:val="auto"/>
              </w:rPr>
            </w:pPr>
          </w:p>
        </w:tc>
      </w:tr>
      <w:tr>
        <w:trPr>
          <w:trHeight w:val="210"/>
        </w:trPr>
        <w:tc>
          <w:tcPr>
            <w:tcW w:w="656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Sales change ex. currency</w:t>
            </w:r>
          </w:p>
        </w:tc>
        <w:tc>
          <w:tcPr>
            <w:tcW w:w="212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5%</w:t>
            </w:r>
          </w:p>
        </w:tc>
        <w:tc>
          <w:tcPr>
            <w:tcW w:w="1120" w:type="dxa"/>
            <w:vAlign w:val="bottom"/>
          </w:tcPr>
          <w:p>
            <w:pPr>
              <w:spacing w:after="0"/>
              <w:rPr>
                <w:sz w:val="18"/>
                <w:szCs w:val="18"/>
                <w:color w:val="auto"/>
              </w:rPr>
            </w:pPr>
          </w:p>
        </w:tc>
        <w:tc>
          <w:tcPr>
            <w:tcW w:w="720" w:type="dxa"/>
            <w:vAlign w:val="bottom"/>
          </w:tcPr>
          <w:p>
            <w:pPr>
              <w:spacing w:after="0"/>
              <w:rPr>
                <w:sz w:val="18"/>
                <w:szCs w:val="18"/>
                <w:color w:val="auto"/>
              </w:rPr>
            </w:pPr>
          </w:p>
        </w:tc>
      </w:tr>
      <w:tr>
        <w:trPr>
          <w:trHeight w:val="217"/>
        </w:trPr>
        <w:tc>
          <w:tcPr>
            <w:tcW w:w="65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Organic sales change</w:t>
            </w:r>
          </w:p>
        </w:tc>
        <w:tc>
          <w:tcPr>
            <w:tcW w:w="21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ind w:left="560"/>
              <w:spacing w:after="0"/>
              <w:rPr>
                <w:sz w:val="20"/>
                <w:szCs w:val="20"/>
                <w:color w:val="auto"/>
              </w:rPr>
            </w:pPr>
            <w:r>
              <w:rPr>
                <w:rFonts w:ascii="Times New Roman" w:cs="Times New Roman" w:eastAsia="Times New Roman" w:hAnsi="Times New Roman"/>
                <w:sz w:val="18"/>
                <w:szCs w:val="18"/>
                <w:color w:val="auto"/>
              </w:rPr>
              <w:t>5%</w:t>
            </w:r>
          </w:p>
        </w:tc>
        <w:tc>
          <w:tcPr>
            <w:tcW w:w="1120" w:type="dxa"/>
            <w:vAlign w:val="bottom"/>
          </w:tcPr>
          <w:p>
            <w:pPr>
              <w:spacing w:after="0"/>
              <w:rPr>
                <w:sz w:val="18"/>
                <w:szCs w:val="18"/>
                <w:color w:val="auto"/>
              </w:rPr>
            </w:pPr>
          </w:p>
        </w:tc>
        <w:tc>
          <w:tcPr>
            <w:tcW w:w="720" w:type="dxa"/>
            <w:vAlign w:val="bottom"/>
          </w:tcPr>
          <w:p>
            <w:pPr>
              <w:spacing w:after="0"/>
              <w:rPr>
                <w:sz w:val="18"/>
                <w:szCs w:val="18"/>
                <w:color w:val="auto"/>
              </w:rPr>
            </w:pPr>
          </w:p>
        </w:tc>
      </w:tr>
    </w:tbl>
    <w:p>
      <w:pPr>
        <w:spacing w:after="0" w:line="198" w:lineRule="exact"/>
        <w:rPr>
          <w:sz w:val="20"/>
          <w:szCs w:val="20"/>
          <w:color w:val="auto"/>
        </w:rPr>
      </w:pPr>
    </w:p>
    <w:p>
      <w:pPr>
        <w:jc w:val="both"/>
        <w:ind w:right="40"/>
        <w:spacing w:after="0" w:line="282" w:lineRule="auto"/>
        <w:rPr>
          <w:sz w:val="20"/>
          <w:szCs w:val="20"/>
          <w:color w:val="auto"/>
        </w:rPr>
      </w:pPr>
      <w:r>
        <w:rPr>
          <w:rFonts w:ascii="Times New Roman" w:cs="Times New Roman" w:eastAsia="Times New Roman" w:hAnsi="Times New Roman"/>
          <w:sz w:val="18"/>
          <w:szCs w:val="18"/>
          <w:color w:val="auto"/>
        </w:rPr>
        <w:t>In the first nine months of 2017, net sales increased on an organic basis due to higher volume reflecting growth in both radio-frequency identification products and base apparel tickets and tags.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Operating Income</w:t>
      </w:r>
    </w:p>
    <w:p>
      <w:pPr>
        <w:spacing w:after="0" w:line="29" w:lineRule="exact"/>
        <w:rPr>
          <w:sz w:val="20"/>
          <w:szCs w:val="20"/>
          <w:color w:val="auto"/>
        </w:rPr>
      </w:pPr>
    </w:p>
    <w:p>
      <w:pPr>
        <w:jc w:val="both"/>
        <w:ind w:right="40"/>
        <w:spacing w:after="0" w:line="255" w:lineRule="auto"/>
        <w:rPr>
          <w:sz w:val="20"/>
          <w:szCs w:val="20"/>
          <w:color w:val="auto"/>
        </w:rPr>
      </w:pPr>
      <w:r>
        <w:rPr>
          <w:rFonts w:ascii="Times New Roman" w:cs="Times New Roman" w:eastAsia="Times New Roman" w:hAnsi="Times New Roman"/>
          <w:sz w:val="18"/>
          <w:szCs w:val="18"/>
          <w:color w:val="auto"/>
        </w:rPr>
        <w:t>Operating income increased in the first nine months of 2017 compared to the same period last year reflecting higher volume and benefits from productivity initiatives, including savings from restructuring actions, net of transition costs, partially offset by higher employee-related costs and higher restructuring charges.</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50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Industrial and Healthcare Materials</w:t>
            </w:r>
          </w:p>
        </w:tc>
        <w:tc>
          <w:tcPr>
            <w:tcW w:w="92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820" w:type="dxa"/>
            <w:vAlign w:val="bottom"/>
          </w:tcPr>
          <w:p>
            <w:pPr>
              <w:spacing w:after="0"/>
              <w:rPr>
                <w:sz w:val="20"/>
                <w:szCs w:val="20"/>
                <w:color w:val="auto"/>
              </w:rPr>
            </w:pPr>
          </w:p>
        </w:tc>
      </w:tr>
      <w:tr>
        <w:trPr>
          <w:trHeight w:val="432"/>
        </w:trPr>
        <w:tc>
          <w:tcPr>
            <w:tcW w:w="7500" w:type="dxa"/>
            <w:vAlign w:val="bottom"/>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2180" w:type="dxa"/>
            <w:vAlign w:val="bottom"/>
            <w:tcBorders>
              <w:bottom w:val="single" w:sz="8" w:color="auto"/>
            </w:tcBorders>
            <w:gridSpan w:val="2"/>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Nine Months Ended</w:t>
            </w:r>
          </w:p>
        </w:tc>
        <w:tc>
          <w:tcPr>
            <w:tcW w:w="820" w:type="dxa"/>
            <w:vAlign w:val="bottom"/>
            <w:tcBorders>
              <w:bottom w:val="single" w:sz="8" w:color="auto"/>
            </w:tcBorders>
          </w:tcPr>
          <w:p>
            <w:pPr>
              <w:spacing w:after="0"/>
              <w:rPr>
                <w:sz w:val="24"/>
                <w:szCs w:val="24"/>
                <w:color w:val="auto"/>
              </w:rPr>
            </w:pPr>
          </w:p>
        </w:tc>
      </w:tr>
      <w:tr>
        <w:trPr>
          <w:trHeight w:val="210"/>
        </w:trPr>
        <w:tc>
          <w:tcPr>
            <w:tcW w:w="75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(In millions)</w:t>
            </w:r>
          </w:p>
        </w:tc>
        <w:tc>
          <w:tcPr>
            <w:tcW w:w="2300" w:type="dxa"/>
            <w:vAlign w:val="bottom"/>
            <w:tcBorders>
              <w:bottom w:val="single" w:sz="8" w:color="auto"/>
            </w:tcBorders>
            <w:gridSpan w:val="2"/>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September 30, 2017</w:t>
            </w:r>
          </w:p>
        </w:tc>
        <w:tc>
          <w:tcPr>
            <w:tcW w:w="1620" w:type="dxa"/>
            <w:vAlign w:val="bottom"/>
            <w:tcBorders>
              <w:bottom w:val="single" w:sz="8" w:color="auto"/>
            </w:tcBorders>
            <w:gridSpan w:val="2"/>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October 1, 2016</w:t>
            </w:r>
          </w:p>
        </w:tc>
      </w:tr>
      <w:tr>
        <w:trPr>
          <w:trHeight w:val="210"/>
        </w:trPr>
        <w:tc>
          <w:tcPr>
            <w:tcW w:w="7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sales including intersegment sales</w:t>
            </w:r>
          </w:p>
        </w:tc>
        <w:tc>
          <w:tcPr>
            <w:tcW w:w="9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418.1</w:t>
            </w:r>
          </w:p>
        </w:tc>
        <w:tc>
          <w:tcPr>
            <w:tcW w:w="80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348.7</w:t>
            </w:r>
          </w:p>
        </w:tc>
      </w:tr>
      <w:tr>
        <w:trPr>
          <w:trHeight w:val="216"/>
        </w:trPr>
        <w:tc>
          <w:tcPr>
            <w:tcW w:w="75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Less intersegment sales</w:t>
            </w:r>
          </w:p>
        </w:tc>
        <w:tc>
          <w:tcPr>
            <w:tcW w:w="92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rPr>
              <w:t>(5.3)</w:t>
            </w:r>
          </w:p>
        </w:tc>
        <w:tc>
          <w:tcPr>
            <w:tcW w:w="8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w:t>
            </w:r>
          </w:p>
        </w:tc>
      </w:tr>
      <w:tr>
        <w:trPr>
          <w:trHeight w:val="210"/>
        </w:trPr>
        <w:tc>
          <w:tcPr>
            <w:tcW w:w="7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sales</w:t>
            </w:r>
          </w:p>
        </w:tc>
        <w:tc>
          <w:tcPr>
            <w:tcW w:w="9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412.8</w:t>
            </w:r>
          </w:p>
        </w:tc>
        <w:tc>
          <w:tcPr>
            <w:tcW w:w="80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342.7</w:t>
            </w:r>
          </w:p>
        </w:tc>
      </w:tr>
      <w:tr>
        <w:trPr>
          <w:trHeight w:val="223"/>
        </w:trPr>
        <w:tc>
          <w:tcPr>
            <w:tcW w:w="7500" w:type="dxa"/>
            <w:vAlign w:val="bottom"/>
            <w:tcBorders>
              <w:bottom w:val="single" w:sz="8" w:color="auto"/>
            </w:tcBorders>
          </w:tcPr>
          <w:p>
            <w:pPr>
              <w:spacing w:after="0" w:line="216" w:lineRule="exact"/>
              <w:rPr>
                <w:sz w:val="20"/>
                <w:szCs w:val="20"/>
                <w:color w:val="auto"/>
              </w:rPr>
            </w:pPr>
            <w:r>
              <w:rPr>
                <w:rFonts w:ascii="Times New Roman" w:cs="Times New Roman" w:eastAsia="Times New Roman" w:hAnsi="Times New Roman"/>
                <w:sz w:val="18"/>
                <w:szCs w:val="18"/>
                <w:color w:val="auto"/>
              </w:rPr>
              <w:t>Operating income</w:t>
            </w:r>
            <w:r>
              <w:rPr>
                <w:rFonts w:ascii="Times New Roman" w:cs="Times New Roman" w:eastAsia="Times New Roman" w:hAnsi="Times New Roman"/>
                <w:sz w:val="23"/>
                <w:szCs w:val="23"/>
                <w:color w:val="auto"/>
                <w:vertAlign w:val="superscript"/>
              </w:rPr>
              <w:t>(1)</w:t>
            </w:r>
          </w:p>
        </w:tc>
        <w:tc>
          <w:tcPr>
            <w:tcW w:w="92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37.6</w:t>
            </w:r>
          </w:p>
        </w:tc>
        <w:tc>
          <w:tcPr>
            <w:tcW w:w="8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44.8</w:t>
            </w:r>
          </w:p>
        </w:tc>
      </w:tr>
      <w:tr>
        <w:trPr>
          <w:trHeight w:val="223"/>
        </w:trPr>
        <w:tc>
          <w:tcPr>
            <w:tcW w:w="7500" w:type="dxa"/>
            <w:vAlign w:val="bottom"/>
            <w:tcBorders>
              <w:bottom w:val="single" w:sz="8" w:color="auto"/>
            </w:tcBorders>
            <w:shd w:val="clear" w:color="auto" w:fill="CCEEFF"/>
          </w:tcPr>
          <w:p>
            <w:pPr>
              <w:spacing w:after="0" w:line="216" w:lineRule="exact"/>
              <w:rPr>
                <w:sz w:val="20"/>
                <w:szCs w:val="20"/>
                <w:color w:val="auto"/>
              </w:rPr>
            </w:pPr>
            <w:r>
              <w:rPr>
                <w:rFonts w:ascii="Times New Roman" w:cs="Times New Roman" w:eastAsia="Times New Roman" w:hAnsi="Times New Roman"/>
                <w:sz w:val="23"/>
                <w:szCs w:val="23"/>
                <w:color w:val="auto"/>
                <w:vertAlign w:val="superscript"/>
              </w:rPr>
              <w:t>(1)</w:t>
            </w:r>
            <w:r>
              <w:rPr>
                <w:rFonts w:ascii="Times New Roman" w:cs="Times New Roman" w:eastAsia="Times New Roman" w:hAnsi="Times New Roman"/>
                <w:sz w:val="18"/>
                <w:szCs w:val="18"/>
                <w:color w:val="auto"/>
              </w:rPr>
              <w:t xml:space="preserve"> Included costs associated with restructuring in both years and transaction costs in 2017.</w:t>
            </w:r>
          </w:p>
        </w:tc>
        <w:tc>
          <w:tcPr>
            <w:tcW w:w="9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bottom w:val="single" w:sz="8" w:color="auto"/>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3.1</w:t>
            </w:r>
          </w:p>
        </w:tc>
        <w:tc>
          <w:tcPr>
            <w:tcW w:w="80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w:t>
            </w:r>
          </w:p>
        </w:tc>
      </w:tr>
    </w:tbl>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Net Sales</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factors impacting reported sales change are shown in the table below:</w:t>
      </w:r>
    </w:p>
    <w:p>
      <w:pPr>
        <w:sectPr>
          <w:pgSz w:w="11900" w:h="16838" w:orient="portrait"/>
          <w:cols w:equalWidth="0" w:num="1">
            <w:col w:w="11460"/>
          </w:cols>
          <w:pgMar w:left="240" w:top="121" w:right="199" w:bottom="0" w:gutter="0" w:footer="0" w:header="0"/>
        </w:sectPr>
      </w:pPr>
    </w:p>
    <w:bookmarkStart w:id="21" w:name="page22"/>
    <w:bookmarkEnd w:id="21"/>
    <w:tbl>
      <w:tblPr>
        <w:tblLayout w:type="fixed"/>
        <w:tblInd w:w="0" w:type="dxa"/>
        <w:tblCellMar>
          <w:top w:w="0" w:type="dxa"/>
          <w:left w:w="0" w:type="dxa"/>
          <w:bottom w:w="0" w:type="dxa"/>
          <w:right w:w="0" w:type="dxa"/>
        </w:tblCellMar>
      </w:tblPr>
      <w:tr>
        <w:trPr>
          <w:trHeight w:val="216"/>
        </w:trPr>
        <w:tc>
          <w:tcPr>
            <w:tcW w:w="5020" w:type="dxa"/>
            <w:vAlign w:val="bottom"/>
          </w:tcPr>
          <w:p>
            <w:pPr>
              <w:spacing w:after="0"/>
              <w:rPr>
                <w:sz w:val="18"/>
                <w:szCs w:val="18"/>
                <w:color w:val="auto"/>
              </w:rPr>
            </w:pPr>
          </w:p>
        </w:tc>
        <w:tc>
          <w:tcPr>
            <w:tcW w:w="4560" w:type="dxa"/>
            <w:vAlign w:val="bottom"/>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Nine Months Ended</w:t>
            </w:r>
          </w:p>
        </w:tc>
      </w:tr>
      <w:tr>
        <w:trPr>
          <w:trHeight w:val="238"/>
        </w:trPr>
        <w:tc>
          <w:tcPr>
            <w:tcW w:w="5020" w:type="dxa"/>
            <w:vAlign w:val="bottom"/>
            <w:tcBorders>
              <w:bottom w:val="single" w:sz="8" w:color="auto"/>
            </w:tcBorders>
          </w:tcPr>
          <w:p>
            <w:pPr>
              <w:spacing w:after="0"/>
              <w:rPr>
                <w:sz w:val="20"/>
                <w:szCs w:val="20"/>
                <w:color w:val="auto"/>
              </w:rPr>
            </w:pPr>
          </w:p>
        </w:tc>
        <w:tc>
          <w:tcPr>
            <w:tcW w:w="456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September 30, 2017</w:t>
            </w:r>
          </w:p>
        </w:tc>
      </w:tr>
      <w:tr>
        <w:trPr>
          <w:trHeight w:val="210"/>
        </w:trPr>
        <w:tc>
          <w:tcPr>
            <w:tcW w:w="5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Reported sales change</w:t>
            </w:r>
          </w:p>
        </w:tc>
        <w:tc>
          <w:tcPr>
            <w:tcW w:w="4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r>
      <w:tr>
        <w:trPr>
          <w:trHeight w:val="216"/>
        </w:trPr>
        <w:tc>
          <w:tcPr>
            <w:tcW w:w="502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Foreign currency translation</w:t>
            </w:r>
          </w:p>
        </w:tc>
        <w:tc>
          <w:tcPr>
            <w:tcW w:w="456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1</w:t>
            </w:r>
          </w:p>
        </w:tc>
      </w:tr>
      <w:tr>
        <w:trPr>
          <w:trHeight w:val="210"/>
        </w:trPr>
        <w:tc>
          <w:tcPr>
            <w:tcW w:w="502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Sales change ex. currency</w:t>
            </w:r>
          </w:p>
        </w:tc>
        <w:tc>
          <w:tcPr>
            <w:tcW w:w="4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r>
      <w:tr>
        <w:trPr>
          <w:trHeight w:val="210"/>
        </w:trPr>
        <w:tc>
          <w:tcPr>
            <w:tcW w:w="502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Acquisitions</w:t>
            </w:r>
          </w:p>
        </w:tc>
        <w:tc>
          <w:tcPr>
            <w:tcW w:w="45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(20)</w:t>
            </w:r>
          </w:p>
        </w:tc>
      </w:tr>
      <w:tr>
        <w:trPr>
          <w:trHeight w:val="217"/>
        </w:trPr>
        <w:tc>
          <w:tcPr>
            <w:tcW w:w="502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Organic sales change</w:t>
            </w:r>
          </w:p>
        </w:tc>
        <w:tc>
          <w:tcPr>
            <w:tcW w:w="4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r>
    </w:tbl>
    <w:p>
      <w:pPr>
        <w:spacing w:after="0" w:line="198"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In the first nine months of 2017, net sales increased slightly on an organic basis primarily due to higher volume, as growth in industrial categories largely offset the anticipated decline in healthcare categories.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Operating Income</w:t>
      </w:r>
    </w:p>
    <w:p>
      <w:pPr>
        <w:spacing w:after="0" w:line="29" w:lineRule="exact"/>
        <w:rPr>
          <w:sz w:val="20"/>
          <w:szCs w:val="20"/>
          <w:color w:val="auto"/>
        </w:rPr>
      </w:pPr>
    </w:p>
    <w:p>
      <w:pPr>
        <w:jc w:val="both"/>
        <w:ind w:right="20"/>
        <w:spacing w:after="0" w:line="255" w:lineRule="auto"/>
        <w:rPr>
          <w:sz w:val="20"/>
          <w:szCs w:val="20"/>
          <w:color w:val="auto"/>
        </w:rPr>
      </w:pPr>
      <w:r>
        <w:rPr>
          <w:rFonts w:ascii="Times New Roman" w:cs="Times New Roman" w:eastAsia="Times New Roman" w:hAnsi="Times New Roman"/>
          <w:sz w:val="18"/>
          <w:szCs w:val="18"/>
          <w:color w:val="auto"/>
        </w:rPr>
        <w:t>Operating income decreased in the first nine months of 2017 compared to the same period last year due to higher employee-related costs, including growth investments, as well as the net impact of pricing and raw material costs, partially offset by benefits from productivity initiatives, including savings from restructuring actions, net of transition costs. The net impact of acquisitions was not material.</w:t>
      </w:r>
    </w:p>
    <w:p>
      <w:pPr>
        <w:spacing w:after="0" w:line="186"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w:anchor="page1">
        <w:r>
          <w:rPr>
            <w:rFonts w:ascii="Times New Roman" w:cs="Times New Roman" w:eastAsia="Times New Roman" w:hAnsi="Times New Roman"/>
            <w:sz w:val="18"/>
            <w:szCs w:val="18"/>
            <w:u w:val="single" w:color="auto"/>
            <w:color w:val="0000EE"/>
          </w:rPr>
          <w:t>Table of Contents</w:t>
        </w:r>
      </w:hyperlink>
    </w:p>
    <w:p>
      <w:pPr>
        <w:spacing w:after="0" w:line="22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Avery Dennison Corporation</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1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w w:val="99"/>
              </w:rPr>
              <w:t>FINANCIAL CONDITION</w:t>
            </w:r>
          </w:p>
        </w:tc>
        <w:tc>
          <w:tcPr>
            <w:tcW w:w="53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453"/>
        </w:trPr>
        <w:tc>
          <w:tcPr>
            <w:tcW w:w="75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Liquidity</w:t>
            </w:r>
          </w:p>
        </w:tc>
        <w:tc>
          <w:tcPr>
            <w:tcW w:w="9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432"/>
        </w:trPr>
        <w:tc>
          <w:tcPr>
            <w:tcW w:w="75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Operating Activities</w:t>
            </w:r>
          </w:p>
        </w:tc>
        <w:tc>
          <w:tcPr>
            <w:tcW w:w="9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432"/>
        </w:trPr>
        <w:tc>
          <w:tcPr>
            <w:tcW w:w="2140" w:type="dxa"/>
            <w:vAlign w:val="bottom"/>
          </w:tcPr>
          <w:p>
            <w:pPr>
              <w:spacing w:after="0"/>
              <w:rPr>
                <w:sz w:val="24"/>
                <w:szCs w:val="24"/>
                <w:color w:val="auto"/>
              </w:rPr>
            </w:pPr>
          </w:p>
        </w:tc>
        <w:tc>
          <w:tcPr>
            <w:tcW w:w="5360" w:type="dxa"/>
            <w:vAlign w:val="bottom"/>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2160" w:type="dxa"/>
            <w:vAlign w:val="bottom"/>
            <w:tcBorders>
              <w:bottom w:val="single" w:sz="8" w:color="auto"/>
            </w:tcBorders>
            <w:gridSpan w:val="2"/>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Nine Months Ended</w:t>
            </w:r>
          </w:p>
        </w:tc>
        <w:tc>
          <w:tcPr>
            <w:tcW w:w="840" w:type="dxa"/>
            <w:vAlign w:val="bottom"/>
            <w:tcBorders>
              <w:bottom w:val="single" w:sz="8" w:color="auto"/>
            </w:tcBorders>
          </w:tcPr>
          <w:p>
            <w:pPr>
              <w:spacing w:after="0"/>
              <w:rPr>
                <w:sz w:val="24"/>
                <w:szCs w:val="24"/>
                <w:color w:val="auto"/>
              </w:rPr>
            </w:pPr>
          </w:p>
        </w:tc>
      </w:tr>
      <w:tr>
        <w:trPr>
          <w:trHeight w:val="210"/>
        </w:trPr>
        <w:tc>
          <w:tcPr>
            <w:tcW w:w="750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4"/>
                <w:szCs w:val="14"/>
                <w:color w:val="auto"/>
              </w:rPr>
              <w:t>(In millions)</w:t>
            </w:r>
          </w:p>
        </w:tc>
        <w:tc>
          <w:tcPr>
            <w:tcW w:w="2300" w:type="dxa"/>
            <w:vAlign w:val="bottom"/>
            <w:tcBorders>
              <w:bottom w:val="single" w:sz="8" w:color="auto"/>
            </w:tcBorders>
            <w:gridSpan w:val="2"/>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September 30, 2017</w:t>
            </w:r>
          </w:p>
        </w:tc>
        <w:tc>
          <w:tcPr>
            <w:tcW w:w="1620" w:type="dxa"/>
            <w:vAlign w:val="bottom"/>
            <w:tcBorders>
              <w:bottom w:val="single" w:sz="8" w:color="auto"/>
            </w:tcBorders>
            <w:gridSpan w:val="2"/>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October 1, 2016</w:t>
            </w:r>
          </w:p>
        </w:tc>
      </w:tr>
      <w:tr>
        <w:trPr>
          <w:trHeight w:val="210"/>
        </w:trPr>
        <w:tc>
          <w:tcPr>
            <w:tcW w:w="75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w:t>
            </w:r>
          </w:p>
        </w:tc>
        <w:tc>
          <w:tcPr>
            <w:tcW w:w="9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341.4</w:t>
            </w:r>
          </w:p>
        </w:tc>
        <w:tc>
          <w:tcPr>
            <w:tcW w:w="78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258.7</w:t>
            </w:r>
          </w:p>
        </w:tc>
      </w:tr>
      <w:tr>
        <w:trPr>
          <w:trHeight w:val="216"/>
        </w:trPr>
        <w:tc>
          <w:tcPr>
            <w:tcW w:w="7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920" w:type="dxa"/>
            <w:vAlign w:val="bottom"/>
          </w:tcPr>
          <w:p>
            <w:pPr>
              <w:spacing w:after="0"/>
              <w:rPr>
                <w:sz w:val="18"/>
                <w:szCs w:val="18"/>
                <w:color w:val="auto"/>
              </w:rPr>
            </w:pPr>
          </w:p>
        </w:tc>
        <w:tc>
          <w:tcPr>
            <w:tcW w:w="138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134.8</w:t>
            </w:r>
          </w:p>
        </w:tc>
        <w:tc>
          <w:tcPr>
            <w:tcW w:w="780" w:type="dxa"/>
            <w:vAlign w:val="bottom"/>
          </w:tcPr>
          <w:p>
            <w:pPr>
              <w:spacing w:after="0"/>
              <w:rPr>
                <w:sz w:val="18"/>
                <w:szCs w:val="18"/>
                <w:color w:val="auto"/>
              </w:rPr>
            </w:pPr>
          </w:p>
        </w:tc>
        <w:tc>
          <w:tcPr>
            <w:tcW w:w="8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135.5</w:t>
            </w:r>
          </w:p>
        </w:tc>
      </w:tr>
      <w:tr>
        <w:trPr>
          <w:trHeight w:val="216"/>
        </w:trPr>
        <w:tc>
          <w:tcPr>
            <w:tcW w:w="75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Provision for doubtful accounts and sales returns</w:t>
            </w:r>
          </w:p>
        </w:tc>
        <w:tc>
          <w:tcPr>
            <w:tcW w:w="920" w:type="dxa"/>
            <w:vAlign w:val="bottom"/>
            <w:shd w:val="clear" w:color="auto" w:fill="CCEEFF"/>
          </w:tcPr>
          <w:p>
            <w:pPr>
              <w:spacing w:after="0"/>
              <w:rPr>
                <w:sz w:val="18"/>
                <w:szCs w:val="18"/>
                <w:color w:val="auto"/>
              </w:rPr>
            </w:pPr>
          </w:p>
        </w:tc>
        <w:tc>
          <w:tcPr>
            <w:tcW w:w="138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28.1</w:t>
            </w:r>
          </w:p>
        </w:tc>
        <w:tc>
          <w:tcPr>
            <w:tcW w:w="78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33.8</w:t>
            </w:r>
          </w:p>
        </w:tc>
      </w:tr>
      <w:tr>
        <w:trPr>
          <w:trHeight w:val="216"/>
        </w:trPr>
        <w:tc>
          <w:tcPr>
            <w:tcW w:w="7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losses from asset impairments and sales/disposals of assets</w:t>
            </w:r>
          </w:p>
        </w:tc>
        <w:tc>
          <w:tcPr>
            <w:tcW w:w="920" w:type="dxa"/>
            <w:vAlign w:val="bottom"/>
          </w:tcPr>
          <w:p>
            <w:pPr>
              <w:spacing w:after="0"/>
              <w:rPr>
                <w:sz w:val="18"/>
                <w:szCs w:val="18"/>
                <w:color w:val="auto"/>
              </w:rPr>
            </w:pPr>
          </w:p>
        </w:tc>
        <w:tc>
          <w:tcPr>
            <w:tcW w:w="138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2.4</w:t>
            </w:r>
          </w:p>
        </w:tc>
        <w:tc>
          <w:tcPr>
            <w:tcW w:w="780" w:type="dxa"/>
            <w:vAlign w:val="bottom"/>
          </w:tcPr>
          <w:p>
            <w:pPr>
              <w:spacing w:after="0"/>
              <w:rPr>
                <w:sz w:val="18"/>
                <w:szCs w:val="18"/>
                <w:color w:val="auto"/>
              </w:rPr>
            </w:pPr>
          </w:p>
        </w:tc>
        <w:tc>
          <w:tcPr>
            <w:tcW w:w="8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3.8</w:t>
            </w:r>
          </w:p>
        </w:tc>
      </w:tr>
      <w:tr>
        <w:trPr>
          <w:trHeight w:val="216"/>
        </w:trPr>
        <w:tc>
          <w:tcPr>
            <w:tcW w:w="75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Stock-based compensation</w:t>
            </w:r>
          </w:p>
        </w:tc>
        <w:tc>
          <w:tcPr>
            <w:tcW w:w="920" w:type="dxa"/>
            <w:vAlign w:val="bottom"/>
            <w:shd w:val="clear" w:color="auto" w:fill="CCEEFF"/>
          </w:tcPr>
          <w:p>
            <w:pPr>
              <w:spacing w:after="0"/>
              <w:rPr>
                <w:sz w:val="18"/>
                <w:szCs w:val="18"/>
                <w:color w:val="auto"/>
              </w:rPr>
            </w:pPr>
          </w:p>
        </w:tc>
        <w:tc>
          <w:tcPr>
            <w:tcW w:w="138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22.2</w:t>
            </w:r>
          </w:p>
        </w:tc>
        <w:tc>
          <w:tcPr>
            <w:tcW w:w="78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20.1</w:t>
            </w:r>
          </w:p>
        </w:tc>
      </w:tr>
      <w:tr>
        <w:trPr>
          <w:trHeight w:val="216"/>
        </w:trPr>
        <w:tc>
          <w:tcPr>
            <w:tcW w:w="7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Loss from settlement of pension obligations</w:t>
            </w:r>
          </w:p>
        </w:tc>
        <w:tc>
          <w:tcPr>
            <w:tcW w:w="920" w:type="dxa"/>
            <w:vAlign w:val="bottom"/>
          </w:tcPr>
          <w:p>
            <w:pPr>
              <w:spacing w:after="0"/>
              <w:rPr>
                <w:sz w:val="18"/>
                <w:szCs w:val="18"/>
                <w:color w:val="auto"/>
              </w:rPr>
            </w:pPr>
          </w:p>
        </w:tc>
        <w:tc>
          <w:tcPr>
            <w:tcW w:w="138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spacing w:after="0"/>
              <w:rPr>
                <w:sz w:val="18"/>
                <w:szCs w:val="18"/>
                <w:color w:val="auto"/>
              </w:rPr>
            </w:pPr>
          </w:p>
        </w:tc>
        <w:tc>
          <w:tcPr>
            <w:tcW w:w="8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41.4</w:t>
            </w:r>
          </w:p>
        </w:tc>
      </w:tr>
      <w:tr>
        <w:trPr>
          <w:trHeight w:val="216"/>
        </w:trPr>
        <w:tc>
          <w:tcPr>
            <w:tcW w:w="75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non-cash expense and loss</w:t>
            </w:r>
          </w:p>
        </w:tc>
        <w:tc>
          <w:tcPr>
            <w:tcW w:w="920" w:type="dxa"/>
            <w:vAlign w:val="bottom"/>
            <w:shd w:val="clear" w:color="auto" w:fill="CCEEFF"/>
          </w:tcPr>
          <w:p>
            <w:pPr>
              <w:spacing w:after="0"/>
              <w:rPr>
                <w:sz w:val="18"/>
                <w:szCs w:val="18"/>
                <w:color w:val="auto"/>
              </w:rPr>
            </w:pPr>
          </w:p>
        </w:tc>
        <w:tc>
          <w:tcPr>
            <w:tcW w:w="138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41.0</w:t>
            </w:r>
          </w:p>
        </w:tc>
        <w:tc>
          <w:tcPr>
            <w:tcW w:w="78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34.7</w:t>
            </w:r>
          </w:p>
        </w:tc>
      </w:tr>
      <w:tr>
        <w:trPr>
          <w:trHeight w:val="216"/>
        </w:trPr>
        <w:tc>
          <w:tcPr>
            <w:tcW w:w="750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Changes in assets and liabilities and other adjustments</w:t>
            </w:r>
          </w:p>
        </w:tc>
        <w:tc>
          <w:tcPr>
            <w:tcW w:w="92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rPr>
              <w:t>(177.3)</w:t>
            </w:r>
          </w:p>
        </w:tc>
        <w:tc>
          <w:tcPr>
            <w:tcW w:w="78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(162.3)</w:t>
            </w:r>
          </w:p>
        </w:tc>
      </w:tr>
      <w:tr>
        <w:trPr>
          <w:trHeight w:val="217"/>
        </w:trPr>
        <w:tc>
          <w:tcPr>
            <w:tcW w:w="7500" w:type="dxa"/>
            <w:vAlign w:val="bottom"/>
            <w:tcBorders>
              <w:bottom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9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bottom w:val="single" w:sz="8" w:color="auto"/>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392.6</w:t>
            </w:r>
          </w:p>
        </w:tc>
        <w:tc>
          <w:tcPr>
            <w:tcW w:w="78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365.7</w:t>
            </w:r>
          </w:p>
        </w:tc>
      </w:tr>
    </w:tbl>
    <w:p>
      <w:pPr>
        <w:spacing w:after="0" w:line="19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For cash flow purposes, changes in assets and liabilities and other adjustments exclude the impact of foreign currency translation (discussed below in “Analysis of Selected Balance Sheet Accounts”).</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During the first nine months of 2017, cash flow from operating activities increased compared to the same period last year primarily due to higher net income, partially offset by higher income tax payments, net of refunds, and operational working capital improvements in the prior year, the benefit of which did not repeat in the current year. In addition, in the first nine months of 2017, operating activities reflected the impact of our adoption of the accounting guidance update related to stock-based payments described in Note 1, “General,” to the unaudited Condensed Consolidated Financial Statements.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5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Investing Activities</w:t>
            </w:r>
          </w:p>
        </w:tc>
        <w:tc>
          <w:tcPr>
            <w:tcW w:w="90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840" w:type="dxa"/>
            <w:vAlign w:val="bottom"/>
          </w:tcPr>
          <w:p>
            <w:pPr>
              <w:spacing w:after="0"/>
              <w:rPr>
                <w:sz w:val="20"/>
                <w:szCs w:val="20"/>
                <w:color w:val="auto"/>
              </w:rPr>
            </w:pPr>
          </w:p>
        </w:tc>
      </w:tr>
      <w:tr>
        <w:trPr>
          <w:trHeight w:val="432"/>
        </w:trPr>
        <w:tc>
          <w:tcPr>
            <w:tcW w:w="7500" w:type="dxa"/>
            <w:vAlign w:val="bottom"/>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2180" w:type="dxa"/>
            <w:vAlign w:val="bottom"/>
            <w:tcBorders>
              <w:bottom w:val="single" w:sz="8" w:color="auto"/>
            </w:tcBorders>
            <w:gridSpan w:val="2"/>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Nine Months Ended</w:t>
            </w:r>
          </w:p>
        </w:tc>
        <w:tc>
          <w:tcPr>
            <w:tcW w:w="840" w:type="dxa"/>
            <w:vAlign w:val="bottom"/>
            <w:tcBorders>
              <w:bottom w:val="single" w:sz="8" w:color="auto"/>
            </w:tcBorders>
          </w:tcPr>
          <w:p>
            <w:pPr>
              <w:spacing w:after="0"/>
              <w:rPr>
                <w:sz w:val="24"/>
                <w:szCs w:val="24"/>
                <w:color w:val="auto"/>
              </w:rPr>
            </w:pPr>
          </w:p>
        </w:tc>
      </w:tr>
      <w:tr>
        <w:trPr>
          <w:trHeight w:val="210"/>
        </w:trPr>
        <w:tc>
          <w:tcPr>
            <w:tcW w:w="75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(In millions)</w:t>
            </w:r>
          </w:p>
        </w:tc>
        <w:tc>
          <w:tcPr>
            <w:tcW w:w="2300" w:type="dxa"/>
            <w:vAlign w:val="bottom"/>
            <w:tcBorders>
              <w:bottom w:val="single" w:sz="8" w:color="auto"/>
            </w:tcBorders>
            <w:gridSpan w:val="2"/>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September 30, 2017</w:t>
            </w:r>
          </w:p>
        </w:tc>
        <w:tc>
          <w:tcPr>
            <w:tcW w:w="1620" w:type="dxa"/>
            <w:vAlign w:val="bottom"/>
            <w:tcBorders>
              <w:bottom w:val="single" w:sz="8" w:color="auto"/>
            </w:tcBorders>
            <w:gridSpan w:val="2"/>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October 1, 2016</w:t>
            </w:r>
          </w:p>
        </w:tc>
      </w:tr>
      <w:tr>
        <w:trPr>
          <w:trHeight w:val="210"/>
        </w:trPr>
        <w:tc>
          <w:tcPr>
            <w:tcW w:w="7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Purchases of property, plant and equipment</w:t>
            </w:r>
          </w:p>
        </w:tc>
        <w:tc>
          <w:tcPr>
            <w:tcW w:w="9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(111.4)</w:t>
            </w:r>
          </w:p>
        </w:tc>
        <w:tc>
          <w:tcPr>
            <w:tcW w:w="78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(104.9)</w:t>
            </w:r>
          </w:p>
        </w:tc>
      </w:tr>
      <w:tr>
        <w:trPr>
          <w:trHeight w:val="216"/>
        </w:trPr>
        <w:tc>
          <w:tcPr>
            <w:tcW w:w="7500" w:type="dxa"/>
            <w:vAlign w:val="bottom"/>
          </w:tcPr>
          <w:p>
            <w:pPr>
              <w:spacing w:after="0"/>
              <w:rPr>
                <w:sz w:val="20"/>
                <w:szCs w:val="20"/>
                <w:color w:val="auto"/>
              </w:rPr>
            </w:pPr>
            <w:r>
              <w:rPr>
                <w:rFonts w:ascii="Times New Roman" w:cs="Times New Roman" w:eastAsia="Times New Roman" w:hAnsi="Times New Roman"/>
                <w:sz w:val="18"/>
                <w:szCs w:val="18"/>
                <w:color w:val="auto"/>
              </w:rPr>
              <w:t>Purchases of software and other deferred charges</w:t>
            </w:r>
          </w:p>
        </w:tc>
        <w:tc>
          <w:tcPr>
            <w:tcW w:w="900" w:type="dxa"/>
            <w:vAlign w:val="bottom"/>
          </w:tcPr>
          <w:p>
            <w:pPr>
              <w:spacing w:after="0"/>
              <w:rPr>
                <w:sz w:val="18"/>
                <w:szCs w:val="18"/>
                <w:color w:val="auto"/>
              </w:rPr>
            </w:pPr>
          </w:p>
        </w:tc>
        <w:tc>
          <w:tcPr>
            <w:tcW w:w="140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(23.5)</w:t>
            </w:r>
          </w:p>
        </w:tc>
        <w:tc>
          <w:tcPr>
            <w:tcW w:w="7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w:t>
            </w:r>
          </w:p>
        </w:tc>
      </w:tr>
      <w:tr>
        <w:trPr>
          <w:trHeight w:val="216"/>
        </w:trPr>
        <w:tc>
          <w:tcPr>
            <w:tcW w:w="7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Proceeds from sales of property, plant and equipment</w:t>
            </w:r>
          </w:p>
        </w:tc>
        <w:tc>
          <w:tcPr>
            <w:tcW w:w="900" w:type="dxa"/>
            <w:vAlign w:val="bottom"/>
            <w:shd w:val="clear" w:color="auto" w:fill="CCEEFF"/>
          </w:tcPr>
          <w:p>
            <w:pPr>
              <w:spacing w:after="0"/>
              <w:rPr>
                <w:sz w:val="18"/>
                <w:szCs w:val="18"/>
                <w:color w:val="auto"/>
              </w:rPr>
            </w:pPr>
          </w:p>
        </w:tc>
        <w:tc>
          <w:tcPr>
            <w:tcW w:w="140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3.0</w:t>
            </w:r>
          </w:p>
        </w:tc>
        <w:tc>
          <w:tcPr>
            <w:tcW w:w="78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4.3</w:t>
            </w:r>
          </w:p>
        </w:tc>
      </w:tr>
      <w:tr>
        <w:trPr>
          <w:trHeight w:val="216"/>
        </w:trPr>
        <w:tc>
          <w:tcPr>
            <w:tcW w:w="7500" w:type="dxa"/>
            <w:vAlign w:val="bottom"/>
          </w:tcPr>
          <w:p>
            <w:pPr>
              <w:spacing w:after="0"/>
              <w:rPr>
                <w:sz w:val="20"/>
                <w:szCs w:val="20"/>
                <w:color w:val="auto"/>
              </w:rPr>
            </w:pPr>
            <w:r>
              <w:rPr>
                <w:rFonts w:ascii="Times New Roman" w:cs="Times New Roman" w:eastAsia="Times New Roman" w:hAnsi="Times New Roman"/>
                <w:sz w:val="18"/>
                <w:szCs w:val="18"/>
                <w:color w:val="auto"/>
              </w:rPr>
              <w:t>Purchases of investments, net</w:t>
            </w:r>
          </w:p>
        </w:tc>
        <w:tc>
          <w:tcPr>
            <w:tcW w:w="900" w:type="dxa"/>
            <w:vAlign w:val="bottom"/>
          </w:tcPr>
          <w:p>
            <w:pPr>
              <w:spacing w:after="0"/>
              <w:rPr>
                <w:sz w:val="18"/>
                <w:szCs w:val="18"/>
                <w:color w:val="auto"/>
              </w:rPr>
            </w:pPr>
          </w:p>
        </w:tc>
        <w:tc>
          <w:tcPr>
            <w:tcW w:w="140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(4.7)</w:t>
            </w:r>
          </w:p>
        </w:tc>
        <w:tc>
          <w:tcPr>
            <w:tcW w:w="7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r>
      <w:tr>
        <w:trPr>
          <w:trHeight w:val="216"/>
        </w:trPr>
        <w:tc>
          <w:tcPr>
            <w:tcW w:w="750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Payments for acquisitions, net of cash acquired, and investments in businesses</w:t>
            </w:r>
          </w:p>
        </w:tc>
        <w:tc>
          <w:tcPr>
            <w:tcW w:w="900" w:type="dxa"/>
            <w:vAlign w:val="bottom"/>
            <w:tcBorders>
              <w:bottom w:val="single" w:sz="8" w:color="auto"/>
            </w:tcBorders>
            <w:shd w:val="clear" w:color="auto" w:fill="CCEEFF"/>
          </w:tcPr>
          <w:p>
            <w:pPr>
              <w:spacing w:after="0"/>
              <w:rPr>
                <w:sz w:val="18"/>
                <w:szCs w:val="18"/>
                <w:color w:val="auto"/>
              </w:rPr>
            </w:pPr>
          </w:p>
        </w:tc>
        <w:tc>
          <w:tcPr>
            <w:tcW w:w="140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(309.5)</w:t>
            </w:r>
          </w:p>
        </w:tc>
        <w:tc>
          <w:tcPr>
            <w:tcW w:w="78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(227.5)</w:t>
            </w:r>
          </w:p>
        </w:tc>
      </w:tr>
      <w:tr>
        <w:trPr>
          <w:trHeight w:val="217"/>
        </w:trPr>
        <w:tc>
          <w:tcPr>
            <w:tcW w:w="75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90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rPr>
              <w:t>(446.1)</w:t>
            </w:r>
          </w:p>
        </w:tc>
        <w:tc>
          <w:tcPr>
            <w:tcW w:w="78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(345.5)</w:t>
            </w:r>
          </w:p>
        </w:tc>
      </w:tr>
    </w:tbl>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Capital and Software Spending</w:t>
      </w:r>
    </w:p>
    <w:p>
      <w:pPr>
        <w:spacing w:after="0" w:line="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During the first nine months of 2017, we invested in new equipment to support growth in Asia, Europe, and North America, and to improve manufacturing productivity. During the first nine months of 2016, we invested in new equipment to support growth, primarily in Asia, and to improve manufacturing productivity.</w:t>
      </w:r>
    </w:p>
    <w:p>
      <w:pPr>
        <w:spacing w:after="0" w:line="186"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During the first nine months of 2017 and 2016, we invested in information technology primarily associated with enterprise resource planning system implementations in North America, Asia, and Europe.</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Payments for Acquisitions and Investments in Businesses</w:t>
      </w:r>
    </w:p>
    <w:p>
      <w:pPr>
        <w:spacing w:after="0" w:line="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During the first nine months of 2017 and 2016, the aggregate payments for acquisitions, net of cash acquired, and investments in businesses were approximately $310 million and $228 million, respectively, which we funded through cash and commercial paper borrowings.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Refer to Note 2, “Acquisitions,” to the unaudited Condensed Consolidated Financial Statements for more information.</w:t>
      </w:r>
    </w:p>
    <w:p>
      <w:pPr>
        <w:sectPr>
          <w:pgSz w:w="11900" w:h="16838" w:orient="portrait"/>
          <w:cols w:equalWidth="0" w:num="1">
            <w:col w:w="11420"/>
          </w:cols>
          <w:pgMar w:left="240" w:top="117" w:right="239" w:bottom="0" w:gutter="0" w:footer="0" w:header="0"/>
        </w:sectPr>
      </w:pPr>
    </w:p>
    <w:p>
      <w:pPr>
        <w:spacing w:after="0" w:line="225" w:lineRule="exact"/>
        <w:rPr>
          <w:sz w:val="20"/>
          <w:szCs w:val="20"/>
          <w:color w:val="auto"/>
        </w:rPr>
      </w:pPr>
    </w:p>
    <w:p>
      <w:pPr>
        <w:ind w:left="11240"/>
        <w:spacing w:after="0"/>
        <w:rPr>
          <w:sz w:val="20"/>
          <w:szCs w:val="20"/>
          <w:color w:val="auto"/>
        </w:rPr>
      </w:pPr>
      <w:r>
        <w:rPr>
          <w:rFonts w:ascii="Times New Roman" w:cs="Times New Roman" w:eastAsia="Times New Roman" w:hAnsi="Times New Roman"/>
          <w:sz w:val="18"/>
          <w:szCs w:val="18"/>
          <w:color w:val="auto"/>
        </w:rPr>
        <w:t>28</w:t>
      </w:r>
    </w:p>
    <w:p>
      <w:pPr>
        <w:sectPr>
          <w:pgSz w:w="11900" w:h="16838" w:orient="portrait"/>
          <w:cols w:equalWidth="0" w:num="1">
            <w:col w:w="11420"/>
          </w:cols>
          <w:pgMar w:left="240" w:top="117" w:right="239" w:bottom="0" w:gutter="0" w:footer="0" w:header="0"/>
          <w:type w:val="continuous"/>
        </w:sectPr>
      </w:pPr>
    </w:p>
    <w:bookmarkStart w:id="22" w:name="page23"/>
    <w:bookmarkEnd w:id="22"/>
    <w:tbl>
      <w:tblPr>
        <w:tblLayout w:type="fixed"/>
        <w:tblInd w:w="0" w:type="dxa"/>
        <w:tblCellMar>
          <w:top w:w="0" w:type="dxa"/>
          <w:left w:w="0" w:type="dxa"/>
          <w:bottom w:w="0" w:type="dxa"/>
          <w:right w:w="0" w:type="dxa"/>
        </w:tblCellMar>
      </w:tblPr>
      <w:tr>
        <w:trPr>
          <w:trHeight w:val="207"/>
        </w:trPr>
        <w:tc>
          <w:tcPr>
            <w:tcW w:w="7500" w:type="dxa"/>
            <w:vAlign w:val="bottom"/>
            <w:gridSpan w:val="2"/>
          </w:tcPr>
          <w:p>
            <w:pPr>
              <w:spacing w:after="0"/>
              <w:rPr>
                <w:rFonts w:ascii="Times New Roman" w:cs="Times New Roman" w:eastAsia="Times New Roman" w:hAnsi="Times New Roman"/>
                <w:sz w:val="18"/>
                <w:szCs w:val="18"/>
                <w:color w:val="0000EE"/>
              </w:rPr>
            </w:pPr>
            <w:hyperlink w:anchor="page1">
              <w:r>
                <w:rPr>
                  <w:rFonts w:ascii="Times New Roman" w:cs="Times New Roman" w:eastAsia="Times New Roman" w:hAnsi="Times New Roman"/>
                  <w:sz w:val="18"/>
                  <w:szCs w:val="18"/>
                  <w:color w:val="0000EE"/>
                </w:rPr>
                <w:t>Table of Contents</w:t>
              </w:r>
            </w:hyperlink>
          </w:p>
        </w:tc>
        <w:tc>
          <w:tcPr>
            <w:tcW w:w="9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453"/>
        </w:trPr>
        <w:tc>
          <w:tcPr>
            <w:tcW w:w="1280" w:type="dxa"/>
            <w:vAlign w:val="bottom"/>
            <w:tcBorders>
              <w:top w:val="single" w:sz="8" w:color="0000EE"/>
            </w:tcBorders>
          </w:tcPr>
          <w:p>
            <w:pPr>
              <w:spacing w:after="0"/>
              <w:rPr>
                <w:sz w:val="24"/>
                <w:szCs w:val="24"/>
                <w:color w:val="auto"/>
              </w:rPr>
            </w:pPr>
          </w:p>
        </w:tc>
        <w:tc>
          <w:tcPr>
            <w:tcW w:w="6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020" w:type="dxa"/>
            <w:vAlign w:val="bottom"/>
            <w:gridSpan w:val="4"/>
          </w:tcPr>
          <w:p>
            <w:pPr>
              <w:ind w:left="920"/>
              <w:spacing w:after="0"/>
              <w:rPr>
                <w:sz w:val="20"/>
                <w:szCs w:val="20"/>
                <w:color w:val="auto"/>
              </w:rPr>
            </w:pPr>
            <w:r>
              <w:rPr>
                <w:rFonts w:ascii="Times New Roman" w:cs="Times New Roman" w:eastAsia="Times New Roman" w:hAnsi="Times New Roman"/>
                <w:sz w:val="18"/>
                <w:szCs w:val="18"/>
                <w:color w:val="auto"/>
                <w:w w:val="99"/>
              </w:rPr>
              <w:t>Avery Dennison Corporation</w:t>
            </w:r>
          </w:p>
        </w:tc>
      </w:tr>
      <w:tr>
        <w:trPr>
          <w:trHeight w:val="432"/>
        </w:trPr>
        <w:tc>
          <w:tcPr>
            <w:tcW w:w="75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Financing Activities</w:t>
            </w:r>
          </w:p>
        </w:tc>
        <w:tc>
          <w:tcPr>
            <w:tcW w:w="9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432"/>
        </w:trPr>
        <w:tc>
          <w:tcPr>
            <w:tcW w:w="1280" w:type="dxa"/>
            <w:vAlign w:val="bottom"/>
          </w:tcPr>
          <w:p>
            <w:pPr>
              <w:spacing w:after="0"/>
              <w:rPr>
                <w:sz w:val="24"/>
                <w:szCs w:val="24"/>
                <w:color w:val="auto"/>
              </w:rPr>
            </w:pPr>
          </w:p>
        </w:tc>
        <w:tc>
          <w:tcPr>
            <w:tcW w:w="6220" w:type="dxa"/>
            <w:vAlign w:val="bottom"/>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2140" w:type="dxa"/>
            <w:vAlign w:val="bottom"/>
            <w:tcBorders>
              <w:bottom w:val="single" w:sz="8" w:color="auto"/>
            </w:tcBorders>
            <w:gridSpan w:val="2"/>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Nine Months Ended</w:t>
            </w:r>
          </w:p>
        </w:tc>
        <w:tc>
          <w:tcPr>
            <w:tcW w:w="86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r>
      <w:tr>
        <w:trPr>
          <w:trHeight w:val="210"/>
        </w:trPr>
        <w:tc>
          <w:tcPr>
            <w:tcW w:w="750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4"/>
                <w:szCs w:val="14"/>
                <w:color w:val="auto"/>
              </w:rPr>
              <w:t>(In millions)</w:t>
            </w:r>
          </w:p>
        </w:tc>
        <w:tc>
          <w:tcPr>
            <w:tcW w:w="2300" w:type="dxa"/>
            <w:vAlign w:val="bottom"/>
            <w:tcBorders>
              <w:bottom w:val="single" w:sz="8" w:color="auto"/>
            </w:tcBorders>
            <w:gridSpan w:val="2"/>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September 30, 2017</w:t>
            </w:r>
          </w:p>
        </w:tc>
        <w:tc>
          <w:tcPr>
            <w:tcW w:w="1620" w:type="dxa"/>
            <w:vAlign w:val="bottom"/>
            <w:tcBorders>
              <w:bottom w:val="single" w:sz="8" w:color="auto"/>
            </w:tcBorders>
            <w:gridSpan w:val="2"/>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October 1, 2016</w:t>
            </w:r>
          </w:p>
        </w:tc>
        <w:tc>
          <w:tcPr>
            <w:tcW w:w="20" w:type="dxa"/>
            <w:vAlign w:val="bottom"/>
          </w:tcPr>
          <w:p>
            <w:pPr>
              <w:spacing w:after="0"/>
              <w:rPr>
                <w:sz w:val="18"/>
                <w:szCs w:val="18"/>
                <w:color w:val="auto"/>
              </w:rPr>
            </w:pPr>
          </w:p>
        </w:tc>
      </w:tr>
      <w:tr>
        <w:trPr>
          <w:trHeight w:val="210"/>
        </w:trPr>
        <w:tc>
          <w:tcPr>
            <w:tcW w:w="75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(decrease) increase in borrowings (maturities of three months or less)</w:t>
            </w:r>
          </w:p>
        </w:tc>
        <w:tc>
          <w:tcPr>
            <w:tcW w:w="9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(220.1)</w:t>
            </w:r>
          </w:p>
        </w:tc>
        <w:tc>
          <w:tcPr>
            <w:tcW w:w="76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242.0</w:t>
            </w:r>
          </w:p>
        </w:tc>
        <w:tc>
          <w:tcPr>
            <w:tcW w:w="20" w:type="dxa"/>
            <w:vAlign w:val="bottom"/>
          </w:tcPr>
          <w:p>
            <w:pPr>
              <w:spacing w:after="0"/>
              <w:rPr>
                <w:sz w:val="18"/>
                <w:szCs w:val="18"/>
                <w:color w:val="auto"/>
              </w:rPr>
            </w:pPr>
          </w:p>
        </w:tc>
      </w:tr>
      <w:tr>
        <w:trPr>
          <w:trHeight w:val="216"/>
        </w:trPr>
        <w:tc>
          <w:tcPr>
            <w:tcW w:w="7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Additional long-term borrowings</w:t>
            </w:r>
          </w:p>
        </w:tc>
        <w:tc>
          <w:tcPr>
            <w:tcW w:w="920" w:type="dxa"/>
            <w:vAlign w:val="bottom"/>
          </w:tcPr>
          <w:p>
            <w:pPr>
              <w:spacing w:after="0"/>
              <w:rPr>
                <w:sz w:val="18"/>
                <w:szCs w:val="18"/>
                <w:color w:val="auto"/>
              </w:rPr>
            </w:pPr>
          </w:p>
        </w:tc>
        <w:tc>
          <w:tcPr>
            <w:tcW w:w="138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526.6</w:t>
            </w:r>
          </w:p>
        </w:tc>
        <w:tc>
          <w:tcPr>
            <w:tcW w:w="760" w:type="dxa"/>
            <w:vAlign w:val="bottom"/>
          </w:tcPr>
          <w:p>
            <w:pPr>
              <w:spacing w:after="0"/>
              <w:rPr>
                <w:sz w:val="18"/>
                <w:szCs w:val="18"/>
                <w:color w:val="auto"/>
              </w:rPr>
            </w:pPr>
          </w:p>
        </w:tc>
        <w:tc>
          <w:tcPr>
            <w:tcW w:w="8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r>
      <w:tr>
        <w:trPr>
          <w:trHeight w:val="216"/>
        </w:trPr>
        <w:tc>
          <w:tcPr>
            <w:tcW w:w="75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Repayments of long-term debt</w:t>
            </w:r>
          </w:p>
        </w:tc>
        <w:tc>
          <w:tcPr>
            <w:tcW w:w="920" w:type="dxa"/>
            <w:vAlign w:val="bottom"/>
            <w:shd w:val="clear" w:color="auto" w:fill="CCEEFF"/>
          </w:tcPr>
          <w:p>
            <w:pPr>
              <w:spacing w:after="0"/>
              <w:rPr>
                <w:sz w:val="18"/>
                <w:szCs w:val="18"/>
                <w:color w:val="auto"/>
              </w:rPr>
            </w:pPr>
          </w:p>
        </w:tc>
        <w:tc>
          <w:tcPr>
            <w:tcW w:w="138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(2.5)</w:t>
            </w:r>
          </w:p>
        </w:tc>
        <w:tc>
          <w:tcPr>
            <w:tcW w:w="7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20" w:type="dxa"/>
            <w:vAlign w:val="bottom"/>
          </w:tcPr>
          <w:p>
            <w:pPr>
              <w:spacing w:after="0"/>
              <w:rPr>
                <w:sz w:val="18"/>
                <w:szCs w:val="18"/>
                <w:color w:val="auto"/>
              </w:rPr>
            </w:pPr>
          </w:p>
        </w:tc>
      </w:tr>
      <w:tr>
        <w:trPr>
          <w:trHeight w:val="216"/>
        </w:trPr>
        <w:tc>
          <w:tcPr>
            <w:tcW w:w="7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Dividends paid</w:t>
            </w:r>
          </w:p>
        </w:tc>
        <w:tc>
          <w:tcPr>
            <w:tcW w:w="920" w:type="dxa"/>
            <w:vAlign w:val="bottom"/>
          </w:tcPr>
          <w:p>
            <w:pPr>
              <w:spacing w:after="0"/>
              <w:rPr>
                <w:sz w:val="18"/>
                <w:szCs w:val="18"/>
                <w:color w:val="auto"/>
              </w:rPr>
            </w:pPr>
          </w:p>
        </w:tc>
        <w:tc>
          <w:tcPr>
            <w:tcW w:w="138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(115.8)</w:t>
            </w:r>
          </w:p>
        </w:tc>
        <w:tc>
          <w:tcPr>
            <w:tcW w:w="7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(106.2)</w:t>
            </w:r>
          </w:p>
        </w:tc>
        <w:tc>
          <w:tcPr>
            <w:tcW w:w="20" w:type="dxa"/>
            <w:vAlign w:val="bottom"/>
          </w:tcPr>
          <w:p>
            <w:pPr>
              <w:spacing w:after="0"/>
              <w:rPr>
                <w:sz w:val="18"/>
                <w:szCs w:val="18"/>
                <w:color w:val="auto"/>
              </w:rPr>
            </w:pPr>
          </w:p>
        </w:tc>
      </w:tr>
      <w:tr>
        <w:trPr>
          <w:trHeight w:val="216"/>
        </w:trPr>
        <w:tc>
          <w:tcPr>
            <w:tcW w:w="75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 repurchases</w:t>
            </w:r>
          </w:p>
        </w:tc>
        <w:tc>
          <w:tcPr>
            <w:tcW w:w="920" w:type="dxa"/>
            <w:vAlign w:val="bottom"/>
            <w:shd w:val="clear" w:color="auto" w:fill="CCEEFF"/>
          </w:tcPr>
          <w:p>
            <w:pPr>
              <w:spacing w:after="0"/>
              <w:rPr>
                <w:sz w:val="18"/>
                <w:szCs w:val="18"/>
                <w:color w:val="auto"/>
              </w:rPr>
            </w:pPr>
          </w:p>
        </w:tc>
        <w:tc>
          <w:tcPr>
            <w:tcW w:w="138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(104.8)</w:t>
            </w:r>
          </w:p>
        </w:tc>
        <w:tc>
          <w:tcPr>
            <w:tcW w:w="7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(181.5)</w:t>
            </w:r>
          </w:p>
        </w:tc>
        <w:tc>
          <w:tcPr>
            <w:tcW w:w="20" w:type="dxa"/>
            <w:vAlign w:val="bottom"/>
          </w:tcPr>
          <w:p>
            <w:pPr>
              <w:spacing w:after="0"/>
              <w:rPr>
                <w:sz w:val="18"/>
                <w:szCs w:val="18"/>
                <w:color w:val="auto"/>
              </w:rPr>
            </w:pPr>
          </w:p>
        </w:tc>
      </w:tr>
      <w:tr>
        <w:trPr>
          <w:trHeight w:val="216"/>
        </w:trPr>
        <w:tc>
          <w:tcPr>
            <w:tcW w:w="7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Proceeds from exercises of stock options, net</w:t>
            </w:r>
          </w:p>
        </w:tc>
        <w:tc>
          <w:tcPr>
            <w:tcW w:w="920" w:type="dxa"/>
            <w:vAlign w:val="bottom"/>
          </w:tcPr>
          <w:p>
            <w:pPr>
              <w:spacing w:after="0"/>
              <w:rPr>
                <w:sz w:val="18"/>
                <w:szCs w:val="18"/>
                <w:color w:val="auto"/>
              </w:rPr>
            </w:pPr>
          </w:p>
        </w:tc>
        <w:tc>
          <w:tcPr>
            <w:tcW w:w="138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17.7</w:t>
            </w:r>
          </w:p>
        </w:tc>
        <w:tc>
          <w:tcPr>
            <w:tcW w:w="760" w:type="dxa"/>
            <w:vAlign w:val="bottom"/>
          </w:tcPr>
          <w:p>
            <w:pPr>
              <w:spacing w:after="0"/>
              <w:rPr>
                <w:sz w:val="18"/>
                <w:szCs w:val="18"/>
                <w:color w:val="auto"/>
              </w:rPr>
            </w:pPr>
          </w:p>
        </w:tc>
        <w:tc>
          <w:tcPr>
            <w:tcW w:w="8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63.4</w:t>
            </w:r>
          </w:p>
        </w:tc>
        <w:tc>
          <w:tcPr>
            <w:tcW w:w="20" w:type="dxa"/>
            <w:vAlign w:val="bottom"/>
          </w:tcPr>
          <w:p>
            <w:pPr>
              <w:spacing w:after="0"/>
              <w:rPr>
                <w:sz w:val="18"/>
                <w:szCs w:val="18"/>
                <w:color w:val="auto"/>
              </w:rPr>
            </w:pPr>
          </w:p>
        </w:tc>
      </w:tr>
      <w:tr>
        <w:trPr>
          <w:trHeight w:val="216"/>
        </w:trPr>
        <w:tc>
          <w:tcPr>
            <w:tcW w:w="7500" w:type="dxa"/>
            <w:vAlign w:val="bottom"/>
            <w:tcBorders>
              <w:bottom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Tax withholding for and excess tax benefit from stock-based compensation, net</w:t>
            </w:r>
          </w:p>
        </w:tc>
        <w:tc>
          <w:tcPr>
            <w:tcW w:w="920" w:type="dxa"/>
            <w:vAlign w:val="bottom"/>
            <w:tcBorders>
              <w:bottom w:val="single" w:sz="8" w:color="auto"/>
            </w:tcBorders>
            <w:shd w:val="clear" w:color="auto" w:fill="CCEEFF"/>
          </w:tcPr>
          <w:p>
            <w:pPr>
              <w:spacing w:after="0"/>
              <w:rPr>
                <w:sz w:val="18"/>
                <w:szCs w:val="18"/>
                <w:color w:val="auto"/>
              </w:rPr>
            </w:pPr>
          </w:p>
        </w:tc>
        <w:tc>
          <w:tcPr>
            <w:tcW w:w="138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(20.3)</w:t>
            </w:r>
          </w:p>
        </w:tc>
        <w:tc>
          <w:tcPr>
            <w:tcW w:w="76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20" w:type="dxa"/>
            <w:vAlign w:val="bottom"/>
          </w:tcPr>
          <w:p>
            <w:pPr>
              <w:spacing w:after="0"/>
              <w:rPr>
                <w:sz w:val="18"/>
                <w:szCs w:val="18"/>
                <w:color w:val="auto"/>
              </w:rPr>
            </w:pPr>
          </w:p>
        </w:tc>
      </w:tr>
      <w:tr>
        <w:trPr>
          <w:trHeight w:val="217"/>
        </w:trPr>
        <w:tc>
          <w:tcPr>
            <w:tcW w:w="750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Net cash provided by financing activities</w:t>
            </w:r>
          </w:p>
        </w:tc>
        <w:tc>
          <w:tcPr>
            <w:tcW w:w="9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80.8</w:t>
            </w:r>
          </w:p>
        </w:tc>
        <w:tc>
          <w:tcPr>
            <w:tcW w:w="76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11.4</w:t>
            </w:r>
          </w:p>
        </w:tc>
        <w:tc>
          <w:tcPr>
            <w:tcW w:w="20" w:type="dxa"/>
            <w:vAlign w:val="bottom"/>
          </w:tcPr>
          <w:p>
            <w:pPr>
              <w:spacing w:after="0"/>
              <w:rPr>
                <w:sz w:val="18"/>
                <w:szCs w:val="18"/>
                <w:color w:val="auto"/>
              </w:rPr>
            </w:pPr>
          </w:p>
        </w:tc>
      </w:tr>
    </w:tbl>
    <w:p>
      <w:pPr>
        <w:spacing w:after="0" w:line="196"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i w:val="1"/>
          <w:iCs w:val="1"/>
          <w:color w:val="auto"/>
        </w:rPr>
        <w:t>Borrowings and Repayment of Debt</w:t>
      </w:r>
    </w:p>
    <w:p>
      <w:pPr>
        <w:spacing w:after="0" w:line="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Given the seasonality of our cash flow from operating activities, during the first nine months of 2017 and 2016, our commercial paper borrowings were used to fund share repurchase activity, dividend payments, and capital expenditures. During the first nine months of 2017 and 2016, commercial paper borrowings were also used to fund acquisitions.</w:t>
      </w:r>
    </w:p>
    <w:p>
      <w:pPr>
        <w:spacing w:after="0" w:line="18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March 2017, we issued €500 million of senior notes, due March 2025. The senior notes bear an interest rate of 1.25% per year, payable annually in arrears. The net proceeds from the offering, after deducting underwriting discounts and estimated offering expenses, were $526.6 million (€495.5 million), a portion of which was used to repay commercial paper borrowings that we used to finance a portion of our acquisition of Mactac in August 2016 and the remainder of which was used for general corporate purposes, including acquisitions.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Refer to Note 2, “Acquisitions,” and Note 5, “Debt,” to the unaudited Condensed Consolidated Financial Statements for more information.</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Dividend Payments</w:t>
      </w:r>
    </w:p>
    <w:p>
      <w:pPr>
        <w:spacing w:after="0" w:line="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paid dividends of $1.31 per share in the first nine months of 2017 compared to $1.19 per share in the same period last year. In April 2017, we increased our quarterly dividend to $.45 per share, representing an increase of approximately 10% from our previous dividend rate of $.41 per share.</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Share Repurchases</w:t>
      </w:r>
    </w:p>
    <w:p>
      <w:pPr>
        <w:spacing w:after="0" w:line="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During the first nine months of 2017, we repurchased 1.3 million shares of our common stock at an aggregate cost of $104.8 million. During the first nine months of 2016, we repurchased 2.7 million shares of our common stock at an aggregate cost of $181.5 million.</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April 2017, our Board authorized the repurchase of shares of our common stock with a fair market value of up to $650 million, exclusive of any fees, commissions or other expenses related to such purchases and in addition to any amount outstanding under our previous Board authorization. Our Board repurchase authorizations remain in effect until shares in the respective amount authorized thereunder have been repurchased.</w:t>
      </w:r>
    </w:p>
    <w:p>
      <w:pPr>
        <w:spacing w:after="0" w:line="176"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As of September 30, 2017, shares of our common stock in the aggregate amount of $650.1 million remained authorized for repurchase under our outstanding Board authorizations.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Tax Withholding for and Excess Tax Benefit from Stock-Based Compensation, Net</w:t>
      </w:r>
    </w:p>
    <w:p>
      <w:pPr>
        <w:spacing w:after="0" w:line="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During the first nine months of 2017, tax withholding for and excess tax benefit from stock-based compensation, net, reflected the impact of our adoption of the accounting guidance update related to stock-based payments described in Note 1, “General,” to the unaudited Condensed Consolidated Financial Statements.</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Analysis of Selected Balance Sheet Accounts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Long-lived Assets</w:t>
      </w:r>
    </w:p>
    <w:p>
      <w:pPr>
        <w:spacing w:after="0" w:line="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the nine months ended September 30, 2017, property, plant and equipment, net, increased by approximately $132 million to $1.05 billion, which primarily reflected the preliminary valuation of property, plant and equipment from the 2017 Acquisitions of approximately $68 million, as well as purchases of property, plant and equipment, partially offset by depreciation expense.</w:t>
      </w:r>
    </w:p>
    <w:p>
      <w:pPr>
        <w:spacing w:after="0" w:line="18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the nine months ended September 30, 2017, goodwill increased by approximately $184 million to $977.1 million, which reflected the preliminary valuation of goodwill associated with the 2017 Acquisitions, the impact of foreign currency translation, and purchase price allocation adjustments associated with our acquisition of Mactac in August 2016.</w:t>
      </w:r>
    </w:p>
    <w:p>
      <w:pPr>
        <w:spacing w:after="0" w:line="176"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w:anchor="page1">
        <w:r>
          <w:rPr>
            <w:rFonts w:ascii="Times New Roman" w:cs="Times New Roman" w:eastAsia="Times New Roman" w:hAnsi="Times New Roman"/>
            <w:sz w:val="18"/>
            <w:szCs w:val="18"/>
            <w:u w:val="single" w:color="auto"/>
            <w:color w:val="0000EE"/>
          </w:rPr>
          <w:t>Table of Contents</w:t>
        </w:r>
      </w:hyperlink>
    </w:p>
    <w:p>
      <w:pPr>
        <w:spacing w:after="0" w:line="225" w:lineRule="exact"/>
        <w:rPr>
          <w:sz w:val="20"/>
          <w:szCs w:val="20"/>
          <w:color w:val="auto"/>
        </w:rPr>
      </w:pPr>
    </w:p>
    <w:p>
      <w:pPr>
        <w:ind w:left="9340"/>
        <w:spacing w:after="0"/>
        <w:rPr>
          <w:sz w:val="20"/>
          <w:szCs w:val="20"/>
          <w:color w:val="auto"/>
        </w:rPr>
      </w:pPr>
      <w:r>
        <w:rPr>
          <w:rFonts w:ascii="Times New Roman" w:cs="Times New Roman" w:eastAsia="Times New Roman" w:hAnsi="Times New Roman"/>
          <w:sz w:val="17"/>
          <w:szCs w:val="17"/>
          <w:color w:val="auto"/>
        </w:rPr>
        <w:t>Avery Dennison Corporation</w:t>
      </w:r>
    </w:p>
    <w:p>
      <w:pPr>
        <w:spacing w:after="0" w:line="23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the nine months ended September 30, 2017, other intangibles resulting from business acquisitions, net, increased by approximately $103 million to $170.1 million, which reflected the preliminary valuation of other intangibles from the 2017 Acquisitions and the impact of foreign currency translation, partially offset by current year amortization expense.</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Refer to Note 2, “Acquisitions,” and Note 4, “Goodwill and Other Intangibles Resulting from Business Acquisitions,” to the unaudited Condensed Consolidated Financial Statements for more information.</w:t>
      </w:r>
    </w:p>
    <w:p>
      <w:pPr>
        <w:sectPr>
          <w:pgSz w:w="11900" w:h="16838" w:orient="portrait"/>
          <w:cols w:equalWidth="0" w:num="1">
            <w:col w:w="11420"/>
          </w:cols>
          <w:pgMar w:left="240" w:top="500" w:right="239" w:bottom="0" w:gutter="0" w:footer="0" w:header="0"/>
        </w:sectPr>
      </w:pPr>
    </w:p>
    <w:bookmarkStart w:id="23" w:name="page24"/>
    <w:bookmarkEnd w:id="23"/>
    <w:p>
      <w:pPr>
        <w:jc w:val="both"/>
        <w:spacing w:after="0" w:line="266" w:lineRule="auto"/>
        <w:rPr>
          <w:sz w:val="20"/>
          <w:szCs w:val="20"/>
          <w:color w:val="auto"/>
        </w:rPr>
      </w:pPr>
      <w:r>
        <w:rPr>
          <w:rFonts w:ascii="Times New Roman" w:cs="Times New Roman" w:eastAsia="Times New Roman" w:hAnsi="Times New Roman"/>
          <w:sz w:val="18"/>
          <w:szCs w:val="18"/>
          <w:color w:val="auto"/>
        </w:rPr>
        <w:t>In the nine months ended September 30, 2017, other assets increased by approximately $42 million to $445.1 million, which reflected an increase to deferred tax charges associated with the integration of a recent acquisition, an increase in the cash surrender value of our corporate-owned life insurance policies, and the impact of foreign currency translation, partially offset by amortization expense related to software and other deferred charges, net of purchases.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Refer to Note 11, “Taxes Based on Income,” to the unaudited Condensed Consolidated Financial Statements for more information.</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Shareholders’ Equity Accounts</w:t>
      </w:r>
    </w:p>
    <w:p>
      <w:pPr>
        <w:spacing w:after="0" w:line="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the nine months ended September 30, 2017, the balance of our shareholders’ equity increased by approximately $209 million to $1.13 billion, which primarily reflected net income, the use of treasury shares to settle stock-based awards and fund contributions to our U.S. defined contribution plan, and the impact of foreign currency translation. These increases were partially offset by dividend payments and share repurchases.</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4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Impact of Foreign Currency Translation</w:t>
            </w:r>
          </w:p>
        </w:tc>
        <w:tc>
          <w:tcPr>
            <w:tcW w:w="4200" w:type="dxa"/>
            <w:vAlign w:val="bottom"/>
          </w:tcPr>
          <w:p>
            <w:pPr>
              <w:spacing w:after="0"/>
              <w:rPr>
                <w:sz w:val="20"/>
                <w:szCs w:val="20"/>
                <w:color w:val="auto"/>
              </w:rPr>
            </w:pPr>
          </w:p>
        </w:tc>
        <w:tc>
          <w:tcPr>
            <w:tcW w:w="780" w:type="dxa"/>
            <w:vAlign w:val="bottom"/>
          </w:tcPr>
          <w:p>
            <w:pPr>
              <w:spacing w:after="0"/>
              <w:rPr>
                <w:sz w:val="20"/>
                <w:szCs w:val="20"/>
                <w:color w:val="auto"/>
              </w:rPr>
            </w:pPr>
          </w:p>
        </w:tc>
      </w:tr>
      <w:tr>
        <w:trPr>
          <w:trHeight w:val="410"/>
        </w:trPr>
        <w:tc>
          <w:tcPr>
            <w:tcW w:w="6440" w:type="dxa"/>
            <w:vAlign w:val="bottom"/>
          </w:tcPr>
          <w:p>
            <w:pPr>
              <w:spacing w:after="0"/>
              <w:rPr>
                <w:sz w:val="24"/>
                <w:szCs w:val="24"/>
                <w:color w:val="auto"/>
              </w:rPr>
            </w:pPr>
          </w:p>
        </w:tc>
        <w:tc>
          <w:tcPr>
            <w:tcW w:w="498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Nine Months Ended</w:t>
            </w:r>
          </w:p>
        </w:tc>
      </w:tr>
      <w:tr>
        <w:trPr>
          <w:trHeight w:val="238"/>
        </w:trPr>
        <w:tc>
          <w:tcPr>
            <w:tcW w:w="64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(In millions)</w:t>
            </w:r>
          </w:p>
        </w:tc>
        <w:tc>
          <w:tcPr>
            <w:tcW w:w="4980" w:type="dxa"/>
            <w:vAlign w:val="bottom"/>
            <w:tcBorders>
              <w:bottom w:val="single" w:sz="8" w:color="auto"/>
            </w:tcBorders>
            <w:gridSpan w:val="2"/>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September 30, 2017</w:t>
            </w:r>
          </w:p>
        </w:tc>
      </w:tr>
      <w:tr>
        <w:trPr>
          <w:trHeight w:val="210"/>
        </w:trPr>
        <w:tc>
          <w:tcPr>
            <w:tcW w:w="6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Change in net sales</w:t>
            </w:r>
          </w:p>
        </w:tc>
        <w:tc>
          <w:tcPr>
            <w:tcW w:w="4200" w:type="dxa"/>
            <w:vAlign w:val="bottom"/>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r>
      <w:tr>
        <w:trPr>
          <w:trHeight w:val="223"/>
        </w:trPr>
        <w:tc>
          <w:tcPr>
            <w:tcW w:w="64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Change in net income</w:t>
            </w:r>
          </w:p>
        </w:tc>
        <w:tc>
          <w:tcPr>
            <w:tcW w:w="42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w:t>
            </w:r>
          </w:p>
        </w:tc>
      </w:tr>
    </w:tbl>
    <w:p>
      <w:pPr>
        <w:spacing w:after="0" w:line="19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International operations generated approximately 76% of our net sales during the nine months ended September 30, 2017. Our future results are subject to changes in political and economic conditions in the regions in which we operate and the impact of fluctuations in foreign currency exchange and interest rates.</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unfavorable impact of foreign currency translation on net sales in the first nine months of 2017 compared to the same period last year was primarily related to sales in China and Turkey, and euro-denominated sales, partially offset by sales in Brazil.</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Effect of Foreign Currency Transactions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impact on net income from transactions denominated in foreign currencies is largely mitigated because the costs of our products are generally denominated in the currencies in which they are sold. In addition, to reduce our income and cash flow exposure to transactions in foreign currencies, we enter into foreign exchange forward, option and swap contracts where available and appropriate. We also utilize certain foreign currency denominated debt to mitigate foreign currency exposure related to our investment in foreign operations.</w:t>
      </w:r>
    </w:p>
    <w:p>
      <w:pPr>
        <w:spacing w:after="0" w:line="18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w:anchor="page1">
        <w:r>
          <w:rPr>
            <w:rFonts w:ascii="Times New Roman" w:cs="Times New Roman" w:eastAsia="Times New Roman" w:hAnsi="Times New Roman"/>
            <w:sz w:val="18"/>
            <w:szCs w:val="18"/>
            <w:u w:val="single" w:color="auto"/>
            <w:color w:val="0000EE"/>
          </w:rPr>
          <w:t>Table of Contents</w:t>
        </w:r>
      </w:hyperlink>
    </w:p>
    <w:p>
      <w:pPr>
        <w:spacing w:after="0" w:line="22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Avery Dennison Corporation</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Analysis of Selected Financial Ratios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utilize the financial ratios discussed below to assess our financial condition and operating performance.</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Working Capital (Deficit) and Operational Working Capital Ratios</w:t>
      </w:r>
    </w:p>
    <w:p>
      <w:pPr>
        <w:spacing w:after="0" w:line="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increase in working capital (deficit) (current assets minus current liabilities), as a percentage of annualized net sales, of 4% in the first nine months of 2017 compared to (.7)% in the first nine months of 2016 was primarily the result of a decrease in short-term borrowings and current portion of long-term debt and capital leases, as well as increases in trade accounts receivable, net. The decrease in short-term borrowings and current portion of long-term debt and capital leases was a result of the repayment of commercial paper borrowings used to finance a portion of our acquisition of Mactac in August 2016 using senior notes issued in March 2017. Refer to “Borrowings and Repayment of Debt” for more information.</w:t>
      </w:r>
    </w:p>
    <w:p>
      <w:pPr>
        <w:spacing w:after="0" w:line="18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increase in operational working capital, as a percentage of annualized net sales, reconciled with working capital below, of 13.2% in the first nine months of 2017 compared to 12.7% in the first nine months of 2016 was primarily the result of the impact of acquisitions. Our objective is to minimize our investment in operational working capital, as a percentage of annualized net sales, to maximize cash flow and return on investment.</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220" w:type="dxa"/>
            <w:vAlign w:val="bottom"/>
          </w:tcPr>
          <w:p>
            <w:pPr>
              <w:spacing w:after="0"/>
              <w:rPr>
                <w:sz w:val="20"/>
                <w:szCs w:val="20"/>
                <w:color w:val="auto"/>
              </w:rPr>
            </w:pPr>
          </w:p>
        </w:tc>
        <w:tc>
          <w:tcPr>
            <w:tcW w:w="1060" w:type="dxa"/>
            <w:vAlign w:val="bottom"/>
            <w:tcBorders>
              <w:bottom w:val="single" w:sz="8" w:color="auto"/>
            </w:tcBorders>
          </w:tcPr>
          <w:p>
            <w:pPr>
              <w:spacing w:after="0"/>
              <w:rPr>
                <w:sz w:val="20"/>
                <w:szCs w:val="20"/>
                <w:color w:val="auto"/>
              </w:rPr>
            </w:pPr>
          </w:p>
        </w:tc>
        <w:tc>
          <w:tcPr>
            <w:tcW w:w="2140" w:type="dxa"/>
            <w:vAlign w:val="bottom"/>
            <w:tcBorders>
              <w:bottom w:val="single" w:sz="8" w:color="auto"/>
            </w:tcBorders>
            <w:gridSpan w:val="2"/>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Nine Months Ended</w:t>
            </w:r>
          </w:p>
        </w:tc>
        <w:tc>
          <w:tcPr>
            <w:tcW w:w="1000" w:type="dxa"/>
            <w:vAlign w:val="bottom"/>
            <w:tcBorders>
              <w:bottom w:val="single" w:sz="8" w:color="auto"/>
            </w:tcBorders>
          </w:tcPr>
          <w:p>
            <w:pPr>
              <w:spacing w:after="0"/>
              <w:rPr>
                <w:sz w:val="20"/>
                <w:szCs w:val="20"/>
                <w:color w:val="auto"/>
              </w:rPr>
            </w:pPr>
          </w:p>
        </w:tc>
      </w:tr>
      <w:tr>
        <w:trPr>
          <w:trHeight w:val="210"/>
        </w:trPr>
        <w:tc>
          <w:tcPr>
            <w:tcW w:w="72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(Dollars in millions)</w:t>
            </w:r>
          </w:p>
        </w:tc>
        <w:tc>
          <w:tcPr>
            <w:tcW w:w="2340" w:type="dxa"/>
            <w:vAlign w:val="bottom"/>
            <w:tcBorders>
              <w:bottom w:val="single" w:sz="8" w:color="auto"/>
            </w:tcBorders>
            <w:gridSpan w:val="2"/>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September 30, 2017</w:t>
            </w:r>
          </w:p>
        </w:tc>
        <w:tc>
          <w:tcPr>
            <w:tcW w:w="1860" w:type="dxa"/>
            <w:vAlign w:val="bottom"/>
            <w:tcBorders>
              <w:bottom w:val="single" w:sz="8" w:color="auto"/>
            </w:tcBorders>
            <w:gridSpan w:val="2"/>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October 1, 2016</w:t>
            </w:r>
          </w:p>
        </w:tc>
      </w:tr>
      <w:tr>
        <w:trPr>
          <w:trHeight w:val="210"/>
        </w:trPr>
        <w:tc>
          <w:tcPr>
            <w:tcW w:w="7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A) Working capital (deficit)</w:t>
            </w:r>
          </w:p>
        </w:tc>
        <w:tc>
          <w:tcPr>
            <w:tcW w:w="10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ind w:right="430"/>
              <w:spacing w:after="0"/>
              <w:rPr>
                <w:sz w:val="20"/>
                <w:szCs w:val="20"/>
                <w:color w:val="auto"/>
              </w:rPr>
            </w:pPr>
            <w:r>
              <w:rPr>
                <w:rFonts w:ascii="Times New Roman" w:cs="Times New Roman" w:eastAsia="Times New Roman" w:hAnsi="Times New Roman"/>
                <w:sz w:val="18"/>
                <w:szCs w:val="18"/>
                <w:color w:val="auto"/>
              </w:rPr>
              <w:t>260.0</w:t>
            </w:r>
          </w:p>
        </w:tc>
        <w:tc>
          <w:tcPr>
            <w:tcW w:w="86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(42.5)</w:t>
            </w:r>
          </w:p>
        </w:tc>
      </w:tr>
      <w:tr>
        <w:trPr>
          <w:trHeight w:val="216"/>
        </w:trPr>
        <w:tc>
          <w:tcPr>
            <w:tcW w:w="7220" w:type="dxa"/>
            <w:vAlign w:val="bottom"/>
          </w:tcPr>
          <w:p>
            <w:pPr>
              <w:spacing w:after="0"/>
              <w:rPr>
                <w:sz w:val="20"/>
                <w:szCs w:val="20"/>
                <w:color w:val="auto"/>
              </w:rPr>
            </w:pPr>
            <w:r>
              <w:rPr>
                <w:rFonts w:ascii="Times New Roman" w:cs="Times New Roman" w:eastAsia="Times New Roman" w:hAnsi="Times New Roman"/>
                <w:sz w:val="18"/>
                <w:szCs w:val="18"/>
                <w:color w:val="auto"/>
              </w:rPr>
              <w:t>Reconciling items:</w:t>
            </w:r>
          </w:p>
        </w:tc>
        <w:tc>
          <w:tcPr>
            <w:tcW w:w="10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216"/>
        </w:trPr>
        <w:tc>
          <w:tcPr>
            <w:tcW w:w="72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06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rPr>
              <w:t>(232.3)</w:t>
            </w:r>
          </w:p>
        </w:tc>
        <w:tc>
          <w:tcPr>
            <w:tcW w:w="86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(189.4)</w:t>
            </w:r>
          </w:p>
        </w:tc>
      </w:tr>
      <w:tr>
        <w:trPr>
          <w:trHeight w:val="216"/>
        </w:trPr>
        <w:tc>
          <w:tcPr>
            <w:tcW w:w="72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Assets held for sale</w:t>
            </w:r>
          </w:p>
        </w:tc>
        <w:tc>
          <w:tcPr>
            <w:tcW w:w="1060" w:type="dxa"/>
            <w:vAlign w:val="bottom"/>
          </w:tcPr>
          <w:p>
            <w:pPr>
              <w:spacing w:after="0"/>
              <w:rPr>
                <w:sz w:val="18"/>
                <w:szCs w:val="18"/>
                <w:color w:val="auto"/>
              </w:rPr>
            </w:pPr>
          </w:p>
        </w:tc>
        <w:tc>
          <w:tcPr>
            <w:tcW w:w="1280" w:type="dxa"/>
            <w:vAlign w:val="bottom"/>
          </w:tcPr>
          <w:p>
            <w:pPr>
              <w:jc w:val="right"/>
              <w:ind w:right="370"/>
              <w:spacing w:after="0"/>
              <w:rPr>
                <w:sz w:val="20"/>
                <w:szCs w:val="20"/>
                <w:color w:val="auto"/>
              </w:rPr>
            </w:pPr>
            <w:r>
              <w:rPr>
                <w:rFonts w:ascii="Times New Roman" w:cs="Times New Roman" w:eastAsia="Times New Roman" w:hAnsi="Times New Roman"/>
                <w:sz w:val="18"/>
                <w:szCs w:val="18"/>
                <w:color w:val="auto"/>
              </w:rPr>
              <w:t>(6.8)</w:t>
            </w:r>
          </w:p>
        </w:tc>
        <w:tc>
          <w:tcPr>
            <w:tcW w:w="860" w:type="dxa"/>
            <w:vAlign w:val="bottom"/>
          </w:tcPr>
          <w:p>
            <w:pPr>
              <w:spacing w:after="0"/>
              <w:rPr>
                <w:sz w:val="18"/>
                <w:szCs w:val="18"/>
                <w:color w:val="auto"/>
              </w:rPr>
            </w:pPr>
          </w:p>
        </w:tc>
        <w:tc>
          <w:tcPr>
            <w:tcW w:w="10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(5.9)</w:t>
            </w:r>
          </w:p>
        </w:tc>
      </w:tr>
      <w:tr>
        <w:trPr>
          <w:trHeight w:val="216"/>
        </w:trPr>
        <w:tc>
          <w:tcPr>
            <w:tcW w:w="72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 current assets</w:t>
            </w:r>
          </w:p>
        </w:tc>
        <w:tc>
          <w:tcPr>
            <w:tcW w:w="106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rPr>
              <w:t>(239.4)</w:t>
            </w:r>
          </w:p>
        </w:tc>
        <w:tc>
          <w:tcPr>
            <w:tcW w:w="86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(183.3)</w:t>
            </w:r>
          </w:p>
        </w:tc>
      </w:tr>
      <w:tr>
        <w:trPr>
          <w:trHeight w:val="216"/>
        </w:trPr>
        <w:tc>
          <w:tcPr>
            <w:tcW w:w="72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Short-term borrowings and current portion of long-term debt and capital leases</w:t>
            </w:r>
          </w:p>
        </w:tc>
        <w:tc>
          <w:tcPr>
            <w:tcW w:w="1060" w:type="dxa"/>
            <w:vAlign w:val="bottom"/>
          </w:tcPr>
          <w:p>
            <w:pPr>
              <w:spacing w:after="0"/>
              <w:rPr>
                <w:sz w:val="18"/>
                <w:szCs w:val="18"/>
                <w:color w:val="auto"/>
              </w:rPr>
            </w:pPr>
          </w:p>
        </w:tc>
        <w:tc>
          <w:tcPr>
            <w:tcW w:w="1280" w:type="dxa"/>
            <w:vAlign w:val="bottom"/>
          </w:tcPr>
          <w:p>
            <w:pPr>
              <w:jc w:val="right"/>
              <w:ind w:right="430"/>
              <w:spacing w:after="0"/>
              <w:rPr>
                <w:sz w:val="20"/>
                <w:szCs w:val="20"/>
                <w:color w:val="auto"/>
              </w:rPr>
            </w:pPr>
            <w:r>
              <w:rPr>
                <w:rFonts w:ascii="Times New Roman" w:cs="Times New Roman" w:eastAsia="Times New Roman" w:hAnsi="Times New Roman"/>
                <w:sz w:val="18"/>
                <w:szCs w:val="18"/>
                <w:color w:val="auto"/>
              </w:rPr>
              <w:t>383.0</w:t>
            </w:r>
          </w:p>
        </w:tc>
        <w:tc>
          <w:tcPr>
            <w:tcW w:w="860" w:type="dxa"/>
            <w:vAlign w:val="bottom"/>
          </w:tcPr>
          <w:p>
            <w:pPr>
              <w:spacing w:after="0"/>
              <w:rPr>
                <w:sz w:val="18"/>
                <w:szCs w:val="18"/>
                <w:color w:val="auto"/>
              </w:rPr>
            </w:pPr>
          </w:p>
        </w:tc>
        <w:tc>
          <w:tcPr>
            <w:tcW w:w="100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587.6</w:t>
            </w:r>
          </w:p>
        </w:tc>
      </w:tr>
      <w:tr>
        <w:trPr>
          <w:trHeight w:val="216"/>
        </w:trPr>
        <w:tc>
          <w:tcPr>
            <w:tcW w:w="7220" w:type="dxa"/>
            <w:vAlign w:val="bottom"/>
            <w:tcBorders>
              <w:bottom w:val="single" w:sz="8" w:color="auto"/>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Accrued payroll and employee benefits and other current liabilities</w:t>
            </w:r>
          </w:p>
        </w:tc>
        <w:tc>
          <w:tcPr>
            <w:tcW w:w="106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ind w:right="430"/>
              <w:spacing w:after="0"/>
              <w:rPr>
                <w:sz w:val="20"/>
                <w:szCs w:val="20"/>
                <w:color w:val="auto"/>
              </w:rPr>
            </w:pPr>
            <w:r>
              <w:rPr>
                <w:rFonts w:ascii="Times New Roman" w:cs="Times New Roman" w:eastAsia="Times New Roman" w:hAnsi="Times New Roman"/>
                <w:sz w:val="18"/>
                <w:szCs w:val="18"/>
                <w:color w:val="auto"/>
              </w:rPr>
              <w:t>691.1</w:t>
            </w:r>
          </w:p>
        </w:tc>
        <w:tc>
          <w:tcPr>
            <w:tcW w:w="86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601.8</w:t>
            </w:r>
          </w:p>
        </w:tc>
      </w:tr>
      <w:tr>
        <w:trPr>
          <w:trHeight w:val="210"/>
        </w:trPr>
        <w:tc>
          <w:tcPr>
            <w:tcW w:w="72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B) Operational working capital</w:t>
            </w:r>
          </w:p>
        </w:tc>
        <w:tc>
          <w:tcPr>
            <w:tcW w:w="10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color w:val="auto"/>
              </w:rPr>
              <w:t>855.6</w:t>
            </w:r>
          </w:p>
        </w:tc>
        <w:tc>
          <w:tcPr>
            <w:tcW w:w="86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768.3</w:t>
            </w:r>
          </w:p>
        </w:tc>
      </w:tr>
      <w:tr>
        <w:trPr>
          <w:trHeight w:val="210"/>
        </w:trPr>
        <w:tc>
          <w:tcPr>
            <w:tcW w:w="722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C) Annualized net sales (year-to-date sales, divided by three and multiplied by four)</w:t>
            </w:r>
          </w:p>
        </w:tc>
        <w:tc>
          <w:tcPr>
            <w:tcW w:w="10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auto"/>
            </w:tcBorders>
            <w:shd w:val="clear" w:color="auto" w:fill="CCEEFF"/>
          </w:tcPr>
          <w:p>
            <w:pPr>
              <w:jc w:val="right"/>
              <w:ind w:right="430"/>
              <w:spacing w:after="0"/>
              <w:rPr>
                <w:sz w:val="20"/>
                <w:szCs w:val="20"/>
                <w:color w:val="auto"/>
              </w:rPr>
            </w:pPr>
            <w:r>
              <w:rPr>
                <w:rFonts w:ascii="Times New Roman" w:cs="Times New Roman" w:eastAsia="Times New Roman" w:hAnsi="Times New Roman"/>
                <w:sz w:val="18"/>
                <w:szCs w:val="18"/>
                <w:color w:val="auto"/>
              </w:rPr>
              <w:t>6,504.7</w:t>
            </w:r>
          </w:p>
        </w:tc>
        <w:tc>
          <w:tcPr>
            <w:tcW w:w="86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6,047.6</w:t>
            </w:r>
          </w:p>
        </w:tc>
      </w:tr>
      <w:tr>
        <w:trPr>
          <w:trHeight w:val="217"/>
        </w:trPr>
        <w:tc>
          <w:tcPr>
            <w:tcW w:w="72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Working capital (deficit), as a percentage of annualized net sales (A) ÷ (C)</w:t>
            </w:r>
          </w:p>
        </w:tc>
        <w:tc>
          <w:tcPr>
            <w:tcW w:w="106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4.0%</w:t>
            </w:r>
          </w:p>
        </w:tc>
        <w:tc>
          <w:tcPr>
            <w:tcW w:w="86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w:t>
            </w:r>
          </w:p>
        </w:tc>
      </w:tr>
      <w:tr>
        <w:trPr>
          <w:trHeight w:val="223"/>
        </w:trPr>
        <w:tc>
          <w:tcPr>
            <w:tcW w:w="722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Operational working capital, as a percentage of annualized net sales (B) ÷ (C)</w:t>
            </w:r>
          </w:p>
        </w:tc>
        <w:tc>
          <w:tcPr>
            <w:tcW w:w="106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13.2%</w:t>
            </w:r>
          </w:p>
        </w:tc>
        <w:tc>
          <w:tcPr>
            <w:tcW w:w="86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12.7%</w:t>
            </w:r>
          </w:p>
        </w:tc>
      </w:tr>
    </w:tbl>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Accounts Receivable Ratio</w:t>
      </w:r>
    </w:p>
    <w:p>
      <w:pPr>
        <w:spacing w:after="0" w:line="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average number of days sales outstanding, calculated using the three-quarter average trade accounts receivable balance divided by the average daily sales for the first nine months, was 64 days in the first nine months of 2017 and 63 days in the first nine months of 2016. The increase in the average number of days sales outstanding from the prior year primarily reflected the impact of acquisitions and the timing of collections.</w:t>
      </w:r>
    </w:p>
    <w:p>
      <w:pPr>
        <w:sectPr>
          <w:pgSz w:w="11900" w:h="16838" w:orient="portrait"/>
          <w:cols w:equalWidth="0" w:num="1">
            <w:col w:w="11420"/>
          </w:cols>
          <w:pgMar w:left="240" w:top="121" w:right="239" w:bottom="0" w:gutter="0" w:footer="0" w:header="0"/>
        </w:sectPr>
      </w:pP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Inventory Ratio</w:t>
      </w:r>
    </w:p>
    <w:p>
      <w:pPr>
        <w:sectPr>
          <w:pgSz w:w="11900" w:h="16838" w:orient="portrait"/>
          <w:cols w:equalWidth="0" w:num="1">
            <w:col w:w="11420"/>
          </w:cols>
          <w:pgMar w:left="240" w:top="121" w:right="239" w:bottom="0" w:gutter="0" w:footer="0" w:header="0"/>
          <w:type w:val="continuous"/>
        </w:sectPr>
      </w:pPr>
    </w:p>
    <w:bookmarkStart w:id="24" w:name="page25"/>
    <w:bookmarkEnd w:id="24"/>
    <w:p>
      <w:pPr>
        <w:jc w:val="both"/>
        <w:spacing w:after="0" w:line="266" w:lineRule="auto"/>
        <w:rPr>
          <w:sz w:val="20"/>
          <w:szCs w:val="20"/>
          <w:color w:val="auto"/>
        </w:rPr>
      </w:pPr>
      <w:r>
        <w:rPr>
          <w:rFonts w:ascii="Times New Roman" w:cs="Times New Roman" w:eastAsia="Times New Roman" w:hAnsi="Times New Roman"/>
          <w:sz w:val="18"/>
          <w:szCs w:val="18"/>
          <w:color w:val="auto"/>
        </w:rPr>
        <w:t>Average inventory turnover, calculated using the annualized cost of sales (cost of sales for the first nine months, divided by three and multiplied by four) divided by the three-quarter average inventory balance, was 7.8 in the first nine months of 2017 and 8.5 in the first nine months of 2016. The decrease in the current year average inventory turnover primarily reflected the impact of acquisitions and the timing of inventory purchases.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Accounts Payable Ratio</w:t>
      </w:r>
    </w:p>
    <w:p>
      <w:pPr>
        <w:spacing w:after="0" w:line="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average number of days payable outstanding, calculated using the three-quarter average accounts payable balance divided by the average daily cost of products sold for the first nine months, was 72 days in both the first nine months of 2017 and 2016.</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Capital Resources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Capital resources include cash flows from operations, cash and cash equivalents and debt financing. At September 30, 2017, we had cash and cash equivalents of approximately $232 million held in accounts at third-party financial institutions.</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Our cash balances are held in numerous locations throughout the world. At September 30, 2017, the majority of our cash and cash equivalents was held by our foreign subsidiaries.</w:t>
      </w:r>
    </w:p>
    <w:p>
      <w:pPr>
        <w:spacing w:after="0" w:line="16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w:anchor="page1">
        <w:r>
          <w:rPr>
            <w:rFonts w:ascii="Times New Roman" w:cs="Times New Roman" w:eastAsia="Times New Roman" w:hAnsi="Times New Roman"/>
            <w:sz w:val="18"/>
            <w:szCs w:val="18"/>
            <w:u w:val="single" w:color="auto"/>
            <w:color w:val="0000EE"/>
          </w:rPr>
          <w:t>Table of Contents</w:t>
        </w:r>
      </w:hyperlink>
    </w:p>
    <w:p>
      <w:pPr>
        <w:spacing w:after="0" w:line="225" w:lineRule="exact"/>
        <w:rPr>
          <w:sz w:val="20"/>
          <w:szCs w:val="20"/>
          <w:color w:val="auto"/>
        </w:rPr>
      </w:pPr>
    </w:p>
    <w:p>
      <w:pPr>
        <w:ind w:left="9340"/>
        <w:spacing w:after="0"/>
        <w:rPr>
          <w:sz w:val="20"/>
          <w:szCs w:val="20"/>
          <w:color w:val="auto"/>
        </w:rPr>
      </w:pPr>
      <w:r>
        <w:rPr>
          <w:rFonts w:ascii="Times New Roman" w:cs="Times New Roman" w:eastAsia="Times New Roman" w:hAnsi="Times New Roman"/>
          <w:sz w:val="17"/>
          <w:szCs w:val="17"/>
          <w:color w:val="auto"/>
        </w:rPr>
        <w:t>Avery Dennison Corporation</w:t>
      </w:r>
    </w:p>
    <w:p>
      <w:pPr>
        <w:spacing w:after="0" w:line="23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To meet U.S. cash requirements, we have several cost-effective liquidity options available. These options include borrowing funds at reasonable rates, including commercial paper, borrowings from foreign subsidiaries, and repatriating foreign earnings. However, if we were to repatriate incremental foreign earnings, we may be subject to additional taxes in the U.S.</w:t>
      </w:r>
    </w:p>
    <w:p>
      <w:pPr>
        <w:spacing w:after="0" w:line="176"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Our $700 million revolving credit facility (the “Revolver”) contains financial covenants requiring that we maintain specified ratios of total debt and interest expense in relation to certain measures of income. As of September 30, 2017 and December 31, 2016, we were in compliance with our financial covenants.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March 2017, we issued €500 million of senior notes, due March 2025. The senior notes bear an interest rate of 1.25% per year, payable annually in arrears.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Refer to Note 5, “Debt,” to the unaudited Condensed Consolidated Financial Statements for more information.</w:t>
      </w:r>
    </w:p>
    <w:p>
      <w:pPr>
        <w:spacing w:after="0" w:line="20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On October 2, 2017, subsequent to the end of the third quarter of 2017, we repaid $250 million of senior notes at maturity using commercial paper borrowings.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are currently in the process of amending the Revolver to, among other things, increase our borrowing capacity under our current agreement.</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are exposed to financial market risk resulting from changes in interest and foreign currency rates, and to possible liquidity and credit risks of our counterparties.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Capital from Debt</w:t>
      </w:r>
    </w:p>
    <w:p>
      <w:pPr>
        <w:spacing w:after="0" w:line="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total debt increased by approximately $389 million in the first nine months of 2017 to $1.68 billion, primarily reflecting the issuance of senior notes in March 2017. Refer to “Financing Activities” above for more information.</w:t>
      </w:r>
    </w:p>
    <w:p>
      <w:pPr>
        <w:spacing w:after="0" w:line="18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Credit ratings are a significant factor in our ability to raise short- and long-term financing. The credit ratings assigned to us also impact the interest rates paid and our access to commercial paper, credit facilities, and other borrowings. A downgrade of our short-term credit ratings could impact our ability to access the commercial paper markets. If our access to commercial paper markets were to become limited, the Revolver and our other credit facilities would be available to meet our short-term funding requirements, if necessary. When determining a credit rating, we believe that rating agencies primarily consider our competitive position, business outlook, consistency of cash flows, debt level and liquidity, geographic dispersion and management team. We remain committed to maintaining an investment grade rating.</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Off-Balance Sheet Arrangements, Contractual Obligations, and Other Matters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Refer to Note 15, “Commitments and Contingencies,” to the unaudited Condensed Consolidated Financial Statements.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RECENT ACCOUNTING REQUIREMENTS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Refer to Note 17, “Recent Accounting Requirements,” to the unaudited Condensed Consolidated Financial Statements.</w:t>
      </w:r>
    </w:p>
    <w:p>
      <w:pPr>
        <w:spacing w:after="0" w:line="22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w:anchor="page1">
        <w:r>
          <w:rPr>
            <w:rFonts w:ascii="Times New Roman" w:cs="Times New Roman" w:eastAsia="Times New Roman" w:hAnsi="Times New Roman"/>
            <w:sz w:val="18"/>
            <w:szCs w:val="18"/>
            <w:u w:val="single" w:color="auto"/>
            <w:color w:val="0000EE"/>
          </w:rPr>
          <w:t>Table of Contents</w:t>
        </w:r>
      </w:hyperlink>
    </w:p>
    <w:p>
      <w:pPr>
        <w:spacing w:after="0" w:line="22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Avery Dennison Corporation</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22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There have been no material changes to the information provided in Part II, Item 7A of our Annual Report on Form 10-K for the fiscal year ended December 31, 2016.</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Evaluation of Disclosure Controls and Procedures</w:t>
      </w:r>
    </w:p>
    <w:p>
      <w:pPr>
        <w:sectPr>
          <w:pgSz w:w="11900" w:h="16838" w:orient="portrait"/>
          <w:cols w:equalWidth="0" w:num="1">
            <w:col w:w="11420"/>
          </w:cols>
          <w:pgMar w:left="240" w:top="121" w:right="239" w:bottom="0" w:gutter="0" w:footer="0" w:header="0"/>
        </w:sectPr>
      </w:pPr>
    </w:p>
    <w:bookmarkStart w:id="25" w:name="page26"/>
    <w:bookmarkEnd w:id="25"/>
    <w:p>
      <w:pPr>
        <w:jc w:val="both"/>
        <w:spacing w:after="0" w:line="261" w:lineRule="auto"/>
        <w:rPr>
          <w:sz w:val="20"/>
          <w:szCs w:val="20"/>
          <w:color w:val="auto"/>
        </w:rPr>
      </w:pPr>
      <w:r>
        <w:rPr>
          <w:rFonts w:ascii="Times New Roman" w:cs="Times New Roman" w:eastAsia="Times New Roman" w:hAnsi="Times New Roman"/>
          <w:sz w:val="18"/>
          <w:szCs w:val="18"/>
          <w:color w:val="auto"/>
        </w:rPr>
        <w:t>We maintain disclosure controls and procedures (as defined in Exchange Act Rules 13a-15(f)) that are designed to ensure that information required to be disclosed in our Exchange Act reports is recorded, processed, summarized and reported within the time periods specified in the rules and forms of the SEC, and that such information is accumulated and communicated to our management, including our Chief Executive Officer and Chief Financial Officer, as appropriate, to allow timely decisions regarding the required disclosure.</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designing and evaluating the disclosure controls and procedures, we recognize that any controls and procedures, no matter how well designed and operated, can provide only reasonable assurance of achieving the desired control objectives, and management necessarily is required to apply its judgment in evaluating the cost-benefit relationship of possible controls and procedures.</w:t>
      </w:r>
    </w:p>
    <w:p>
      <w:pPr>
        <w:spacing w:after="0" w:line="17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Our disclosure controls system is based upon a global chain of financial and general business reporting lines that converge in our headquarters in Glendale, California. As required by SEC Rule 13a-15(b), we carried out an evaluation, under the supervision and with the participation of our management, including our Chief Executive Officer and Chief Financial Officer, of the effectiveness of the design and operation of our disclosure controls and procedures as of the end of the quarter covered by this report. Based on the foregoing, our Chief Executive Officer and Chief Financial Officer have concluded that our disclosure controls and procedures were effective as of such time to provide reasonable assurance that information was recorded, processed, summarized and reported within the time periods specified in the SEC’s rules and forms, and that such information was accumulated and communicated to our management, including our Chief Executive Officer and Chief Financial Officer, as appropriate, to allow timely decisions regarding the required disclosure.</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periodically assess our internal control environment. During 2014, we began a phased implementation of a new transactional system in our Retail Branding and Information Solutions reportable segment that is expected to continue through 2021. Processes affected by this implementation include order management, pricing, shipping, general accounting, manufacturing and planning. Where appropriate, we are reviewing related internal controls and making changes. Other than this implementation, there have been no changes in our internal control over financial reporting during the most recent fiscal quarter that have materially affected, or are reasonably likely to materially affect, our internal control over financial reporting. We are currently in the process of reviewing our internal control structure related to the 2017 Acquisitions. We will make any necessary changes as we integrate the 2017 Acquisitions into our overall process of internal control over financial reporting.</w:t>
      </w:r>
    </w:p>
    <w:p>
      <w:pPr>
        <w:spacing w:after="0" w:line="18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w:anchor="page1">
        <w:r>
          <w:rPr>
            <w:rFonts w:ascii="Times New Roman" w:cs="Times New Roman" w:eastAsia="Times New Roman" w:hAnsi="Times New Roman"/>
            <w:sz w:val="18"/>
            <w:szCs w:val="18"/>
            <w:u w:val="single" w:color="auto"/>
            <w:color w:val="0000EE"/>
          </w:rPr>
          <w:t>Table of Contents</w:t>
        </w:r>
      </w:hyperlink>
    </w:p>
    <w:p>
      <w:pPr>
        <w:spacing w:after="0" w:line="22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Avery Dennison Corporation</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II. OTHER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22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Refer to “Legal Proceedings” in Note 15, “Commitments and Contingencies,” to the unaudited Condensed Consolidated Financial Statements in Part 1, Item 1.</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22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There have been no material changes to the risk factors included in Part I, Item 1A, of our Annual Report on Form 10-K for the fiscal year ended December 31, 2016.</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229" w:lineRule="exact"/>
        <w:rPr>
          <w:sz w:val="20"/>
          <w:szCs w:val="20"/>
          <w:color w:val="auto"/>
        </w:rPr>
      </w:pPr>
    </w:p>
    <w:p>
      <w:pPr>
        <w:ind w:left="660" w:hanging="652"/>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Applicable</w:t>
      </w:r>
    </w:p>
    <w:p>
      <w:pPr>
        <w:spacing w:after="0" w:line="225"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Applicable</w:t>
      </w:r>
    </w:p>
    <w:p>
      <w:pPr>
        <w:spacing w:after="0" w:line="225"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Repurchases of Equity Securities by Issuer</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Repurchases by us or our “affiliated purchasers” (as defined in Rule 10b-18(a)(3) of the Exchange Act) of registered equity securities in the three fiscal months of the third quarter of 2017 are listed in the table below. Repurchased shares may be reissued under our stock option and incentive plan or used for other corporate purposes.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40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380" w:type="dxa"/>
            <w:vAlign w:val="bottom"/>
          </w:tcPr>
          <w:p>
            <w:pPr>
              <w:jc w:val="right"/>
              <w:ind w:right="215"/>
              <w:spacing w:after="0"/>
              <w:rPr>
                <w:sz w:val="20"/>
                <w:szCs w:val="20"/>
                <w:color w:val="auto"/>
              </w:rPr>
            </w:pPr>
            <w:r>
              <w:rPr>
                <w:rFonts w:ascii="Times New Roman" w:cs="Times New Roman" w:eastAsia="Times New Roman" w:hAnsi="Times New Roman"/>
                <w:sz w:val="18"/>
                <w:szCs w:val="18"/>
                <w:b w:val="1"/>
                <w:bCs w:val="1"/>
                <w:color w:val="auto"/>
              </w:rPr>
              <w:t>Total number of shares</w:t>
            </w:r>
          </w:p>
        </w:tc>
        <w:tc>
          <w:tcPr>
            <w:tcW w:w="230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Approximate dollar</w:t>
            </w:r>
          </w:p>
        </w:tc>
      </w:tr>
      <w:tr>
        <w:trPr>
          <w:trHeight w:val="216"/>
        </w:trPr>
        <w:tc>
          <w:tcPr>
            <w:tcW w:w="3400" w:type="dxa"/>
            <w:vAlign w:val="bottom"/>
          </w:tcPr>
          <w:p>
            <w:pPr>
              <w:spacing w:after="0"/>
              <w:rPr>
                <w:sz w:val="18"/>
                <w:szCs w:val="18"/>
                <w:color w:val="auto"/>
              </w:rPr>
            </w:pPr>
          </w:p>
        </w:tc>
        <w:tc>
          <w:tcPr>
            <w:tcW w:w="1920" w:type="dxa"/>
            <w:vAlign w:val="bottom"/>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Total number</w:t>
            </w:r>
          </w:p>
        </w:tc>
        <w:tc>
          <w:tcPr>
            <w:tcW w:w="380" w:type="dxa"/>
            <w:vAlign w:val="bottom"/>
          </w:tcPr>
          <w:p>
            <w:pPr>
              <w:spacing w:after="0"/>
              <w:rPr>
                <w:sz w:val="18"/>
                <w:szCs w:val="18"/>
                <w:color w:val="auto"/>
              </w:rPr>
            </w:pPr>
          </w:p>
        </w:tc>
        <w:tc>
          <w:tcPr>
            <w:tcW w:w="1040" w:type="dxa"/>
            <w:vAlign w:val="bottom"/>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Average</w:t>
            </w:r>
          </w:p>
        </w:tc>
        <w:tc>
          <w:tcPr>
            <w:tcW w:w="2380" w:type="dxa"/>
            <w:vAlign w:val="bottom"/>
          </w:tcPr>
          <w:p>
            <w:pPr>
              <w:jc w:val="right"/>
              <w:ind w:right="175"/>
              <w:spacing w:after="0"/>
              <w:rPr>
                <w:sz w:val="20"/>
                <w:szCs w:val="20"/>
                <w:color w:val="auto"/>
              </w:rPr>
            </w:pPr>
            <w:r>
              <w:rPr>
                <w:rFonts w:ascii="Times New Roman" w:cs="Times New Roman" w:eastAsia="Times New Roman" w:hAnsi="Times New Roman"/>
                <w:sz w:val="18"/>
                <w:szCs w:val="18"/>
                <w:b w:val="1"/>
                <w:bCs w:val="1"/>
                <w:color w:val="auto"/>
              </w:rPr>
              <w:t>purchased as part of</w:t>
            </w:r>
          </w:p>
        </w:tc>
        <w:tc>
          <w:tcPr>
            <w:tcW w:w="230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value of shares that may</w:t>
            </w:r>
          </w:p>
        </w:tc>
      </w:tr>
      <w:tr>
        <w:trPr>
          <w:trHeight w:val="216"/>
        </w:trPr>
        <w:tc>
          <w:tcPr>
            <w:tcW w:w="3400" w:type="dxa"/>
            <w:vAlign w:val="bottom"/>
          </w:tcPr>
          <w:p>
            <w:pPr>
              <w:spacing w:after="0"/>
              <w:rPr>
                <w:sz w:val="18"/>
                <w:szCs w:val="18"/>
                <w:color w:val="auto"/>
              </w:rPr>
            </w:pPr>
          </w:p>
        </w:tc>
        <w:tc>
          <w:tcPr>
            <w:tcW w:w="1920" w:type="dxa"/>
            <w:vAlign w:val="bottom"/>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of shares</w:t>
            </w:r>
          </w:p>
        </w:tc>
        <w:tc>
          <w:tcPr>
            <w:tcW w:w="1420" w:type="dxa"/>
            <w:vAlign w:val="bottom"/>
            <w:gridSpan w:val="2"/>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price paid</w:t>
            </w:r>
          </w:p>
        </w:tc>
        <w:tc>
          <w:tcPr>
            <w:tcW w:w="2380" w:type="dxa"/>
            <w:vAlign w:val="bottom"/>
          </w:tcPr>
          <w:p>
            <w:pPr>
              <w:jc w:val="right"/>
              <w:ind w:right="175"/>
              <w:spacing w:after="0"/>
              <w:rPr>
                <w:sz w:val="20"/>
                <w:szCs w:val="20"/>
                <w:color w:val="auto"/>
              </w:rPr>
            </w:pPr>
            <w:r>
              <w:rPr>
                <w:rFonts w:ascii="Times New Roman" w:cs="Times New Roman" w:eastAsia="Times New Roman" w:hAnsi="Times New Roman"/>
                <w:sz w:val="18"/>
                <w:szCs w:val="18"/>
                <w:b w:val="1"/>
                <w:bCs w:val="1"/>
                <w:color w:val="auto"/>
              </w:rPr>
              <w:t>publicly announced</w:t>
            </w:r>
          </w:p>
        </w:tc>
        <w:tc>
          <w:tcPr>
            <w:tcW w:w="230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yet be purchased under</w:t>
            </w:r>
          </w:p>
        </w:tc>
      </w:tr>
      <w:tr>
        <w:trPr>
          <w:trHeight w:val="238"/>
        </w:trPr>
        <w:tc>
          <w:tcPr>
            <w:tcW w:w="3400" w:type="dxa"/>
            <w:vAlign w:val="bottom"/>
            <w:tcBorders>
              <w:bottom w:val="single" w:sz="8" w:color="auto"/>
            </w:tcBorders>
          </w:tcPr>
          <w:p>
            <w:pPr>
              <w:spacing w:after="0" w:line="239" w:lineRule="exact"/>
              <w:rPr>
                <w:sz w:val="20"/>
                <w:szCs w:val="20"/>
                <w:color w:val="auto"/>
              </w:rPr>
            </w:pPr>
            <w:r>
              <w:rPr>
                <w:rFonts w:ascii="Times New Roman" w:cs="Times New Roman" w:eastAsia="Times New Roman" w:hAnsi="Times New Roman"/>
                <w:sz w:val="18"/>
                <w:szCs w:val="18"/>
                <w:b w:val="1"/>
                <w:bCs w:val="1"/>
                <w:color w:val="auto"/>
              </w:rPr>
              <w:t>Period</w:t>
            </w:r>
            <w:r>
              <w:rPr>
                <w:rFonts w:ascii="Times New Roman" w:cs="Times New Roman" w:eastAsia="Times New Roman" w:hAnsi="Times New Roman"/>
                <w:sz w:val="23"/>
                <w:szCs w:val="23"/>
                <w:color w:val="auto"/>
                <w:vertAlign w:val="superscript"/>
              </w:rPr>
              <w:t>(1)</w:t>
            </w:r>
          </w:p>
        </w:tc>
        <w:tc>
          <w:tcPr>
            <w:tcW w:w="1920" w:type="dxa"/>
            <w:vAlign w:val="bottom"/>
            <w:tcBorders>
              <w:bottom w:val="single" w:sz="8" w:color="auto"/>
            </w:tcBorders>
          </w:tcPr>
          <w:p>
            <w:pPr>
              <w:jc w:val="right"/>
              <w:ind w:right="170"/>
              <w:spacing w:after="0" w:line="239" w:lineRule="exact"/>
              <w:rPr>
                <w:sz w:val="20"/>
                <w:szCs w:val="20"/>
                <w:color w:val="auto"/>
              </w:rPr>
            </w:pPr>
            <w:r>
              <w:rPr>
                <w:rFonts w:ascii="Times New Roman" w:cs="Times New Roman" w:eastAsia="Times New Roman" w:hAnsi="Times New Roman"/>
                <w:sz w:val="18"/>
                <w:szCs w:val="18"/>
                <w:b w:val="1"/>
                <w:bCs w:val="1"/>
                <w:color w:val="auto"/>
              </w:rPr>
              <w:t>purchased</w:t>
            </w:r>
            <w:r>
              <w:rPr>
                <w:rFonts w:ascii="Times New Roman" w:cs="Times New Roman" w:eastAsia="Times New Roman" w:hAnsi="Times New Roman"/>
                <w:sz w:val="23"/>
                <w:szCs w:val="23"/>
                <w:color w:val="auto"/>
                <w:vertAlign w:val="superscript"/>
              </w:rPr>
              <w:t>(2)</w:t>
            </w:r>
          </w:p>
        </w:tc>
        <w:tc>
          <w:tcPr>
            <w:tcW w:w="38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w w:val="99"/>
              </w:rPr>
              <w:t>per share</w:t>
            </w:r>
          </w:p>
        </w:tc>
        <w:tc>
          <w:tcPr>
            <w:tcW w:w="2380" w:type="dxa"/>
            <w:vAlign w:val="bottom"/>
            <w:tcBorders>
              <w:bottom w:val="single" w:sz="8" w:color="auto"/>
            </w:tcBorders>
          </w:tcPr>
          <w:p>
            <w:pPr>
              <w:jc w:val="right"/>
              <w:ind w:right="175"/>
              <w:spacing w:after="0" w:line="239" w:lineRule="exact"/>
              <w:rPr>
                <w:sz w:val="20"/>
                <w:szCs w:val="20"/>
                <w:color w:val="auto"/>
              </w:rPr>
            </w:pPr>
            <w:r>
              <w:rPr>
                <w:rFonts w:ascii="Times New Roman" w:cs="Times New Roman" w:eastAsia="Times New Roman" w:hAnsi="Times New Roman"/>
                <w:sz w:val="27"/>
                <w:szCs w:val="27"/>
                <w:b w:val="1"/>
                <w:bCs w:val="1"/>
                <w:color w:val="auto"/>
                <w:vertAlign w:val="subscript"/>
              </w:rPr>
              <w:t>plans</w:t>
            </w:r>
            <w:r>
              <w:rPr>
                <w:rFonts w:ascii="Times New Roman" w:cs="Times New Roman" w:eastAsia="Times New Roman" w:hAnsi="Times New Roman"/>
                <w:sz w:val="10"/>
                <w:szCs w:val="10"/>
                <w:color w:val="auto"/>
              </w:rPr>
              <w:t>(2)(3)</w:t>
            </w:r>
          </w:p>
        </w:tc>
        <w:tc>
          <w:tcPr>
            <w:tcW w:w="122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30"/>
              <w:spacing w:after="0" w:line="239" w:lineRule="exact"/>
              <w:rPr>
                <w:sz w:val="20"/>
                <w:szCs w:val="20"/>
                <w:color w:val="auto"/>
              </w:rPr>
            </w:pPr>
            <w:r>
              <w:rPr>
                <w:rFonts w:ascii="Times New Roman" w:cs="Times New Roman" w:eastAsia="Times New Roman" w:hAnsi="Times New Roman"/>
                <w:sz w:val="18"/>
                <w:szCs w:val="18"/>
                <w:b w:val="1"/>
                <w:bCs w:val="1"/>
                <w:color w:val="auto"/>
              </w:rPr>
              <w:t>the plans</w:t>
            </w:r>
            <w:r>
              <w:rPr>
                <w:rFonts w:ascii="Times New Roman" w:cs="Times New Roman" w:eastAsia="Times New Roman" w:hAnsi="Times New Roman"/>
                <w:sz w:val="23"/>
                <w:szCs w:val="23"/>
                <w:color w:val="auto"/>
                <w:vertAlign w:val="superscript"/>
              </w:rPr>
              <w:t>(4)</w:t>
            </w:r>
          </w:p>
        </w:tc>
      </w:tr>
      <w:tr>
        <w:trPr>
          <w:trHeight w:val="210"/>
        </w:trPr>
        <w:tc>
          <w:tcPr>
            <w:tcW w:w="3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July 2, 2017 – July 29, 2017</w:t>
            </w:r>
          </w:p>
        </w:tc>
        <w:tc>
          <w:tcPr>
            <w:tcW w:w="192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19.0</w:t>
            </w: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91.71</w:t>
            </w:r>
          </w:p>
        </w:tc>
        <w:tc>
          <w:tcPr>
            <w:tcW w:w="2380" w:type="dxa"/>
            <w:vAlign w:val="bottom"/>
            <w:shd w:val="clear" w:color="auto" w:fill="CCEEFF"/>
          </w:tcPr>
          <w:p>
            <w:pPr>
              <w:jc w:val="right"/>
              <w:ind w:right="175"/>
              <w:spacing w:after="0"/>
              <w:rPr>
                <w:sz w:val="20"/>
                <w:szCs w:val="20"/>
                <w:color w:val="auto"/>
              </w:rPr>
            </w:pPr>
            <w:r>
              <w:rPr>
                <w:rFonts w:ascii="Times New Roman" w:cs="Times New Roman" w:eastAsia="Times New Roman" w:hAnsi="Times New Roman"/>
                <w:sz w:val="18"/>
                <w:szCs w:val="18"/>
                <w:color w:val="auto"/>
              </w:rPr>
              <w:t>19.0</w:t>
            </w:r>
          </w:p>
        </w:tc>
        <w:tc>
          <w:tcPr>
            <w:tcW w:w="12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r>
      <w:tr>
        <w:trPr>
          <w:trHeight w:val="216"/>
        </w:trPr>
        <w:tc>
          <w:tcPr>
            <w:tcW w:w="3400" w:type="dxa"/>
            <w:vAlign w:val="bottom"/>
          </w:tcPr>
          <w:p>
            <w:pPr>
              <w:spacing w:after="0"/>
              <w:rPr>
                <w:sz w:val="20"/>
                <w:szCs w:val="20"/>
                <w:color w:val="auto"/>
              </w:rPr>
            </w:pPr>
            <w:r>
              <w:rPr>
                <w:rFonts w:ascii="Times New Roman" w:cs="Times New Roman" w:eastAsia="Times New Roman" w:hAnsi="Times New Roman"/>
                <w:sz w:val="18"/>
                <w:szCs w:val="18"/>
                <w:color w:val="auto"/>
              </w:rPr>
              <w:t>July 30, 2017 – August 26, 2017</w:t>
            </w:r>
          </w:p>
        </w:tc>
        <w:tc>
          <w:tcPr>
            <w:tcW w:w="192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136.5</w:t>
            </w:r>
          </w:p>
        </w:tc>
        <w:tc>
          <w:tcPr>
            <w:tcW w:w="380" w:type="dxa"/>
            <w:vAlign w:val="bottom"/>
          </w:tcPr>
          <w:p>
            <w:pPr>
              <w:spacing w:after="0"/>
              <w:rPr>
                <w:sz w:val="18"/>
                <w:szCs w:val="18"/>
                <w:color w:val="auto"/>
              </w:rPr>
            </w:pPr>
          </w:p>
        </w:tc>
        <w:tc>
          <w:tcPr>
            <w:tcW w:w="104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93.13</w:t>
            </w:r>
          </w:p>
        </w:tc>
        <w:tc>
          <w:tcPr>
            <w:tcW w:w="2380" w:type="dxa"/>
            <w:vAlign w:val="bottom"/>
          </w:tcPr>
          <w:p>
            <w:pPr>
              <w:jc w:val="right"/>
              <w:ind w:right="175"/>
              <w:spacing w:after="0"/>
              <w:rPr>
                <w:sz w:val="20"/>
                <w:szCs w:val="20"/>
                <w:color w:val="auto"/>
              </w:rPr>
            </w:pPr>
            <w:r>
              <w:rPr>
                <w:rFonts w:ascii="Times New Roman" w:cs="Times New Roman" w:eastAsia="Times New Roman" w:hAnsi="Times New Roman"/>
                <w:sz w:val="18"/>
                <w:szCs w:val="18"/>
                <w:color w:val="auto"/>
              </w:rPr>
              <w:t>136.5</w:t>
            </w:r>
          </w:p>
        </w:tc>
        <w:tc>
          <w:tcPr>
            <w:tcW w:w="122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16"/>
        </w:trPr>
        <w:tc>
          <w:tcPr>
            <w:tcW w:w="340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August 27, 2017 – September 30, 2017</w:t>
            </w:r>
          </w:p>
        </w:tc>
        <w:tc>
          <w:tcPr>
            <w:tcW w:w="192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212.6</w:t>
            </w:r>
          </w:p>
        </w:tc>
        <w:tc>
          <w:tcPr>
            <w:tcW w:w="38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94.57</w:t>
            </w:r>
          </w:p>
        </w:tc>
        <w:tc>
          <w:tcPr>
            <w:tcW w:w="2380" w:type="dxa"/>
            <w:vAlign w:val="bottom"/>
            <w:tcBorders>
              <w:bottom w:val="single" w:sz="8" w:color="auto"/>
            </w:tcBorders>
            <w:shd w:val="clear" w:color="auto" w:fill="CCEEFF"/>
          </w:tcPr>
          <w:p>
            <w:pPr>
              <w:jc w:val="right"/>
              <w:ind w:right="175"/>
              <w:spacing w:after="0"/>
              <w:rPr>
                <w:sz w:val="20"/>
                <w:szCs w:val="20"/>
                <w:color w:val="auto"/>
              </w:rPr>
            </w:pPr>
            <w:r>
              <w:rPr>
                <w:rFonts w:ascii="Times New Roman" w:cs="Times New Roman" w:eastAsia="Times New Roman" w:hAnsi="Times New Roman"/>
                <w:sz w:val="18"/>
                <w:szCs w:val="18"/>
                <w:color w:val="auto"/>
              </w:rPr>
              <w:t>212.6</w:t>
            </w:r>
          </w:p>
        </w:tc>
        <w:tc>
          <w:tcPr>
            <w:tcW w:w="122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spacing w:after="0"/>
              <w:rPr>
                <w:sz w:val="18"/>
                <w:szCs w:val="18"/>
                <w:color w:val="auto"/>
              </w:rPr>
            </w:pPr>
          </w:p>
        </w:tc>
      </w:tr>
      <w:tr>
        <w:trPr>
          <w:trHeight w:val="227"/>
        </w:trPr>
        <w:tc>
          <w:tcPr>
            <w:tcW w:w="340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192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368.1</w:t>
            </w: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93.89</w:t>
            </w:r>
          </w:p>
        </w:tc>
        <w:tc>
          <w:tcPr>
            <w:tcW w:w="2380" w:type="dxa"/>
            <w:vAlign w:val="bottom"/>
          </w:tcPr>
          <w:p>
            <w:pPr>
              <w:jc w:val="right"/>
              <w:ind w:right="175"/>
              <w:spacing w:after="0"/>
              <w:rPr>
                <w:sz w:val="20"/>
                <w:szCs w:val="20"/>
                <w:color w:val="auto"/>
              </w:rPr>
            </w:pPr>
            <w:r>
              <w:rPr>
                <w:rFonts w:ascii="Times New Roman" w:cs="Times New Roman" w:eastAsia="Times New Roman" w:hAnsi="Times New Roman"/>
                <w:sz w:val="18"/>
                <w:szCs w:val="18"/>
                <w:color w:val="auto"/>
              </w:rPr>
              <w:t>368.1</w:t>
            </w:r>
          </w:p>
        </w:tc>
        <w:tc>
          <w:tcPr>
            <w:tcW w:w="1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650.1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724662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183" w:lineRule="auto"/>
        <w:rPr>
          <w:sz w:val="20"/>
          <w:szCs w:val="20"/>
          <w:color w:val="auto"/>
        </w:rPr>
      </w:pPr>
      <w:r>
        <w:rPr>
          <w:rFonts w:ascii="Times New Roman" w:cs="Times New Roman" w:eastAsia="Times New Roman" w:hAnsi="Times New Roman"/>
          <w:sz w:val="23"/>
          <w:szCs w:val="23"/>
          <w:color w:val="auto"/>
          <w:vertAlign w:val="superscript"/>
        </w:rPr>
        <w:t>(1)</w:t>
      </w:r>
      <w:r>
        <w:rPr>
          <w:rFonts w:ascii="Times New Roman" w:cs="Times New Roman" w:eastAsia="Times New Roman" w:hAnsi="Times New Roman"/>
          <w:sz w:val="16"/>
          <w:szCs w:val="16"/>
          <w:color w:val="auto"/>
        </w:rPr>
        <w:t>The periods shown are our fiscal periods during the thirteen-week quarter ended September 30, 2017.</w:t>
      </w:r>
    </w:p>
    <w:p>
      <w:pPr>
        <w:spacing w:after="0" w:line="184" w:lineRule="auto"/>
        <w:rPr>
          <w:sz w:val="20"/>
          <w:szCs w:val="20"/>
          <w:color w:val="auto"/>
        </w:rPr>
      </w:pPr>
      <w:r>
        <w:rPr>
          <w:rFonts w:ascii="Times New Roman" w:cs="Times New Roman" w:eastAsia="Times New Roman" w:hAnsi="Times New Roman"/>
          <w:sz w:val="23"/>
          <w:szCs w:val="23"/>
          <w:color w:val="auto"/>
          <w:vertAlign w:val="superscript"/>
        </w:rPr>
        <w:t>(2)</w:t>
      </w:r>
      <w:r>
        <w:rPr>
          <w:rFonts w:ascii="Times New Roman" w:cs="Times New Roman" w:eastAsia="Times New Roman" w:hAnsi="Times New Roman"/>
          <w:sz w:val="16"/>
          <w:szCs w:val="16"/>
          <w:color w:val="auto"/>
        </w:rPr>
        <w:t>Shares in thousands.</w:t>
      </w:r>
    </w:p>
    <w:p>
      <w:pPr>
        <w:spacing w:after="0" w:line="1" w:lineRule="exact"/>
        <w:rPr>
          <w:sz w:val="20"/>
          <w:szCs w:val="20"/>
          <w:color w:val="auto"/>
        </w:rPr>
      </w:pPr>
    </w:p>
    <w:p>
      <w:pPr>
        <w:jc w:val="both"/>
        <w:ind w:left="180" w:hanging="167"/>
        <w:spacing w:after="0" w:line="230" w:lineRule="auto"/>
        <w:rPr>
          <w:sz w:val="20"/>
          <w:szCs w:val="20"/>
          <w:color w:val="auto"/>
        </w:rPr>
      </w:pPr>
      <w:r>
        <w:rPr>
          <w:rFonts w:ascii="Times New Roman" w:cs="Times New Roman" w:eastAsia="Times New Roman" w:hAnsi="Times New Roman"/>
          <w:sz w:val="23"/>
          <w:szCs w:val="23"/>
          <w:color w:val="auto"/>
          <w:vertAlign w:val="superscript"/>
        </w:rPr>
        <w:t>(3)</w:t>
      </w:r>
      <w:r>
        <w:rPr>
          <w:rFonts w:ascii="Times New Roman" w:cs="Times New Roman" w:eastAsia="Times New Roman" w:hAnsi="Times New Roman"/>
          <w:sz w:val="16"/>
          <w:szCs w:val="16"/>
          <w:color w:val="auto"/>
        </w:rPr>
        <w:t>In April 2017, our Board authorized the repurchase of shares of our common stock with a fair market value of up to $650 million, exclusive of any fees, commissions or other expenses related to such purchases, and in addition to the amount outstanding under our previous Board authorization. Our Board repurchase authorizations remain in effect until shares in the respective amount authorized thereunder have been repurchased.</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23"/>
          <w:szCs w:val="23"/>
          <w:color w:val="auto"/>
          <w:vertAlign w:val="superscript"/>
        </w:rPr>
        <w:t>(4)</w:t>
      </w:r>
      <w:r>
        <w:rPr>
          <w:rFonts w:ascii="Times New Roman" w:cs="Times New Roman" w:eastAsia="Times New Roman" w:hAnsi="Times New Roman"/>
          <w:sz w:val="16"/>
          <w:szCs w:val="16"/>
          <w:color w:val="auto"/>
        </w:rPr>
        <w:t>Dollars in millions.</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DEFAULTS UPON SENIOR SECURITIES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ectPr>
          <w:pgSz w:w="11900" w:h="16838" w:orient="portrait"/>
          <w:cols w:equalWidth="0" w:num="1">
            <w:col w:w="11420"/>
          </w:cols>
          <w:pgMar w:left="240" w:top="121" w:right="239" w:bottom="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25" w:lineRule="exact"/>
        <w:rPr>
          <w:sz w:val="20"/>
          <w:szCs w:val="20"/>
          <w:color w:val="auto"/>
        </w:rPr>
      </w:pPr>
    </w:p>
    <w:p>
      <w:pPr>
        <w:ind w:left="11240"/>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7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120" w:type="dxa"/>
            <w:vAlign w:val="bottom"/>
            <w:gridSpan w:val="2"/>
          </w:tcPr>
          <w:p>
            <w:pPr>
              <w:spacing w:after="0"/>
              <w:rPr>
                <w:rFonts w:ascii="Times New Roman" w:cs="Times New Roman" w:eastAsia="Times New Roman" w:hAnsi="Times New Roman"/>
                <w:sz w:val="18"/>
                <w:szCs w:val="18"/>
                <w:color w:val="0000EE"/>
              </w:rPr>
            </w:pPr>
            <w:hyperlink w:anchor="page1">
              <w:r>
                <w:rPr>
                  <w:rFonts w:ascii="Times New Roman" w:cs="Times New Roman" w:eastAsia="Times New Roman" w:hAnsi="Times New Roman"/>
                  <w:sz w:val="18"/>
                  <w:szCs w:val="18"/>
                  <w:color w:val="0000EE"/>
                </w:rPr>
                <w:t>Table of Contents</w:t>
              </w:r>
            </w:hyperlink>
          </w:p>
        </w:tc>
        <w:tc>
          <w:tcPr>
            <w:tcW w:w="7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140" w:type="dxa"/>
            <w:vAlign w:val="bottom"/>
          </w:tcPr>
          <w:p>
            <w:pPr>
              <w:spacing w:after="0"/>
              <w:rPr>
                <w:sz w:val="17"/>
                <w:szCs w:val="17"/>
                <w:color w:val="auto"/>
              </w:rPr>
            </w:pPr>
          </w:p>
        </w:tc>
      </w:tr>
      <w:tr>
        <w:trPr>
          <w:trHeight w:val="453"/>
        </w:trPr>
        <w:tc>
          <w:tcPr>
            <w:tcW w:w="1280" w:type="dxa"/>
            <w:vAlign w:val="bottom"/>
            <w:tcBorders>
              <w:top w:val="single" w:sz="8" w:color="0000EE"/>
            </w:tcBorders>
          </w:tcPr>
          <w:p>
            <w:pPr>
              <w:spacing w:after="0"/>
              <w:rPr>
                <w:sz w:val="24"/>
                <w:szCs w:val="24"/>
                <w:color w:val="auto"/>
              </w:rPr>
            </w:pPr>
          </w:p>
        </w:tc>
        <w:tc>
          <w:tcPr>
            <w:tcW w:w="840" w:type="dxa"/>
            <w:vAlign w:val="bottom"/>
          </w:tcPr>
          <w:p>
            <w:pPr>
              <w:spacing w:after="0"/>
              <w:rPr>
                <w:sz w:val="24"/>
                <w:szCs w:val="24"/>
                <w:color w:val="auto"/>
              </w:rPr>
            </w:pPr>
          </w:p>
        </w:tc>
        <w:tc>
          <w:tcPr>
            <w:tcW w:w="7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Avery Dennison Corporation</w:t>
            </w:r>
          </w:p>
        </w:tc>
      </w:tr>
      <w:tr>
        <w:trPr>
          <w:trHeight w:val="432"/>
        </w:trPr>
        <w:tc>
          <w:tcPr>
            <w:tcW w:w="21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ITEM 6. EXHIBITS</w:t>
            </w:r>
          </w:p>
        </w:tc>
        <w:tc>
          <w:tcPr>
            <w:tcW w:w="7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140" w:type="dxa"/>
            <w:vAlign w:val="bottom"/>
          </w:tcPr>
          <w:p>
            <w:pPr>
              <w:spacing w:after="0"/>
              <w:rPr>
                <w:sz w:val="24"/>
                <w:szCs w:val="24"/>
                <w:color w:val="auto"/>
              </w:rPr>
            </w:pPr>
          </w:p>
        </w:tc>
      </w:tr>
      <w:tr>
        <w:trPr>
          <w:trHeight w:val="392"/>
        </w:trPr>
        <w:tc>
          <w:tcPr>
            <w:tcW w:w="2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Exhibit 31.1*</w:t>
            </w:r>
          </w:p>
        </w:tc>
        <w:tc>
          <w:tcPr>
            <w:tcW w:w="7200" w:type="dxa"/>
            <w:vAlign w:val="bottom"/>
            <w:tcBorders>
              <w:bottom w:val="single" w:sz="8" w:color="0000EE"/>
            </w:tcBorders>
            <w:gridSpan w:val="3"/>
          </w:tcPr>
          <w:p>
            <w:pPr>
              <w:spacing w:after="0"/>
              <w:rPr>
                <w:rFonts w:ascii="Times New Roman" w:cs="Times New Roman" w:eastAsia="Times New Roman" w:hAnsi="Times New Roman"/>
                <w:sz w:val="18"/>
                <w:szCs w:val="18"/>
                <w:color w:val="0000EE"/>
                <w:w w:val="99"/>
              </w:rPr>
            </w:pPr>
            <w:hyperlink w:anchor="page27">
              <w:r>
                <w:rPr>
                  <w:rFonts w:ascii="Times New Roman" w:cs="Times New Roman" w:eastAsia="Times New Roman" w:hAnsi="Times New Roman"/>
                  <w:sz w:val="18"/>
                  <w:szCs w:val="18"/>
                  <w:color w:val="0000EE"/>
                  <w:w w:val="99"/>
                </w:rPr>
                <w:t>Certification of Chief Executive Officer pursuant to Section 302 of the Sarbanes-Oxley Act of 2002</w:t>
              </w:r>
            </w:hyperlink>
          </w:p>
        </w:tc>
        <w:tc>
          <w:tcPr>
            <w:tcW w:w="2140" w:type="dxa"/>
            <w:vAlign w:val="bottom"/>
          </w:tcPr>
          <w:p>
            <w:pPr>
              <w:spacing w:after="0"/>
              <w:rPr>
                <w:sz w:val="24"/>
                <w:szCs w:val="24"/>
                <w:color w:val="auto"/>
              </w:rPr>
            </w:pPr>
          </w:p>
        </w:tc>
      </w:tr>
      <w:tr>
        <w:trPr>
          <w:trHeight w:val="196"/>
        </w:trPr>
        <w:tc>
          <w:tcPr>
            <w:tcW w:w="212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Exhibit 31.2*</w:t>
            </w:r>
          </w:p>
        </w:tc>
        <w:tc>
          <w:tcPr>
            <w:tcW w:w="7160" w:type="dxa"/>
            <w:vAlign w:val="bottom"/>
            <w:tcBorders>
              <w:bottom w:val="single" w:sz="8" w:color="0000EE"/>
            </w:tcBorders>
            <w:gridSpan w:val="2"/>
          </w:tcPr>
          <w:p>
            <w:pPr>
              <w:spacing w:after="0" w:line="196" w:lineRule="exact"/>
              <w:rPr>
                <w:rFonts w:ascii="Times New Roman" w:cs="Times New Roman" w:eastAsia="Times New Roman" w:hAnsi="Times New Roman"/>
                <w:sz w:val="18"/>
                <w:szCs w:val="18"/>
                <w:color w:val="0000EE"/>
              </w:rPr>
            </w:pPr>
            <w:hyperlink w:anchor="page28">
              <w:r>
                <w:rPr>
                  <w:rFonts w:ascii="Times New Roman" w:cs="Times New Roman" w:eastAsia="Times New Roman" w:hAnsi="Times New Roman"/>
                  <w:sz w:val="18"/>
                  <w:szCs w:val="18"/>
                  <w:color w:val="0000EE"/>
                </w:rPr>
                <w:t>Certification of Chief Financial Officer pursuant to Section 302 of the Sarbanes-Oxley Act of 2002</w:t>
              </w:r>
            </w:hyperlink>
          </w:p>
        </w:tc>
        <w:tc>
          <w:tcPr>
            <w:tcW w:w="2180" w:type="dxa"/>
            <w:vAlign w:val="bottom"/>
            <w:gridSpan w:val="2"/>
          </w:tcPr>
          <w:p>
            <w:pPr>
              <w:spacing w:after="0"/>
              <w:rPr>
                <w:sz w:val="17"/>
                <w:szCs w:val="17"/>
                <w:color w:val="auto"/>
              </w:rPr>
            </w:pPr>
          </w:p>
        </w:tc>
      </w:tr>
      <w:tr>
        <w:trPr>
          <w:trHeight w:val="196"/>
        </w:trPr>
        <w:tc>
          <w:tcPr>
            <w:tcW w:w="212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Exhibit 32.1**</w:t>
            </w:r>
          </w:p>
        </w:tc>
        <w:tc>
          <w:tcPr>
            <w:tcW w:w="7200" w:type="dxa"/>
            <w:vAlign w:val="bottom"/>
            <w:tcBorders>
              <w:bottom w:val="single" w:sz="8" w:color="0000EE"/>
            </w:tcBorders>
            <w:gridSpan w:val="3"/>
          </w:tcPr>
          <w:p>
            <w:pPr>
              <w:spacing w:after="0" w:line="196" w:lineRule="exact"/>
              <w:rPr>
                <w:rFonts w:ascii="Times New Roman" w:cs="Times New Roman" w:eastAsia="Times New Roman" w:hAnsi="Times New Roman"/>
                <w:sz w:val="18"/>
                <w:szCs w:val="18"/>
                <w:color w:val="0000EE"/>
                <w:w w:val="99"/>
              </w:rPr>
            </w:pPr>
            <w:hyperlink w:anchor="page29">
              <w:r>
                <w:rPr>
                  <w:rFonts w:ascii="Times New Roman" w:cs="Times New Roman" w:eastAsia="Times New Roman" w:hAnsi="Times New Roman"/>
                  <w:sz w:val="18"/>
                  <w:szCs w:val="18"/>
                  <w:color w:val="0000EE"/>
                  <w:w w:val="99"/>
                </w:rPr>
                <w:t>Certification of Chief Executive Officer pursuant to Section 906 of the Sarbanes-Oxley Act of 2002</w:t>
              </w:r>
            </w:hyperlink>
          </w:p>
        </w:tc>
        <w:tc>
          <w:tcPr>
            <w:tcW w:w="2140" w:type="dxa"/>
            <w:vAlign w:val="bottom"/>
          </w:tcPr>
          <w:p>
            <w:pPr>
              <w:spacing w:after="0"/>
              <w:rPr>
                <w:sz w:val="17"/>
                <w:szCs w:val="17"/>
                <w:color w:val="auto"/>
              </w:rPr>
            </w:pPr>
          </w:p>
        </w:tc>
      </w:tr>
      <w:tr>
        <w:trPr>
          <w:trHeight w:val="196"/>
        </w:trPr>
        <w:tc>
          <w:tcPr>
            <w:tcW w:w="212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Exhibit 32.2**</w:t>
            </w:r>
          </w:p>
        </w:tc>
        <w:tc>
          <w:tcPr>
            <w:tcW w:w="9340" w:type="dxa"/>
            <w:vAlign w:val="bottom"/>
            <w:gridSpan w:val="4"/>
          </w:tcPr>
          <w:p>
            <w:pPr>
              <w:spacing w:after="0" w:line="196" w:lineRule="exact"/>
              <w:rPr>
                <w:rFonts w:ascii="Times New Roman" w:cs="Times New Roman" w:eastAsia="Times New Roman" w:hAnsi="Times New Roman"/>
                <w:sz w:val="18"/>
                <w:szCs w:val="18"/>
                <w:color w:val="0000EE"/>
              </w:rPr>
            </w:pPr>
            <w:hyperlink w:anchor="page30">
              <w:r>
                <w:rPr>
                  <w:rFonts w:ascii="Times New Roman" w:cs="Times New Roman" w:eastAsia="Times New Roman" w:hAnsi="Times New Roman"/>
                  <w:sz w:val="18"/>
                  <w:szCs w:val="18"/>
                  <w:color w:val="0000EE"/>
                </w:rPr>
                <w:t>Certification of Chief Financial Officer pursuant to Section 906 of the Sarbanes-Oxley Act of 2002</w:t>
              </w:r>
            </w:hyperlink>
          </w:p>
        </w:tc>
      </w:tr>
      <w:tr>
        <w:trPr>
          <w:trHeight w:val="218"/>
        </w:trPr>
        <w:tc>
          <w:tcPr>
            <w:tcW w:w="2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Exhibit 101.INS</w:t>
            </w:r>
          </w:p>
        </w:tc>
        <w:tc>
          <w:tcPr>
            <w:tcW w:w="7140" w:type="dxa"/>
            <w:vAlign w:val="bottom"/>
            <w:tcBorders>
              <w:top w:val="single" w:sz="8" w:color="0000EE"/>
            </w:tcBorders>
          </w:tcPr>
          <w:p>
            <w:pPr>
              <w:spacing w:after="0"/>
              <w:rPr>
                <w:sz w:val="20"/>
                <w:szCs w:val="20"/>
                <w:color w:val="auto"/>
              </w:rPr>
            </w:pPr>
            <w:r>
              <w:rPr>
                <w:rFonts w:ascii="Times New Roman" w:cs="Times New Roman" w:eastAsia="Times New Roman" w:hAnsi="Times New Roman"/>
                <w:sz w:val="18"/>
                <w:szCs w:val="18"/>
                <w:color w:val="auto"/>
              </w:rPr>
              <w:t>XBRL Instance Document</w:t>
            </w:r>
          </w:p>
        </w:tc>
        <w:tc>
          <w:tcPr>
            <w:tcW w:w="2200" w:type="dxa"/>
            <w:vAlign w:val="bottom"/>
            <w:gridSpan w:val="3"/>
          </w:tcPr>
          <w:p>
            <w:pPr>
              <w:spacing w:after="0"/>
              <w:rPr>
                <w:sz w:val="18"/>
                <w:szCs w:val="18"/>
                <w:color w:val="auto"/>
              </w:rPr>
            </w:pPr>
          </w:p>
        </w:tc>
      </w:tr>
      <w:tr>
        <w:trPr>
          <w:trHeight w:val="216"/>
        </w:trPr>
        <w:tc>
          <w:tcPr>
            <w:tcW w:w="2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Exhibit 101.SCH</w:t>
            </w:r>
          </w:p>
        </w:tc>
        <w:tc>
          <w:tcPr>
            <w:tcW w:w="934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XBRL Extension Schema Document</w:t>
            </w:r>
          </w:p>
        </w:tc>
      </w:tr>
      <w:tr>
        <w:trPr>
          <w:trHeight w:val="216"/>
        </w:trPr>
        <w:tc>
          <w:tcPr>
            <w:tcW w:w="2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Exhibit 101.CAL</w:t>
            </w:r>
          </w:p>
        </w:tc>
        <w:tc>
          <w:tcPr>
            <w:tcW w:w="934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XBRL Extension Calculation Linkbase Document</w:t>
            </w:r>
          </w:p>
        </w:tc>
      </w:tr>
      <w:tr>
        <w:trPr>
          <w:trHeight w:val="216"/>
        </w:trPr>
        <w:tc>
          <w:tcPr>
            <w:tcW w:w="2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Exhibit 101.LAB</w:t>
            </w:r>
          </w:p>
        </w:tc>
        <w:tc>
          <w:tcPr>
            <w:tcW w:w="934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XBRL Extension Label Linkbase Document</w:t>
            </w:r>
          </w:p>
        </w:tc>
      </w:tr>
      <w:tr>
        <w:trPr>
          <w:trHeight w:val="216"/>
        </w:trPr>
        <w:tc>
          <w:tcPr>
            <w:tcW w:w="2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Exhibit 101.PRE</w:t>
            </w:r>
          </w:p>
        </w:tc>
        <w:tc>
          <w:tcPr>
            <w:tcW w:w="934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XBRL Extension Presentation Linkbase Document</w:t>
            </w:r>
          </w:p>
        </w:tc>
      </w:tr>
      <w:tr>
        <w:trPr>
          <w:trHeight w:val="234"/>
        </w:trPr>
        <w:tc>
          <w:tcPr>
            <w:tcW w:w="2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Exhibit 101.DEF</w:t>
            </w:r>
          </w:p>
        </w:tc>
        <w:tc>
          <w:tcPr>
            <w:tcW w:w="934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XBRL Extension Definition Linkbase Document</w:t>
            </w:r>
          </w:p>
        </w:tc>
      </w:tr>
      <w:tr>
        <w:trPr>
          <w:trHeight w:val="414"/>
        </w:trPr>
        <w:tc>
          <w:tcPr>
            <w:tcW w:w="2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Filed herewith.</w:t>
            </w:r>
          </w:p>
        </w:tc>
        <w:tc>
          <w:tcPr>
            <w:tcW w:w="7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140" w:type="dxa"/>
            <w:vAlign w:val="bottom"/>
          </w:tcPr>
          <w:p>
            <w:pPr>
              <w:spacing w:after="0"/>
              <w:rPr>
                <w:sz w:val="24"/>
                <w:szCs w:val="24"/>
                <w:color w:val="auto"/>
              </w:rPr>
            </w:pPr>
          </w:p>
        </w:tc>
      </w:tr>
      <w:tr>
        <w:trPr>
          <w:trHeight w:val="234"/>
        </w:trPr>
        <w:tc>
          <w:tcPr>
            <w:tcW w:w="2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Furnished herewith.</w:t>
            </w:r>
          </w:p>
        </w:tc>
        <w:tc>
          <w:tcPr>
            <w:tcW w:w="7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140" w:type="dxa"/>
            <w:vAlign w:val="bottom"/>
          </w:tcPr>
          <w:p>
            <w:pPr>
              <w:spacing w:after="0"/>
              <w:rPr>
                <w:sz w:val="20"/>
                <w:szCs w:val="20"/>
                <w:color w:val="auto"/>
              </w:rPr>
            </w:pPr>
          </w:p>
        </w:tc>
      </w:tr>
      <w:tr>
        <w:trPr>
          <w:trHeight w:val="432"/>
        </w:trPr>
        <w:tc>
          <w:tcPr>
            <w:tcW w:w="12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934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35</w:t>
            </w:r>
          </w:p>
        </w:tc>
      </w:tr>
      <w:tr>
        <w:trPr>
          <w:trHeight w:val="132"/>
        </w:trPr>
        <w:tc>
          <w:tcPr>
            <w:tcW w:w="1280" w:type="dxa"/>
            <w:vAlign w:val="bottom"/>
            <w:tcBorders>
              <w:bottom w:val="single" w:sz="8" w:color="808080"/>
            </w:tcBorders>
          </w:tcPr>
          <w:p>
            <w:pPr>
              <w:spacing w:after="0"/>
              <w:rPr>
                <w:sz w:val="11"/>
                <w:szCs w:val="11"/>
                <w:color w:val="auto"/>
              </w:rPr>
            </w:pPr>
          </w:p>
        </w:tc>
        <w:tc>
          <w:tcPr>
            <w:tcW w:w="840" w:type="dxa"/>
            <w:vAlign w:val="bottom"/>
            <w:tcBorders>
              <w:bottom w:val="single" w:sz="8" w:color="808080"/>
            </w:tcBorders>
          </w:tcPr>
          <w:p>
            <w:pPr>
              <w:spacing w:after="0"/>
              <w:rPr>
                <w:sz w:val="11"/>
                <w:szCs w:val="11"/>
                <w:color w:val="auto"/>
              </w:rPr>
            </w:pPr>
          </w:p>
        </w:tc>
        <w:tc>
          <w:tcPr>
            <w:tcW w:w="7140" w:type="dxa"/>
            <w:vAlign w:val="bottom"/>
            <w:tcBorders>
              <w:bottom w:val="single" w:sz="8" w:color="808080"/>
            </w:tcBorders>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2140" w:type="dxa"/>
            <w:vAlign w:val="bottom"/>
            <w:tcBorders>
              <w:bottom w:val="single" w:sz="8" w:color="808080"/>
            </w:tcBorders>
          </w:tcPr>
          <w:p>
            <w:pPr>
              <w:spacing w:after="0"/>
              <w:rPr>
                <w:sz w:val="11"/>
                <w:szCs w:val="11"/>
                <w:color w:val="auto"/>
              </w:rPr>
            </w:pPr>
          </w:p>
        </w:tc>
      </w:tr>
      <w:tr>
        <w:trPr>
          <w:trHeight w:val="523"/>
        </w:trPr>
        <w:tc>
          <w:tcPr>
            <w:tcW w:w="2120" w:type="dxa"/>
            <w:vAlign w:val="bottom"/>
            <w:gridSpan w:val="2"/>
          </w:tcPr>
          <w:p>
            <w:pPr>
              <w:spacing w:after="0"/>
              <w:rPr>
                <w:rFonts w:ascii="Times New Roman" w:cs="Times New Roman" w:eastAsia="Times New Roman" w:hAnsi="Times New Roman"/>
                <w:sz w:val="18"/>
                <w:szCs w:val="18"/>
                <w:color w:val="0000EE"/>
              </w:rPr>
            </w:pPr>
            <w:hyperlink w:anchor="page1">
              <w:r>
                <w:rPr>
                  <w:rFonts w:ascii="Times New Roman" w:cs="Times New Roman" w:eastAsia="Times New Roman" w:hAnsi="Times New Roman"/>
                  <w:sz w:val="18"/>
                  <w:szCs w:val="18"/>
                  <w:color w:val="0000EE"/>
                </w:rPr>
                <w:t>Table of Contents</w:t>
              </w:r>
            </w:hyperlink>
          </w:p>
        </w:tc>
        <w:tc>
          <w:tcPr>
            <w:tcW w:w="7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140" w:type="dxa"/>
            <w:vAlign w:val="bottom"/>
          </w:tcPr>
          <w:p>
            <w:pPr>
              <w:spacing w:after="0"/>
              <w:rPr>
                <w:sz w:val="24"/>
                <w:szCs w:val="24"/>
                <w:color w:val="auto"/>
              </w:rPr>
            </w:pPr>
          </w:p>
        </w:tc>
      </w:tr>
      <w:tr>
        <w:trPr>
          <w:trHeight w:val="453"/>
        </w:trPr>
        <w:tc>
          <w:tcPr>
            <w:tcW w:w="1280" w:type="dxa"/>
            <w:vAlign w:val="bottom"/>
            <w:tcBorders>
              <w:top w:val="single" w:sz="8" w:color="0000EE"/>
            </w:tcBorders>
          </w:tcPr>
          <w:p>
            <w:pPr>
              <w:spacing w:after="0"/>
              <w:rPr>
                <w:sz w:val="24"/>
                <w:szCs w:val="24"/>
                <w:color w:val="auto"/>
              </w:rPr>
            </w:pPr>
          </w:p>
        </w:tc>
        <w:tc>
          <w:tcPr>
            <w:tcW w:w="840" w:type="dxa"/>
            <w:vAlign w:val="bottom"/>
          </w:tcPr>
          <w:p>
            <w:pPr>
              <w:spacing w:after="0"/>
              <w:rPr>
                <w:sz w:val="24"/>
                <w:szCs w:val="24"/>
                <w:color w:val="auto"/>
              </w:rPr>
            </w:pPr>
          </w:p>
        </w:tc>
        <w:tc>
          <w:tcPr>
            <w:tcW w:w="7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Avery Dennison Corporation</w:t>
            </w:r>
          </w:p>
        </w:tc>
      </w:tr>
      <w:tr>
        <w:trPr>
          <w:trHeight w:val="432"/>
        </w:trPr>
        <w:tc>
          <w:tcPr>
            <w:tcW w:w="12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9340" w:type="dxa"/>
            <w:vAlign w:val="bottom"/>
            <w:gridSpan w:val="4"/>
          </w:tcPr>
          <w:p>
            <w:pPr>
              <w:ind w:left="3020"/>
              <w:spacing w:after="0"/>
              <w:rPr>
                <w:sz w:val="20"/>
                <w:szCs w:val="20"/>
                <w:color w:val="auto"/>
              </w:rPr>
            </w:pPr>
            <w:r>
              <w:rPr>
                <w:rFonts w:ascii="Times New Roman" w:cs="Times New Roman" w:eastAsia="Times New Roman" w:hAnsi="Times New Roman"/>
                <w:sz w:val="18"/>
                <w:szCs w:val="18"/>
                <w:b w:val="1"/>
                <w:bCs w:val="1"/>
                <w:color w:val="auto"/>
              </w:rPr>
              <w:t>SIGNATURES</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-935990</wp:posOffset>
            </wp:positionV>
            <wp:extent cx="12700" cy="298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-935990</wp:posOffset>
            </wp:positionV>
            <wp:extent cx="12700" cy="298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178" w:lineRule="exact"/>
        <w:rPr>
          <w:sz w:val="20"/>
          <w:szCs w:val="20"/>
          <w:color w:val="auto"/>
        </w:rPr>
      </w:pPr>
    </w:p>
    <w:p>
      <w:pPr>
        <w:jc w:val="both"/>
        <w:ind w:right="4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62"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AVERY DENNISON CORPORATION</w:t>
      </w:r>
    </w:p>
    <w:p>
      <w:pPr>
        <w:spacing w:after="0" w:line="27"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(Registrant)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/s/ Gregory S. Lovins</w:t>
      </w:r>
    </w:p>
    <w:p>
      <w:pPr>
        <w:spacing w:after="0" w:line="27"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Gregory S. Lovins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-130810</wp:posOffset>
            </wp:positionV>
            <wp:extent cx="3618865"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3"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Senior Vice President and Chief Financial Officer</w:t>
      </w:r>
    </w:p>
    <w:p>
      <w:pPr>
        <w:spacing w:after="0" w:line="9"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(Principal Financial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/s/ Lori J. Bondar</w:t>
      </w:r>
    </w:p>
    <w:p>
      <w:pPr>
        <w:spacing w:after="0" w:line="27"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Lori J. Bondar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-130810</wp:posOffset>
            </wp:positionV>
            <wp:extent cx="3618865"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3"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Vice President, Controller, and</w:t>
      </w:r>
    </w:p>
    <w:p>
      <w:pPr>
        <w:spacing w:after="0" w:line="9"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Chief Accounting Officer</w:t>
      </w:r>
    </w:p>
    <w:p>
      <w:pPr>
        <w:spacing w:after="0" w:line="9"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(Principal Accounting Officer)</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October 31, 2017</w:t>
      </w:r>
    </w:p>
    <w:p>
      <w:pPr>
        <w:spacing w:after="0" w:line="225" w:lineRule="exact"/>
        <w:rPr>
          <w:sz w:val="20"/>
          <w:szCs w:val="20"/>
          <w:color w:val="auto"/>
        </w:rPr>
      </w:pPr>
    </w:p>
    <w:p>
      <w:pPr>
        <w:ind w:left="11240"/>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60"/>
          </w:cols>
          <w:pgMar w:left="240" w:top="333" w:right="199" w:bottom="225" w:gutter="0" w:footer="0" w:header="0"/>
        </w:sectPr>
      </w:pPr>
    </w:p>
    <w:bookmarkStart w:id="27" w:name="page28"/>
    <w:bookmarkEnd w:id="27"/>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Avery Dennison Corporation</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CHIEF EXECUTIVE OFFICER</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302 OF THE SARBANES-OXLEY ACT OF 2002</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CERTIFICATION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Mitchell R. Butier, certify that:</w:t>
      </w:r>
    </w:p>
    <w:p>
      <w:pPr>
        <w:spacing w:after="0" w:line="225" w:lineRule="exact"/>
        <w:rPr>
          <w:sz w:val="20"/>
          <w:szCs w:val="20"/>
          <w:color w:val="auto"/>
        </w:rPr>
      </w:pPr>
    </w:p>
    <w:p>
      <w:pPr>
        <w:ind w:left="260" w:hanging="252"/>
        <w:spacing w:after="0"/>
        <w:tabs>
          <w:tab w:leader="none" w:pos="2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Avery Dennison Corporation;</w:t>
      </w:r>
    </w:p>
    <w:p>
      <w:pPr>
        <w:spacing w:after="0" w:line="225" w:lineRule="exact"/>
        <w:rPr>
          <w:rFonts w:ascii="Times New Roman" w:cs="Times New Roman" w:eastAsia="Times New Roman" w:hAnsi="Times New Roman"/>
          <w:sz w:val="18"/>
          <w:szCs w:val="18"/>
          <w:color w:val="auto"/>
        </w:rPr>
      </w:pPr>
    </w:p>
    <w:p>
      <w:pPr>
        <w:ind w:left="260" w:hanging="252"/>
        <w:spacing w:after="0" w:line="282" w:lineRule="auto"/>
        <w:tabs>
          <w:tab w:leader="none" w:pos="418"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61" w:lineRule="exact"/>
        <w:rPr>
          <w:rFonts w:ascii="Times New Roman" w:cs="Times New Roman" w:eastAsia="Times New Roman" w:hAnsi="Times New Roman"/>
          <w:sz w:val="18"/>
          <w:szCs w:val="18"/>
          <w:color w:val="auto"/>
        </w:rPr>
      </w:pPr>
    </w:p>
    <w:p>
      <w:pPr>
        <w:ind w:left="260" w:hanging="252"/>
        <w:spacing w:after="0" w:line="282" w:lineRule="auto"/>
        <w:tabs>
          <w:tab w:leader="none" w:pos="432"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jc w:val="both"/>
        <w:ind w:left="260" w:hanging="252"/>
        <w:spacing w:after="0" w:line="266" w:lineRule="auto"/>
        <w:tabs>
          <w:tab w:leader="none" w:pos="459"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6" w:lineRule="exact"/>
        <w:rPr>
          <w:rFonts w:ascii="Times New Roman" w:cs="Times New Roman" w:eastAsia="Times New Roman" w:hAnsi="Times New Roman"/>
          <w:sz w:val="18"/>
          <w:szCs w:val="18"/>
          <w:color w:val="auto"/>
        </w:rPr>
      </w:pPr>
    </w:p>
    <w:p>
      <w:pPr>
        <w:jc w:val="both"/>
        <w:ind w:left="500" w:hanging="245"/>
        <w:spacing w:after="0" w:line="266" w:lineRule="auto"/>
        <w:tabs>
          <w:tab w:leader="none" w:pos="542"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6" w:lineRule="exact"/>
        <w:rPr>
          <w:rFonts w:ascii="Times New Roman" w:cs="Times New Roman" w:eastAsia="Times New Roman" w:hAnsi="Times New Roman"/>
          <w:sz w:val="18"/>
          <w:szCs w:val="18"/>
          <w:color w:val="auto"/>
        </w:rPr>
      </w:pPr>
    </w:p>
    <w:p>
      <w:pPr>
        <w:jc w:val="both"/>
        <w:ind w:left="500" w:right="20" w:hanging="245"/>
        <w:spacing w:after="0" w:line="266" w:lineRule="auto"/>
        <w:tabs>
          <w:tab w:leader="none" w:pos="498"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6" w:lineRule="exact"/>
        <w:rPr>
          <w:rFonts w:ascii="Times New Roman" w:cs="Times New Roman" w:eastAsia="Times New Roman" w:hAnsi="Times New Roman"/>
          <w:sz w:val="18"/>
          <w:szCs w:val="18"/>
          <w:color w:val="auto"/>
        </w:rPr>
      </w:pPr>
    </w:p>
    <w:p>
      <w:pPr>
        <w:ind w:left="500" w:hanging="245"/>
        <w:spacing w:after="0" w:line="282" w:lineRule="auto"/>
        <w:tabs>
          <w:tab w:leader="none" w:pos="515"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5" w:lineRule="exact"/>
        <w:rPr>
          <w:rFonts w:ascii="Times New Roman" w:cs="Times New Roman" w:eastAsia="Times New Roman" w:hAnsi="Times New Roman"/>
          <w:sz w:val="18"/>
          <w:szCs w:val="18"/>
          <w:color w:val="auto"/>
        </w:rPr>
      </w:pPr>
    </w:p>
    <w:p>
      <w:pPr>
        <w:jc w:val="both"/>
        <w:ind w:left="500" w:hanging="245"/>
        <w:spacing w:after="0" w:line="262" w:lineRule="auto"/>
        <w:tabs>
          <w:tab w:leader="none" w:pos="491"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6" w:lineRule="exact"/>
        <w:rPr>
          <w:rFonts w:ascii="Times New Roman" w:cs="Times New Roman" w:eastAsia="Times New Roman" w:hAnsi="Times New Roman"/>
          <w:sz w:val="18"/>
          <w:szCs w:val="18"/>
          <w:color w:val="auto"/>
        </w:rPr>
      </w:pPr>
    </w:p>
    <w:p>
      <w:pPr>
        <w:ind w:left="260" w:hanging="252"/>
        <w:spacing w:after="0" w:line="275" w:lineRule="auto"/>
        <w:tabs>
          <w:tab w:leader="none" w:pos="347"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9" w:lineRule="exact"/>
        <w:rPr>
          <w:rFonts w:ascii="Times New Roman" w:cs="Times New Roman" w:eastAsia="Times New Roman" w:hAnsi="Times New Roman"/>
          <w:sz w:val="18"/>
          <w:szCs w:val="18"/>
          <w:color w:val="auto"/>
        </w:rPr>
      </w:pPr>
    </w:p>
    <w:p>
      <w:pPr>
        <w:ind w:left="500" w:hanging="245"/>
        <w:spacing w:after="0" w:line="282" w:lineRule="auto"/>
        <w:tabs>
          <w:tab w:leader="none" w:pos="488"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500" w:right="20" w:hanging="245"/>
        <w:spacing w:after="0" w:line="282" w:lineRule="auto"/>
        <w:tabs>
          <w:tab w:leader="none" w:pos="552"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378" w:lineRule="exact"/>
        <w:rPr>
          <w:sz w:val="20"/>
          <w:szCs w:val="20"/>
          <w:color w:val="auto"/>
        </w:rPr>
      </w:pPr>
    </w:p>
    <w:p>
      <w:pPr>
        <w:ind w:left="5720"/>
        <w:spacing w:after="0"/>
        <w:tabs>
          <w:tab w:leader="none" w:pos="6100" w:val="left"/>
        </w:tabs>
        <w:rPr>
          <w:sz w:val="20"/>
          <w:szCs w:val="20"/>
          <w:color w:val="auto"/>
        </w:rPr>
      </w:pPr>
      <w:r>
        <w:rPr>
          <w:rFonts w:ascii="Times New Roman" w:cs="Times New Roman" w:eastAsia="Times New Roman" w:hAnsi="Times New Roman"/>
          <w:sz w:val="18"/>
          <w:szCs w:val="18"/>
          <w:color w:val="auto"/>
        </w:rPr>
        <w:t>/s/</w:t>
        <w:tab/>
        <w:t>Mitchell R. Butier</w:t>
      </w:r>
    </w:p>
    <w:p>
      <w:pPr>
        <w:spacing w:after="0" w:line="27"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Mitchell R. Butier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-130810</wp:posOffset>
            </wp:positionV>
            <wp:extent cx="3618865"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3"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President and Chief Executive Officer</w:t>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October 31,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220980</wp:posOffset>
            </wp:positionV>
            <wp:extent cx="7267575" cy="298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17" w:right="239" w:bottom="1440" w:gutter="0" w:footer="0" w:header="0"/>
        </w:sectPr>
      </w:pPr>
    </w:p>
    <w:bookmarkStart w:id="28" w:name="page29"/>
    <w:bookmarkEnd w:id="28"/>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2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Avery Dennison Corporation</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CHIEF FINANCIAL OFFICER</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302 OF THE SARBANES-OXLEY ACT OF 2002</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CERTIFICATION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Gregory S. Lovins, certify that:</w:t>
      </w:r>
    </w:p>
    <w:p>
      <w:pPr>
        <w:spacing w:after="0" w:line="225" w:lineRule="exact"/>
        <w:rPr>
          <w:sz w:val="20"/>
          <w:szCs w:val="20"/>
          <w:color w:val="auto"/>
        </w:rPr>
      </w:pPr>
    </w:p>
    <w:p>
      <w:pPr>
        <w:ind w:left="260" w:hanging="252"/>
        <w:spacing w:after="0"/>
        <w:tabs>
          <w:tab w:leader="none" w:pos="2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Avery Dennison Corporation;</w:t>
      </w:r>
    </w:p>
    <w:p>
      <w:pPr>
        <w:spacing w:after="0" w:line="225" w:lineRule="exact"/>
        <w:rPr>
          <w:rFonts w:ascii="Times New Roman" w:cs="Times New Roman" w:eastAsia="Times New Roman" w:hAnsi="Times New Roman"/>
          <w:sz w:val="18"/>
          <w:szCs w:val="18"/>
          <w:color w:val="auto"/>
        </w:rPr>
      </w:pPr>
    </w:p>
    <w:p>
      <w:pPr>
        <w:ind w:left="260" w:hanging="252"/>
        <w:spacing w:after="0" w:line="282" w:lineRule="auto"/>
        <w:tabs>
          <w:tab w:leader="none" w:pos="418"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61" w:lineRule="exact"/>
        <w:rPr>
          <w:rFonts w:ascii="Times New Roman" w:cs="Times New Roman" w:eastAsia="Times New Roman" w:hAnsi="Times New Roman"/>
          <w:sz w:val="18"/>
          <w:szCs w:val="18"/>
          <w:color w:val="auto"/>
        </w:rPr>
      </w:pPr>
    </w:p>
    <w:p>
      <w:pPr>
        <w:ind w:left="260" w:hanging="252"/>
        <w:spacing w:after="0" w:line="282" w:lineRule="auto"/>
        <w:tabs>
          <w:tab w:leader="none" w:pos="432"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jc w:val="both"/>
        <w:ind w:left="260" w:hanging="252"/>
        <w:spacing w:after="0" w:line="266" w:lineRule="auto"/>
        <w:tabs>
          <w:tab w:leader="none" w:pos="459"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6" w:lineRule="exact"/>
        <w:rPr>
          <w:rFonts w:ascii="Times New Roman" w:cs="Times New Roman" w:eastAsia="Times New Roman" w:hAnsi="Times New Roman"/>
          <w:sz w:val="18"/>
          <w:szCs w:val="18"/>
          <w:color w:val="auto"/>
        </w:rPr>
      </w:pPr>
    </w:p>
    <w:p>
      <w:pPr>
        <w:jc w:val="both"/>
        <w:ind w:left="500" w:hanging="245"/>
        <w:spacing w:after="0" w:line="266" w:lineRule="auto"/>
        <w:tabs>
          <w:tab w:leader="none" w:pos="542"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6" w:lineRule="exact"/>
        <w:rPr>
          <w:rFonts w:ascii="Times New Roman" w:cs="Times New Roman" w:eastAsia="Times New Roman" w:hAnsi="Times New Roman"/>
          <w:sz w:val="18"/>
          <w:szCs w:val="18"/>
          <w:color w:val="auto"/>
        </w:rPr>
      </w:pPr>
    </w:p>
    <w:p>
      <w:pPr>
        <w:jc w:val="both"/>
        <w:ind w:left="500" w:right="20" w:hanging="245"/>
        <w:spacing w:after="0" w:line="266" w:lineRule="auto"/>
        <w:tabs>
          <w:tab w:leader="none" w:pos="498"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6" w:lineRule="exact"/>
        <w:rPr>
          <w:rFonts w:ascii="Times New Roman" w:cs="Times New Roman" w:eastAsia="Times New Roman" w:hAnsi="Times New Roman"/>
          <w:sz w:val="18"/>
          <w:szCs w:val="18"/>
          <w:color w:val="auto"/>
        </w:rPr>
      </w:pPr>
    </w:p>
    <w:p>
      <w:pPr>
        <w:ind w:left="500" w:hanging="245"/>
        <w:spacing w:after="0" w:line="282" w:lineRule="auto"/>
        <w:tabs>
          <w:tab w:leader="none" w:pos="515"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jc w:val="both"/>
        <w:ind w:left="500" w:hanging="245"/>
        <w:spacing w:after="0" w:line="266" w:lineRule="auto"/>
        <w:tabs>
          <w:tab w:leader="none" w:pos="565"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6" w:lineRule="exact"/>
        <w:rPr>
          <w:rFonts w:ascii="Times New Roman" w:cs="Times New Roman" w:eastAsia="Times New Roman" w:hAnsi="Times New Roman"/>
          <w:sz w:val="18"/>
          <w:szCs w:val="18"/>
          <w:color w:val="auto"/>
        </w:rPr>
      </w:pPr>
    </w:p>
    <w:p>
      <w:pPr>
        <w:ind w:left="260" w:hanging="252"/>
        <w:spacing w:after="0" w:line="282" w:lineRule="auto"/>
        <w:tabs>
          <w:tab w:leader="none" w:pos="351"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500" w:hanging="245"/>
        <w:spacing w:after="0" w:line="282" w:lineRule="auto"/>
        <w:tabs>
          <w:tab w:leader="none" w:pos="488"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500" w:right="20" w:hanging="245"/>
        <w:spacing w:after="0" w:line="282" w:lineRule="auto"/>
        <w:tabs>
          <w:tab w:leader="none" w:pos="552"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378" w:lineRule="exact"/>
        <w:rPr>
          <w:sz w:val="20"/>
          <w:szCs w:val="20"/>
          <w:color w:val="auto"/>
        </w:rPr>
      </w:pPr>
    </w:p>
    <w:p>
      <w:pPr>
        <w:ind w:left="5720"/>
        <w:spacing w:after="0"/>
        <w:tabs>
          <w:tab w:leader="none" w:pos="6100" w:val="left"/>
        </w:tabs>
        <w:rPr>
          <w:sz w:val="20"/>
          <w:szCs w:val="20"/>
          <w:color w:val="auto"/>
        </w:rPr>
      </w:pPr>
      <w:r>
        <w:rPr>
          <w:rFonts w:ascii="Times New Roman" w:cs="Times New Roman" w:eastAsia="Times New Roman" w:hAnsi="Times New Roman"/>
          <w:sz w:val="18"/>
          <w:szCs w:val="18"/>
          <w:color w:val="auto"/>
        </w:rPr>
        <w:t>/s/</w:t>
        <w:tab/>
        <w:t>Gregory S. Lovins</w:t>
      </w:r>
    </w:p>
    <w:p>
      <w:pPr>
        <w:spacing w:after="0" w:line="27"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Gregory S. Lovins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-130810</wp:posOffset>
            </wp:positionV>
            <wp:extent cx="3618865"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3"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Senior Vice President and Chief Financial Officer</w:t>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October 31,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220980</wp:posOffset>
            </wp:positionV>
            <wp:extent cx="7267575" cy="298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17" w:right="239" w:bottom="1440" w:gutter="0" w:footer="0" w:header="0"/>
        </w:sectPr>
      </w:pPr>
    </w:p>
    <w:bookmarkStart w:id="29" w:name="page30"/>
    <w:bookmarkEnd w:id="29"/>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2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Avery Dennison Corporation</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CHIEF EXECUTIVE OFFICER*</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906 OF THE SARBANES-OXLEY ACT OF 2002</w:t>
      </w:r>
    </w:p>
    <w:p>
      <w:pPr>
        <w:spacing w:after="0" w:line="229"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Pursuant to 18 U.S.C. Section 1350, as created by Section 906 of the Sarbanes-Oxley Act of 2002, the undersigned officer of Avery Dennison Corporation (the “Company”) hereby certifies, to the best of his knowledge, that:</w:t>
      </w:r>
    </w:p>
    <w:p>
      <w:pPr>
        <w:spacing w:after="0" w:line="162" w:lineRule="exact"/>
        <w:rPr>
          <w:sz w:val="20"/>
          <w:szCs w:val="20"/>
          <w:color w:val="auto"/>
        </w:rPr>
      </w:pPr>
    </w:p>
    <w:p>
      <w:pPr>
        <w:ind w:left="1080" w:hanging="501"/>
        <w:spacing w:after="0" w:line="282" w:lineRule="auto"/>
        <w:tabs>
          <w:tab w:leader="none" w:pos="1151"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Quarterly Report on Form 10-Q of the Company for the fiscal quarter ended September 30, 2017 (the “Report”) fully complies with the requirements of Section 13(a) or Section 15(d), as applicable, of the Securities Exchange Act of 1934, as amended; and</w:t>
      </w:r>
    </w:p>
    <w:p>
      <w:pPr>
        <w:spacing w:after="0" w:line="161" w:lineRule="exact"/>
        <w:rPr>
          <w:rFonts w:ascii="Times New Roman" w:cs="Times New Roman" w:eastAsia="Times New Roman" w:hAnsi="Times New Roman"/>
          <w:sz w:val="18"/>
          <w:szCs w:val="18"/>
          <w:color w:val="auto"/>
        </w:rPr>
      </w:pPr>
    </w:p>
    <w:p>
      <w:pPr>
        <w:ind w:left="1080" w:hanging="501"/>
        <w:spacing w:after="0" w:line="282" w:lineRule="auto"/>
        <w:tabs>
          <w:tab w:leader="none" w:pos="1249"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October 31, 2017</w:t>
      </w:r>
    </w:p>
    <w:p>
      <w:pPr>
        <w:spacing w:after="0" w:line="225" w:lineRule="exact"/>
        <w:rPr>
          <w:sz w:val="20"/>
          <w:szCs w:val="20"/>
          <w:color w:val="auto"/>
        </w:rPr>
      </w:pPr>
    </w:p>
    <w:p>
      <w:pPr>
        <w:ind w:left="5720"/>
        <w:spacing w:after="0"/>
        <w:tabs>
          <w:tab w:leader="none" w:pos="6100" w:val="left"/>
        </w:tabs>
        <w:rPr>
          <w:sz w:val="20"/>
          <w:szCs w:val="20"/>
          <w:color w:val="auto"/>
        </w:rPr>
      </w:pPr>
      <w:r>
        <w:rPr>
          <w:rFonts w:ascii="Times New Roman" w:cs="Times New Roman" w:eastAsia="Times New Roman" w:hAnsi="Times New Roman"/>
          <w:sz w:val="18"/>
          <w:szCs w:val="18"/>
          <w:color w:val="auto"/>
        </w:rPr>
        <w:t>/s/</w:t>
        <w:tab/>
        <w:t>Mitchell R. Butier</w:t>
      </w:r>
    </w:p>
    <w:p>
      <w:pPr>
        <w:spacing w:after="0" w:line="27"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Mitchell R. Butier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-130810</wp:posOffset>
            </wp:positionV>
            <wp:extent cx="3618865"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3"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President and Chief Executive Officer</w:t>
      </w:r>
    </w:p>
    <w:p>
      <w:pPr>
        <w:spacing w:after="0" w:line="207" w:lineRule="exact"/>
        <w:rPr>
          <w:sz w:val="20"/>
          <w:szCs w:val="20"/>
          <w:color w:val="auto"/>
        </w:rPr>
      </w:pPr>
    </w:p>
    <w:p>
      <w:pPr>
        <w:ind w:left="180" w:hanging="172"/>
        <w:spacing w:after="0" w:line="282" w:lineRule="auto"/>
        <w:tabs>
          <w:tab w:leader="none" w:pos="17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above certification accompanies the Company’s Quarterly Report on Form 10-Q and is furnished, not filed, as provided in SEC Release 33-8238, dated June 5, 2003.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180975</wp:posOffset>
            </wp:positionV>
            <wp:extent cx="7267575" cy="298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17" w:right="239" w:bottom="1440" w:gutter="0" w:footer="0" w:header="0"/>
        </w:sectPr>
      </w:pPr>
    </w:p>
    <w:bookmarkStart w:id="30" w:name="page31"/>
    <w:bookmarkEnd w:id="30"/>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22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Avery Dennison Corporation</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CHIEF FINANCIAL OFFICER*</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906 OF THE SARBANES-OXLEY ACT OF 2002</w:t>
      </w:r>
    </w:p>
    <w:p>
      <w:pPr>
        <w:spacing w:after="0" w:line="229"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Pursuant to 18 U.S.C. Section 1350, as created by Section 906 of the Sarbanes-Oxley Act of 2002, the undersigned officer of Avery Dennison Corporation (the “Company”) hereby certifies, to the best of his knowledge, that:</w:t>
      </w:r>
    </w:p>
    <w:p>
      <w:pPr>
        <w:spacing w:after="0" w:line="162" w:lineRule="exact"/>
        <w:rPr>
          <w:sz w:val="20"/>
          <w:szCs w:val="20"/>
          <w:color w:val="auto"/>
        </w:rPr>
      </w:pPr>
    </w:p>
    <w:p>
      <w:pPr>
        <w:ind w:left="1060" w:right="20" w:hanging="485"/>
        <w:spacing w:after="0" w:line="282" w:lineRule="auto"/>
        <w:tabs>
          <w:tab w:leader="none" w:pos="1131"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Quarterly Report on Form 10-Q of the Company for the fiscal quarter ended September 30, 2017 (the “Report”) fully complies with the requirements of Section 13(a) or Section 15(d), as applicable, of the Securities Exchange Act of 1934, as amended; and</w:t>
      </w:r>
    </w:p>
    <w:p>
      <w:pPr>
        <w:spacing w:after="0" w:line="161" w:lineRule="exact"/>
        <w:rPr>
          <w:rFonts w:ascii="Times New Roman" w:cs="Times New Roman" w:eastAsia="Times New Roman" w:hAnsi="Times New Roman"/>
          <w:sz w:val="18"/>
          <w:szCs w:val="18"/>
          <w:color w:val="auto"/>
        </w:rPr>
      </w:pPr>
    </w:p>
    <w:p>
      <w:pPr>
        <w:ind w:left="1060" w:hanging="485"/>
        <w:spacing w:after="0" w:line="282" w:lineRule="auto"/>
        <w:tabs>
          <w:tab w:leader="none" w:pos="125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October 31, 2017</w:t>
      </w:r>
    </w:p>
    <w:p>
      <w:pPr>
        <w:spacing w:after="0" w:line="225" w:lineRule="exact"/>
        <w:rPr>
          <w:sz w:val="20"/>
          <w:szCs w:val="20"/>
          <w:color w:val="auto"/>
        </w:rPr>
      </w:pPr>
    </w:p>
    <w:p>
      <w:pPr>
        <w:ind w:left="5720"/>
        <w:spacing w:after="0"/>
        <w:tabs>
          <w:tab w:leader="none" w:pos="6100" w:val="left"/>
        </w:tabs>
        <w:rPr>
          <w:sz w:val="20"/>
          <w:szCs w:val="20"/>
          <w:color w:val="auto"/>
        </w:rPr>
      </w:pPr>
      <w:r>
        <w:rPr>
          <w:rFonts w:ascii="Times New Roman" w:cs="Times New Roman" w:eastAsia="Times New Roman" w:hAnsi="Times New Roman"/>
          <w:sz w:val="18"/>
          <w:szCs w:val="18"/>
          <w:color w:val="auto"/>
        </w:rPr>
        <w:t>/s/</w:t>
        <w:tab/>
        <w:t>Gregory S. Lovins</w:t>
      </w:r>
    </w:p>
    <w:p>
      <w:pPr>
        <w:spacing w:after="0" w:line="27"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Gregory S. Lovins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-130810</wp:posOffset>
            </wp:positionV>
            <wp:extent cx="3618865"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3"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Senior Vice President and Chief Financial Officer</w:t>
      </w:r>
    </w:p>
    <w:p>
      <w:pPr>
        <w:spacing w:after="0" w:line="207" w:lineRule="exact"/>
        <w:rPr>
          <w:sz w:val="20"/>
          <w:szCs w:val="20"/>
          <w:color w:val="auto"/>
        </w:rPr>
      </w:pPr>
    </w:p>
    <w:p>
      <w:pPr>
        <w:ind w:left="180" w:hanging="172"/>
        <w:spacing w:after="0" w:line="282" w:lineRule="auto"/>
        <w:tabs>
          <w:tab w:leader="none" w:pos="175"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above certification accompanies the Company’s Quarterly Report on Form 10-Q and is furnished, not filed, as provided in SEC Release 33-8238, dated June 5, 2003.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180975</wp:posOffset>
            </wp:positionV>
            <wp:extent cx="7267575" cy="298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sectPr>
      <w:pgSz w:w="11900" w:h="16838" w:orient="portrait"/>
      <w:cols w:equalWidth="0" w:num="1">
        <w:col w:w="11420"/>
      </w:cols>
      <w:pgMar w:left="240" w:top="117"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12200854"/>
    <w:multiLevelType w:val="hybridMultilevel"/>
    <w:lvl w:ilvl="0">
      <w:lvlJc w:val="left"/>
      <w:lvlText w:val="x"/>
      <w:numFmt w:val="bullet"/>
      <w:start w:val="1"/>
    </w:lvl>
  </w:abstractNum>
  <w:abstractNum w:abstractNumId="1">
    <w:nsid w:val="4DB127F8"/>
    <w:multiLevelType w:val="hybridMultilevel"/>
    <w:lvl w:ilvl="0">
      <w:lvlJc w:val="left"/>
      <w:lvlText w:val="o"/>
      <w:numFmt w:val="bullet"/>
      <w:start w:val="1"/>
    </w:lvl>
  </w:abstractNum>
  <w:abstractNum w:abstractNumId="2">
    <w:nsid w:val="216231B"/>
    <w:multiLevelType w:val="hybridMultilevel"/>
    <w:lvl w:ilvl="0">
      <w:lvlJc w:val="left"/>
      <w:lvlText w:val="(%1)"/>
      <w:numFmt w:val="decimal"/>
      <w:start w:val="1"/>
    </w:lvl>
  </w:abstractNum>
  <w:abstractNum w:abstractNumId="3">
    <w:nsid w:val="1F16E9E8"/>
    <w:multiLevelType w:val="hybridMultilevel"/>
    <w:lvl w:ilvl="0">
      <w:lvlJc w:val="left"/>
      <w:lvlText w:val="(%1)"/>
      <w:numFmt w:val="decimal"/>
      <w:start w:val="1"/>
    </w:lvl>
  </w:abstractNum>
  <w:abstractNum w:abstractNumId="4">
    <w:nsid w:val="1190CDE7"/>
    <w:multiLevelType w:val="hybridMultilevel"/>
    <w:lvl w:ilvl="0">
      <w:lvlJc w:val="left"/>
      <w:lvlText w:val="(%1)"/>
      <w:numFmt w:val="lowerRoman"/>
      <w:start w:val="2"/>
    </w:lvl>
  </w:abstractNum>
  <w:abstractNum w:abstractNumId="5">
    <w:nsid w:val="66EF438D"/>
    <w:multiLevelType w:val="hybridMultilevel"/>
    <w:lvl w:ilvl="0">
      <w:lvlJc w:val="left"/>
      <w:lvlText w:val="·"/>
      <w:numFmt w:val="bullet"/>
      <w:start w:val="1"/>
    </w:lvl>
  </w:abstractNum>
  <w:abstractNum w:abstractNumId="6">
    <w:nsid w:val="140E0F76"/>
    <w:multiLevelType w:val="hybridMultilevel"/>
    <w:lvl w:ilvl="0">
      <w:lvlJc w:val="left"/>
      <w:lvlText w:val="·"/>
      <w:numFmt w:val="bullet"/>
      <w:start w:val="1"/>
    </w:lvl>
  </w:abstractNum>
  <w:abstractNum w:abstractNumId="7">
    <w:nsid w:val="3352255A"/>
    <w:multiLevelType w:val="hybridMultilevel"/>
    <w:lvl w:ilvl="0">
      <w:lvlJc w:val="left"/>
      <w:lvlText w:val="·"/>
      <w:numFmt w:val="bullet"/>
      <w:start w:val="1"/>
    </w:lvl>
  </w:abstractNum>
  <w:abstractNum w:abstractNumId="8">
    <w:nsid w:val="109CF92E"/>
    <w:multiLevelType w:val="hybridMultilevel"/>
    <w:lvl w:ilvl="0">
      <w:lvlJc w:val="left"/>
      <w:lvlText w:val="·"/>
      <w:numFmt w:val="bullet"/>
      <w:start w:val="1"/>
    </w:lvl>
  </w:abstractNum>
  <w:abstractNum w:abstractNumId="9">
    <w:nsid w:val="DED7263"/>
    <w:multiLevelType w:val="hybridMultilevel"/>
    <w:lvl w:ilvl="0">
      <w:lvlJc w:val="left"/>
      <w:lvlText w:val="·"/>
      <w:numFmt w:val="bullet"/>
      <w:start w:val="1"/>
    </w:lvl>
  </w:abstractNum>
  <w:abstractNum w:abstractNumId="10">
    <w:nsid w:val="7FDCC233"/>
    <w:multiLevelType w:val="hybridMultilevel"/>
    <w:lvl w:ilvl="0">
      <w:lvlJc w:val="left"/>
      <w:lvlText w:val="(%1)"/>
      <w:numFmt w:val="decimal"/>
      <w:start w:val="1"/>
    </w:lvl>
  </w:abstractNum>
  <w:abstractNum w:abstractNumId="11">
    <w:nsid w:val="1BEFD79F"/>
    <w:multiLevelType w:val="hybridMultilevel"/>
    <w:lvl w:ilvl="0">
      <w:lvlJc w:val="left"/>
      <w:lvlText w:val="(%1)"/>
      <w:numFmt w:val="lowerLetter"/>
      <w:start w:val="1"/>
    </w:lvl>
  </w:abstractNum>
  <w:abstractNum w:abstractNumId="12">
    <w:nsid w:val="41A7C4C9"/>
    <w:multiLevelType w:val="hybridMultilevel"/>
    <w:lvl w:ilvl="0">
      <w:lvlJc w:val="left"/>
      <w:lvlText w:val="%1."/>
      <w:numFmt w:val="decimal"/>
      <w:start w:val="1"/>
    </w:lvl>
    <w:lvl w:ilvl="1">
      <w:lvlJc w:val="left"/>
      <w:lvlText w:val="%2)"/>
      <w:numFmt w:val="lowerLetter"/>
      <w:start w:val="1"/>
    </w:lvl>
  </w:abstractNum>
  <w:abstractNum w:abstractNumId="13">
    <w:nsid w:val="6B68079A"/>
    <w:multiLevelType w:val="hybridMultilevel"/>
    <w:lvl w:ilvl="0">
      <w:lvlJc w:val="left"/>
      <w:lvlText w:val="%1."/>
      <w:numFmt w:val="decimal"/>
      <w:start w:val="1"/>
    </w:lvl>
    <w:lvl w:ilvl="1">
      <w:lvlJc w:val="left"/>
      <w:lvlText w:val="%2)"/>
      <w:numFmt w:val="lowerLetter"/>
      <w:start w:val="1"/>
    </w:lvl>
  </w:abstractNum>
  <w:abstractNum w:abstractNumId="14">
    <w:nsid w:val="4E6AFB66"/>
    <w:multiLevelType w:val="hybridMultilevel"/>
    <w:lvl w:ilvl="0">
      <w:lvlJc w:val="left"/>
      <w:lvlText w:val="(%1)"/>
      <w:numFmt w:val="lowerRoman"/>
      <w:start w:val="1"/>
    </w:lvl>
  </w:abstractNum>
  <w:abstractNum w:abstractNumId="15">
    <w:nsid w:val="25E45D32"/>
    <w:multiLevelType w:val="hybridMultilevel"/>
    <w:lvl w:ilvl="0">
      <w:lvlJc w:val="left"/>
      <w:lvlText w:val="*"/>
      <w:numFmt w:val="bullet"/>
      <w:start w:val="1"/>
    </w:lvl>
  </w:abstractNum>
  <w:abstractNum w:abstractNumId="16">
    <w:nsid w:val="519B500D"/>
    <w:multiLevelType w:val="hybridMultilevel"/>
    <w:lvl w:ilvl="0">
      <w:lvlJc w:val="left"/>
      <w:lvlText w:val="(%1)"/>
      <w:numFmt w:val="lowerRoman"/>
      <w:start w:val="1"/>
    </w:lvl>
  </w:abstractNum>
  <w:abstractNum w:abstractNumId="17">
    <w:nsid w:val="431BD7B7"/>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2019-12-29T03:50:33Z</dcterms:created>
  <dcterms:modified xsi:type="dcterms:W3CDTF">2019-12-29T03:50:33Z</dcterms:modified>
</cp:coreProperties>
</file>