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722630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739775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jc w:val="center"/>
        <w:ind w:right="-1100"/>
        <w:spacing w:after="0" w:line="203" w:lineRule="auto"/>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FORM 11-K</w:t>
      </w: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59" w:lineRule="exact"/>
        <w:rPr>
          <w:sz w:val="24"/>
          <w:szCs w:val="24"/>
          <w:color w:val="auto"/>
        </w:rPr>
      </w:pPr>
    </w:p>
    <w:p>
      <w:pPr>
        <w:ind w:left="360" w:right="1539" w:hanging="334"/>
        <w:spacing w:after="0" w:line="333" w:lineRule="auto"/>
        <w:tabs>
          <w:tab w:leader="none" w:pos="36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 xml:space="preserve">ANNUAL REPORT PURSUANT TO SECTION 15(d) OF THE SECURITIES EXCHANGE ACT OF 1934 </w:t>
      </w:r>
      <w:r>
        <w:rPr>
          <w:rFonts w:ascii="Times New Roman" w:cs="Times New Roman" w:eastAsia="Times New Roman" w:hAnsi="Times New Roman"/>
          <w:sz w:val="18"/>
          <w:szCs w:val="18"/>
          <w:color w:val="auto"/>
        </w:rPr>
        <w:t>For the fiscal year ended December 31, 2025</w:t>
      </w:r>
    </w:p>
    <w:p>
      <w:pPr>
        <w:spacing w:after="0" w:line="200" w:lineRule="exact"/>
        <w:rPr>
          <w:sz w:val="24"/>
          <w:szCs w:val="24"/>
          <w:color w:val="auto"/>
        </w:rPr>
      </w:pPr>
    </w:p>
    <w:p>
      <w:pPr>
        <w:spacing w:after="0" w:line="296"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8"/>
          <w:szCs w:val="18"/>
          <w:color w:val="auto"/>
        </w:rPr>
        <w:t>OR</w:t>
      </w:r>
    </w:p>
    <w:p>
      <w:pPr>
        <w:spacing w:after="0" w:line="200" w:lineRule="exact"/>
        <w:rPr>
          <w:sz w:val="24"/>
          <w:szCs w:val="24"/>
          <w:color w:val="auto"/>
        </w:rPr>
      </w:pPr>
    </w:p>
    <w:p>
      <w:pPr>
        <w:spacing w:after="0" w:line="224" w:lineRule="exact"/>
        <w:rPr>
          <w:sz w:val="24"/>
          <w:szCs w:val="24"/>
          <w:color w:val="auto"/>
        </w:rPr>
      </w:pPr>
    </w:p>
    <w:p>
      <w:pPr>
        <w:ind w:left="360" w:right="1179" w:hanging="334"/>
        <w:spacing w:after="0" w:line="333" w:lineRule="auto"/>
        <w:tabs>
          <w:tab w:leader="none" w:pos="360" w:val="left"/>
        </w:tabs>
        <w:numPr>
          <w:ilvl w:val="0"/>
          <w:numId w:val="2"/>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8"/>
          <w:szCs w:val="18"/>
          <w:b w:val="1"/>
          <w:bCs w:val="1"/>
          <w:color w:val="auto"/>
        </w:rPr>
        <w:t xml:space="preserve">TRANSITION REPORT PURSUANT TO SECTION 15(d) OF THE SECURITIES EXCHANGE ACT OF 1934 </w:t>
      </w:r>
      <w:r>
        <w:rPr>
          <w:rFonts w:ascii="Times New Roman" w:cs="Times New Roman" w:eastAsia="Times New Roman" w:hAnsi="Times New Roman"/>
          <w:sz w:val="18"/>
          <w:szCs w:val="18"/>
          <w:color w:val="auto"/>
        </w:rPr>
        <w:t>For the transition period from ___________________ to 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Commission file number 1-7685</w:t>
      </w:r>
    </w:p>
    <w:p>
      <w:pPr>
        <w:spacing w:after="0" w:line="216" w:lineRule="exact"/>
        <w:rPr>
          <w:sz w:val="24"/>
          <w:szCs w:val="24"/>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Full title of the plan and the address of the plan, if different from that of the issuer named below:</w:t>
      </w:r>
    </w:p>
    <w:p>
      <w:pPr>
        <w:spacing w:after="0" w:line="221"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AVERY DENNISON CORPORATION EMPLOYEE SAVINGS PLAN</w:t>
      </w:r>
    </w:p>
    <w:p>
      <w:pPr>
        <w:spacing w:after="0" w:line="216" w:lineRule="exact"/>
        <w:rPr>
          <w:sz w:val="24"/>
          <w:szCs w:val="24"/>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color w:val="auto"/>
        </w:rPr>
        <w:t>B.</w:t>
        <w:tab/>
        <w:t>Name of issuer of the securities held pursuant to the plan and the address of its principal executive office:</w:t>
      </w:r>
    </w:p>
    <w:p>
      <w:pPr>
        <w:spacing w:after="0" w:line="208"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AVERY DENNISON CORPORATION</w:t>
      </w:r>
    </w:p>
    <w:p>
      <w:pPr>
        <w:ind w:left="4820"/>
        <w:spacing w:after="0" w:line="210" w:lineRule="auto"/>
        <w:rPr>
          <w:sz w:val="20"/>
          <w:szCs w:val="20"/>
          <w:color w:val="auto"/>
        </w:rPr>
      </w:pPr>
      <w:r>
        <w:rPr>
          <w:rFonts w:ascii="Times New Roman" w:cs="Times New Roman" w:eastAsia="Times New Roman" w:hAnsi="Times New Roman"/>
          <w:sz w:val="18"/>
          <w:szCs w:val="18"/>
          <w:color w:val="auto"/>
        </w:rPr>
        <w:t>8080 Norton Parkway</w:t>
      </w:r>
    </w:p>
    <w:p>
      <w:pPr>
        <w:ind w:left="4900"/>
        <w:spacing w:after="0"/>
        <w:rPr>
          <w:sz w:val="20"/>
          <w:szCs w:val="20"/>
          <w:color w:val="auto"/>
        </w:rPr>
      </w:pPr>
      <w:r>
        <w:rPr>
          <w:rFonts w:ascii="Times New Roman" w:cs="Times New Roman" w:eastAsia="Times New Roman" w:hAnsi="Times New Roman"/>
          <w:sz w:val="18"/>
          <w:szCs w:val="18"/>
          <w:color w:val="auto"/>
        </w:rPr>
        <w:t>Mentor, Ohio 44060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1732280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1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AVERY DENNISON CORPORATION</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EMPLOYEE SAVINGS PLAN</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FISCAL YEAR 2025 ANNUAL REPORT ON FORM 11-K</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00" w:lineRule="exact"/>
        <w:rPr>
          <w:sz w:val="20"/>
          <w:szCs w:val="20"/>
          <w:color w:val="auto"/>
        </w:rPr>
      </w:pP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Page</w:t>
            </w:r>
          </w:p>
        </w:tc>
        <w:tc>
          <w:tcPr>
            <w:tcW w:w="0" w:type="dxa"/>
            <w:vAlign w:val="bottom"/>
          </w:tcPr>
          <w:p>
            <w:pPr>
              <w:spacing w:after="0"/>
              <w:rPr>
                <w:sz w:val="1"/>
                <w:szCs w:val="1"/>
                <w:color w:val="auto"/>
              </w:rPr>
            </w:pPr>
          </w:p>
        </w:tc>
      </w:tr>
      <w:tr>
        <w:trPr>
          <w:trHeight w:val="343"/>
        </w:trPr>
        <w:tc>
          <w:tcPr>
            <w:tcW w:w="894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Report of Independent Registered Public Accounting Firm</w:t>
            </w: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93"/>
        </w:trPr>
        <w:tc>
          <w:tcPr>
            <w:tcW w:w="38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auto"/>
              </w:rPr>
              <w:t>Financial Statements:</w:t>
            </w:r>
          </w:p>
        </w:tc>
        <w:tc>
          <w:tcPr>
            <w:tcW w:w="5140" w:type="dxa"/>
            <w:vAlign w:val="bottom"/>
            <w:gridSpan w:val="5"/>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680" w:type="dxa"/>
            <w:vAlign w:val="bottom"/>
          </w:tcPr>
          <w:p>
            <w:pPr>
              <w:spacing w:after="0"/>
              <w:rPr>
                <w:sz w:val="24"/>
                <w:szCs w:val="24"/>
                <w:color w:val="auto"/>
              </w:rPr>
            </w:pPr>
          </w:p>
        </w:tc>
        <w:tc>
          <w:tcPr>
            <w:tcW w:w="82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Statements of Net Assets Available for Benefits as of December 31, 2025 and 2024</w:t>
            </w: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680" w:type="dxa"/>
            <w:vAlign w:val="bottom"/>
            <w:tcBorders>
              <w:right w:val="single" w:sz="8" w:color="0000FF"/>
            </w:tcBorders>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line="20" w:lineRule="exact"/>
              <w:rPr>
                <w:sz w:val="1"/>
                <w:szCs w:val="1"/>
                <w:color w:val="auto"/>
              </w:rPr>
            </w:pPr>
          </w:p>
        </w:tc>
      </w:tr>
      <w:tr>
        <w:trPr>
          <w:trHeight w:val="371"/>
        </w:trPr>
        <w:tc>
          <w:tcPr>
            <w:tcW w:w="680" w:type="dxa"/>
            <w:vAlign w:val="bottom"/>
          </w:tcPr>
          <w:p>
            <w:pPr>
              <w:spacing w:after="0"/>
              <w:rPr>
                <w:sz w:val="24"/>
                <w:szCs w:val="24"/>
                <w:color w:val="auto"/>
              </w:rPr>
            </w:pPr>
          </w:p>
        </w:tc>
        <w:tc>
          <w:tcPr>
            <w:tcW w:w="82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Statement of Changes in Net Assets Available for Benefits for the Year Ended December 31, 2025</w:t>
            </w:r>
          </w:p>
        </w:tc>
        <w:tc>
          <w:tcPr>
            <w:tcW w:w="2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80" w:type="dxa"/>
            <w:vAlign w:val="bottom"/>
          </w:tcPr>
          <w:p>
            <w:pPr>
              <w:spacing w:after="0"/>
              <w:rPr>
                <w:sz w:val="24"/>
                <w:szCs w:val="24"/>
                <w:color w:val="auto"/>
              </w:rPr>
            </w:pPr>
          </w:p>
        </w:tc>
        <w:tc>
          <w:tcPr>
            <w:tcW w:w="19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Notes to Financial Statements</w:t>
            </w:r>
          </w:p>
        </w:tc>
        <w:tc>
          <w:tcPr>
            <w:tcW w:w="4420" w:type="dxa"/>
            <w:vAlign w:val="bottom"/>
            <w:tcBorders>
              <w:top w:val="single" w:sz="8" w:color="0000FF"/>
            </w:tcBorders>
            <w:gridSpan w:val="5"/>
          </w:tcPr>
          <w:p>
            <w:pPr>
              <w:spacing w:after="0"/>
              <w:rPr>
                <w:sz w:val="24"/>
                <w:szCs w:val="24"/>
                <w:color w:val="auto"/>
              </w:rPr>
            </w:pPr>
          </w:p>
        </w:tc>
        <w:tc>
          <w:tcPr>
            <w:tcW w:w="192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393"/>
        </w:trPr>
        <w:tc>
          <w:tcPr>
            <w:tcW w:w="89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Supplemental Information:</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680" w:type="dxa"/>
            <w:vAlign w:val="bottom"/>
          </w:tcPr>
          <w:p>
            <w:pPr>
              <w:spacing w:after="0"/>
              <w:rPr>
                <w:sz w:val="24"/>
                <w:szCs w:val="24"/>
                <w:color w:val="auto"/>
              </w:rPr>
            </w:pPr>
          </w:p>
        </w:tc>
        <w:tc>
          <w:tcPr>
            <w:tcW w:w="58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Schedule H, line 4(i) – Schedule of Assets (Held at End of Year) as of December 31, 2025</w:t>
            </w:r>
          </w:p>
        </w:tc>
        <w:tc>
          <w:tcPr>
            <w:tcW w:w="2440" w:type="dxa"/>
            <w:vAlign w:val="bottom"/>
            <w:gridSpan w:val="2"/>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358"/>
        </w:trPr>
        <w:tc>
          <w:tcPr>
            <w:tcW w:w="894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393"/>
        </w:trPr>
        <w:tc>
          <w:tcPr>
            <w:tcW w:w="6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color w:val="auto"/>
              </w:rPr>
              <w:t>Exhibit:</w:t>
            </w:r>
          </w:p>
        </w:tc>
        <w:tc>
          <w:tcPr>
            <w:tcW w:w="8260" w:type="dxa"/>
            <w:vAlign w:val="bottom"/>
            <w:gridSpan w:val="7"/>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680" w:type="dxa"/>
            <w:vAlign w:val="bottom"/>
          </w:tcPr>
          <w:p>
            <w:pPr>
              <w:spacing w:after="0"/>
              <w:rPr>
                <w:sz w:val="24"/>
                <w:szCs w:val="24"/>
                <w:color w:val="auto"/>
              </w:rPr>
            </w:pPr>
          </w:p>
        </w:tc>
        <w:tc>
          <w:tcPr>
            <w:tcW w:w="82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Exhibit 23 – Consent of Independent Registered Public Accounting Firm</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Borders>
              <w:right w:val="single" w:sz="8" w:color="0000FF"/>
            </w:tcBorders>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jc w:val="both"/>
        <w:ind w:left="20"/>
        <w:spacing w:after="0" w:line="232" w:lineRule="auto"/>
        <w:rPr>
          <w:sz w:val="20"/>
          <w:szCs w:val="20"/>
          <w:color w:val="auto"/>
        </w:rPr>
      </w:pPr>
      <w:r>
        <w:rPr>
          <w:rFonts w:ascii="Times New Roman" w:cs="Times New Roman" w:eastAsia="Times New Roman" w:hAnsi="Times New Roman"/>
          <w:sz w:val="16"/>
          <w:szCs w:val="16"/>
          <w:color w:val="auto"/>
        </w:rPr>
        <w:t>The Avery Dennison Corporation Employee Savings Plan (the “Plan”) is subject to the Employee Retirement Income Security Act of 1974, as amended (“ERISA”). In lieu of the requirements of Items 1-3 of Form 11-K, the financial statements of the Plan and the supplemental information presented herein have been prepared in accordance with the financial reporting requirements of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737235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REPORT OF INDEPENDENT REGISTERED PUBLIC ACCOUNTING FIRM</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Plan Administrator and Plan Participants of</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Avery Dennison Corporation Employee Savings Plan</w:t>
      </w:r>
    </w:p>
    <w:p>
      <w:pPr>
        <w:spacing w:after="0"/>
        <w:rPr>
          <w:sz w:val="20"/>
          <w:szCs w:val="20"/>
          <w:color w:val="auto"/>
        </w:rPr>
      </w:pPr>
      <w:r>
        <w:rPr>
          <w:rFonts w:ascii="Times New Roman" w:cs="Times New Roman" w:eastAsia="Times New Roman" w:hAnsi="Times New Roman"/>
          <w:sz w:val="16"/>
          <w:szCs w:val="16"/>
          <w:color w:val="auto"/>
        </w:rPr>
        <w:t>Mentor, Ohio</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Opinion on the Financial Statements</w:t>
      </w:r>
    </w:p>
    <w:p>
      <w:pPr>
        <w:spacing w:after="0" w:line="25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We have audited the accompanying statements of net assets available for benefits of Avery Dennison Corporation Employee Savings Plan (the "Plan") as of December 31, 2025 and 2024,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for Opinion</w:t>
      </w:r>
    </w:p>
    <w:p>
      <w:pPr>
        <w:spacing w:after="0" w:line="2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Supplemental Information</w:t>
      </w:r>
    </w:p>
    <w:p>
      <w:pPr>
        <w:spacing w:after="0" w:line="2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 supplemental Schedule H, Line 4i – Schedule of Assets (Held at End of Year) as of December 31, 2025 has been subjected to audit procedures performed in conjunction with the audit of the Plan’s financial statements. The supplemental schedule is the responsibility of the Plan’s management. Our audit procedures included determining whether the information presented in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conformity with the Department of Labor’s Rules and Regulations for Reporting and Disclosure under the Employee Retirement Income Security Act of 1974. In our opinion, the supplemental schedule is fairly stated in all material respects in relation to the financial statements as a whole.</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Crowe LLP</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Plan's auditor since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Oakbrook Terrace, Illinois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16, 2026</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AVERY DENNISON CORPORATION</w:t>
      </w:r>
    </w:p>
    <w:p>
      <w:pPr>
        <w:spacing w:after="0" w:line="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u w:val="single" w:color="auto"/>
          <w:color w:val="auto"/>
        </w:rPr>
        <w:t>EMPLOYEE SAVINGS PLAN</w:t>
      </w:r>
    </w:p>
    <w:p>
      <w:pPr>
        <w:spacing w:after="0" w:line="1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STATEMENTS OF NET ASSETS AVAILABLE FOR BENEFITS</w:t>
      </w:r>
    </w:p>
    <w:p>
      <w:pPr>
        <w:spacing w:after="0" w:line="246"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8" w:lineRule="exact"/>
        <w:rPr>
          <w:sz w:val="20"/>
          <w:szCs w:val="20"/>
          <w:color w:val="auto"/>
        </w:rPr>
      </w:pPr>
    </w:p>
    <w:tbl>
      <w:tblPr>
        <w:tblLayout w:type="fixed"/>
        <w:tblInd w:w="80" w:type="dxa"/>
        <w:tblCellMar>
          <w:top w:w="0" w:type="dxa"/>
          <w:left w:w="0" w:type="dxa"/>
          <w:bottom w:w="0" w:type="dxa"/>
          <w:right w:w="0" w:type="dxa"/>
        </w:tblCellMar>
      </w:tblPr>
      <w:tr>
        <w:trPr>
          <w:trHeight w:val="214"/>
        </w:trPr>
        <w:tc>
          <w:tcPr>
            <w:tcW w:w="8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Assets:</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8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Interest in Master Trust, at fair value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1,404.5</w:t>
            </w:r>
          </w:p>
        </w:tc>
        <w:tc>
          <w:tcPr>
            <w:tcW w:w="4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1,266.1</w:t>
            </w:r>
          </w:p>
        </w:tc>
      </w:tr>
      <w:tr>
        <w:trPr>
          <w:trHeight w:val="219"/>
        </w:trPr>
        <w:tc>
          <w:tcPr>
            <w:tcW w:w="8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Interest in Master Trust, at contract value</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72.1</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w:t>
            </w:r>
          </w:p>
        </w:tc>
      </w:tr>
      <w:tr>
        <w:trPr>
          <w:trHeight w:val="213"/>
        </w:trPr>
        <w:tc>
          <w:tcPr>
            <w:tcW w:w="8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Notes receivable from participants</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20.2</w:t>
            </w: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199"/>
        </w:trPr>
        <w:tc>
          <w:tcPr>
            <w:tcW w:w="8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3"/>
        </w:trPr>
        <w:tc>
          <w:tcPr>
            <w:tcW w:w="8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Net assets available for benefits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1,496.8</w:t>
            </w:r>
          </w:p>
        </w:tc>
        <w:tc>
          <w:tcPr>
            <w:tcW w:w="4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1,363.6</w:t>
            </w:r>
          </w:p>
        </w:tc>
      </w:tr>
    </w:tbl>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4"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AVERY DENNISON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EMPLOYEE SAVINGS PLAN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STATEMENT OF CHANGES IN NET ASSETS AVAILABLE FOR BENEFITS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3"/>
        </w:trPr>
        <w:tc>
          <w:tcPr>
            <w:tcW w:w="9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Additions:</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9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Participation in net income of Master Trust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181.5</w:t>
            </w:r>
          </w:p>
        </w:tc>
      </w:tr>
      <w:tr>
        <w:trPr>
          <w:trHeight w:val="219"/>
        </w:trPr>
        <w:tc>
          <w:tcPr>
            <w:tcW w:w="9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on notes receivable from participants</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6"/>
        </w:trPr>
        <w:tc>
          <w:tcPr>
            <w:tcW w:w="9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9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Contributions:</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99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Participant contributions</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w:t>
            </w:r>
          </w:p>
        </w:tc>
      </w:tr>
      <w:tr>
        <w:trPr>
          <w:trHeight w:val="219"/>
        </w:trPr>
        <w:tc>
          <w:tcPr>
            <w:tcW w:w="9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Employer contributions</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r>
      <w:tr>
        <w:trPr>
          <w:trHeight w:val="213"/>
        </w:trPr>
        <w:tc>
          <w:tcPr>
            <w:tcW w:w="99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Participant rollover contributions</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09"/>
        </w:trPr>
        <w:tc>
          <w:tcPr>
            <w:tcW w:w="994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Total contributions</w:t>
            </w: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w:t>
            </w:r>
          </w:p>
        </w:tc>
      </w:tr>
      <w:tr>
        <w:trPr>
          <w:trHeight w:val="210"/>
        </w:trPr>
        <w:tc>
          <w:tcPr>
            <w:tcW w:w="99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Total additions</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281.9</w:t>
            </w:r>
          </w:p>
        </w:tc>
      </w:tr>
      <w:tr>
        <w:trPr>
          <w:trHeight w:val="199"/>
        </w:trPr>
        <w:tc>
          <w:tcPr>
            <w:tcW w:w="9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3"/>
        </w:trPr>
        <w:tc>
          <w:tcPr>
            <w:tcW w:w="9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Deductions:</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9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Benefits paid to participants</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w:t>
            </w:r>
          </w:p>
        </w:tc>
      </w:tr>
      <w:tr>
        <w:trPr>
          <w:trHeight w:val="213"/>
        </w:trPr>
        <w:tc>
          <w:tcPr>
            <w:tcW w:w="99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Administrative expenses</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0"/>
        </w:trPr>
        <w:tc>
          <w:tcPr>
            <w:tcW w:w="99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deductions</w:t>
            </w: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w:t>
            </w:r>
          </w:p>
        </w:tc>
      </w:tr>
      <w:tr>
        <w:trPr>
          <w:trHeight w:val="199"/>
        </w:trPr>
        <w:tc>
          <w:tcPr>
            <w:tcW w:w="9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9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 increase in net assets available for benefits</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w:t>
            </w:r>
          </w:p>
        </w:tc>
      </w:tr>
      <w:tr>
        <w:trPr>
          <w:trHeight w:val="216"/>
        </w:trPr>
        <w:tc>
          <w:tcPr>
            <w:tcW w:w="9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9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 assets available for benefits:</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99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Beginning of year</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1,363.6</w:t>
            </w:r>
          </w:p>
        </w:tc>
      </w:tr>
      <w:tr>
        <w:trPr>
          <w:trHeight w:val="219"/>
        </w:trPr>
        <w:tc>
          <w:tcPr>
            <w:tcW w:w="99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End of year</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1,496.8</w:t>
            </w:r>
          </w:p>
        </w:tc>
      </w:tr>
    </w:tbl>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4"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AVERY DENNISON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EMPLOYEE SAVINGS PLAN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00" w:hanging="292"/>
        <w:spacing w:after="0"/>
        <w:tabs>
          <w:tab w:leader="none" w:pos="30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Description of the Plan</w:t>
      </w:r>
    </w:p>
    <w:p>
      <w:pPr>
        <w:spacing w:after="0" w:line="223" w:lineRule="exact"/>
        <w:rPr>
          <w:sz w:val="20"/>
          <w:szCs w:val="20"/>
          <w:color w:val="auto"/>
        </w:rPr>
      </w:pPr>
    </w:p>
    <w:p>
      <w:pPr>
        <w:jc w:val="both"/>
        <w:ind w:left="420" w:right="20"/>
        <w:spacing w:after="0" w:line="245" w:lineRule="auto"/>
        <w:rPr>
          <w:sz w:val="20"/>
          <w:szCs w:val="20"/>
          <w:color w:val="auto"/>
        </w:rPr>
      </w:pPr>
      <w:r>
        <w:rPr>
          <w:rFonts w:ascii="Times New Roman" w:cs="Times New Roman" w:eastAsia="Times New Roman" w:hAnsi="Times New Roman"/>
          <w:sz w:val="16"/>
          <w:szCs w:val="16"/>
          <w:color w:val="auto"/>
        </w:rPr>
        <w:t>The following description of the Avery Dennison Corporation Employee Savings Plan (the “Plan”) is provided for financial reporting purposes only. For information regarding the terms and conditions of the Plan for benefit purposes, participants should refer to the Plan document.</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u w:val="single" w:color="auto"/>
          <w:color w:val="auto"/>
        </w:rPr>
        <w:t>General</w:t>
      </w:r>
    </w:p>
    <w:p>
      <w:pPr>
        <w:jc w:val="both"/>
        <w:ind w:left="420"/>
        <w:spacing w:after="0" w:line="224" w:lineRule="auto"/>
        <w:rPr>
          <w:sz w:val="20"/>
          <w:szCs w:val="20"/>
          <w:color w:val="auto"/>
        </w:rPr>
      </w:pPr>
      <w:r>
        <w:rPr>
          <w:rFonts w:ascii="Times New Roman" w:cs="Times New Roman" w:eastAsia="Times New Roman" w:hAnsi="Times New Roman"/>
          <w:sz w:val="16"/>
          <w:szCs w:val="16"/>
          <w:color w:val="auto"/>
        </w:rPr>
        <w:t>The Plan covers eligible U.S. employees of Avery Dennison Corporation (the “Company”), the Plan Sponsor and, through the Company's Administrative Committee, the Plan Administrator. The Plan is a defined contribution plan subject to the provisions of the Employee Retirement Income Security Act of 1974, as amended (“ERISA”).</w:t>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The Plan is a “safe harbor 401(k) plan” under the Internal Revenue Code (“IRC”).</w:t>
      </w:r>
    </w:p>
    <w:p>
      <w:pPr>
        <w:spacing w:after="0" w:line="221" w:lineRule="exact"/>
        <w:rPr>
          <w:sz w:val="20"/>
          <w:szCs w:val="20"/>
          <w:color w:val="auto"/>
        </w:rPr>
      </w:pPr>
    </w:p>
    <w:p>
      <w:pPr>
        <w:jc w:val="both"/>
        <w:ind w:left="420"/>
        <w:spacing w:after="0" w:line="232" w:lineRule="auto"/>
        <w:rPr>
          <w:sz w:val="20"/>
          <w:szCs w:val="20"/>
          <w:color w:val="auto"/>
        </w:rPr>
      </w:pPr>
      <w:r>
        <w:rPr>
          <w:rFonts w:ascii="Times New Roman" w:cs="Times New Roman" w:eastAsia="Times New Roman" w:hAnsi="Times New Roman"/>
          <w:sz w:val="16"/>
          <w:szCs w:val="16"/>
          <w:color w:val="auto"/>
        </w:rPr>
        <w:t>The assets of the Plan are co-invested with the assets of the Lion Brothers Company 401(k) Union Employees Plan in the Avery Dennison Corporation Master Trust ("Master Trust"). The Plan's share of investment income in the Master Trust is included in "Participation in net income of Master Trust" in the Statement of Changes in Net Assets Available for Benefits.</w:t>
      </w:r>
    </w:p>
    <w:p>
      <w:pPr>
        <w:spacing w:after="0" w:line="1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u w:val="single" w:color="auto"/>
          <w:color w:val="auto"/>
        </w:rPr>
        <w:t>Company Contributions</w:t>
      </w:r>
    </w:p>
    <w:p>
      <w:pPr>
        <w:jc w:val="both"/>
        <w:ind w:left="420"/>
        <w:spacing w:after="0" w:line="231" w:lineRule="auto"/>
        <w:rPr>
          <w:sz w:val="20"/>
          <w:szCs w:val="20"/>
          <w:color w:val="auto"/>
        </w:rPr>
      </w:pPr>
      <w:r>
        <w:rPr>
          <w:rFonts w:ascii="Times New Roman" w:cs="Times New Roman" w:eastAsia="Times New Roman" w:hAnsi="Times New Roman"/>
          <w:sz w:val="16"/>
          <w:szCs w:val="16"/>
          <w:color w:val="auto"/>
        </w:rPr>
        <w:t>The Company makes an automatic contribution to the Plan equal to 3% of an eligible employee’s eligible compensation regardless of the participant's contributions and a matching contribution of 50% of the first 7% of eligible compensation that is contributed by an eligible employee each pay period.</w:t>
      </w:r>
    </w:p>
    <w:p>
      <w:pPr>
        <w:spacing w:after="0" w:line="195" w:lineRule="exact"/>
        <w:rPr>
          <w:sz w:val="20"/>
          <w:szCs w:val="20"/>
          <w:color w:val="auto"/>
        </w:rPr>
      </w:pPr>
    </w:p>
    <w:p>
      <w:pPr>
        <w:jc w:val="both"/>
        <w:ind w:left="420"/>
        <w:spacing w:after="0"/>
        <w:rPr>
          <w:sz w:val="20"/>
          <w:szCs w:val="20"/>
          <w:color w:val="auto"/>
        </w:rPr>
      </w:pPr>
      <w:r>
        <w:rPr>
          <w:rFonts w:ascii="Times New Roman" w:cs="Times New Roman" w:eastAsia="Times New Roman" w:hAnsi="Times New Roman"/>
          <w:sz w:val="16"/>
          <w:szCs w:val="16"/>
          <w:color w:val="auto"/>
        </w:rPr>
        <w:t>An additional Plan feature provides an annual “true-up” Company contribution to ensure that participants receive the maximum Company matching contribution for which they are eligible. At the end of each year, the participant’s maximum Company matching contribution is calculated using the participant’s annualized average contribution percentage. If the participant’s actual Company matching contribution received during the year is less than the participant’s maximum Company matching contribution, then the difference is deposited as a lump sum into the eligible participant’s account as soon as administratively feasible following the Plan year-end.</w:t>
      </w:r>
    </w:p>
    <w:p>
      <w:pPr>
        <w:spacing w:after="0" w:line="317" w:lineRule="exact"/>
        <w:rPr>
          <w:sz w:val="20"/>
          <w:szCs w:val="20"/>
          <w:color w:val="auto"/>
        </w:rPr>
      </w:pPr>
    </w:p>
    <w:p>
      <w:pPr>
        <w:jc w:val="both"/>
        <w:ind w:left="420"/>
        <w:spacing w:after="0" w:line="245" w:lineRule="auto"/>
        <w:rPr>
          <w:sz w:val="20"/>
          <w:szCs w:val="20"/>
          <w:color w:val="auto"/>
        </w:rPr>
      </w:pPr>
      <w:r>
        <w:rPr>
          <w:rFonts w:ascii="Times New Roman" w:cs="Times New Roman" w:eastAsia="Times New Roman" w:hAnsi="Times New Roman"/>
          <w:sz w:val="16"/>
          <w:szCs w:val="16"/>
          <w:color w:val="auto"/>
        </w:rPr>
        <w:t>The Company can elect to contribute to the Plan in Company stock or cash. Both cash and stock contributions are invested in accordance with participant elections on file. In 2025, all Company contributions were made in Company stock.</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u w:val="single" w:color="auto"/>
          <w:color w:val="auto"/>
        </w:rPr>
        <w:t>Participant Contributions</w:t>
      </w:r>
    </w:p>
    <w:p>
      <w:pPr>
        <w:jc w:val="both"/>
        <w:ind w:left="420" w:right="20"/>
        <w:spacing w:after="0" w:line="243" w:lineRule="auto"/>
        <w:rPr>
          <w:sz w:val="20"/>
          <w:szCs w:val="20"/>
          <w:color w:val="auto"/>
        </w:rPr>
      </w:pPr>
      <w:r>
        <w:rPr>
          <w:rFonts w:ascii="Times New Roman" w:cs="Times New Roman" w:eastAsia="Times New Roman" w:hAnsi="Times New Roman"/>
          <w:sz w:val="16"/>
          <w:szCs w:val="16"/>
          <w:color w:val="auto"/>
        </w:rPr>
        <w:t>Eligible employees are automatically enrolled in the Plan with a pretax contribution rate of 7% after 30 days of employment, unless the employee affirmatively elects not to participate. Participants direct the investment of their contributions into investment options offered under the Plan. If a participant does not make an investment election, their contributions are invested in the Plan's applicable qualified default investment alternative.</w:t>
      </w:r>
    </w:p>
    <w:p>
      <w:pPr>
        <w:spacing w:after="0" w:line="220" w:lineRule="exact"/>
        <w:rPr>
          <w:sz w:val="20"/>
          <w:szCs w:val="20"/>
          <w:color w:val="auto"/>
        </w:rPr>
      </w:pPr>
    </w:p>
    <w:p>
      <w:pPr>
        <w:jc w:val="both"/>
        <w:ind w:left="420"/>
        <w:spacing w:after="0" w:line="227" w:lineRule="auto"/>
        <w:rPr>
          <w:sz w:val="20"/>
          <w:szCs w:val="20"/>
          <w:color w:val="auto"/>
        </w:rPr>
      </w:pPr>
      <w:r>
        <w:rPr>
          <w:rFonts w:ascii="Times New Roman" w:cs="Times New Roman" w:eastAsia="Times New Roman" w:hAnsi="Times New Roman"/>
          <w:sz w:val="16"/>
          <w:szCs w:val="16"/>
          <w:color w:val="auto"/>
        </w:rPr>
        <w:t>Participants can contribute any whole percentage (up to 100% less payroll deductions) of their eligible compensation as pretax and Roth contributions combined and from 1% to 25% of their eligible compensation as after-tax contributions, in each case subject to applicable Internal Revenue Service ("IRS") contribution limits. Participants can make one election that covers their regular pretax and Roth contributions and, if eligible, their catch-up contributions, subject to applicable IRS contribution limits.</w:t>
      </w:r>
    </w:p>
    <w:p>
      <w:pPr>
        <w:spacing w:after="0" w:line="195" w:lineRule="exact"/>
        <w:rPr>
          <w:sz w:val="20"/>
          <w:szCs w:val="20"/>
          <w:color w:val="auto"/>
        </w:rPr>
      </w:pPr>
    </w:p>
    <w:p>
      <w:pPr>
        <w:jc w:val="both"/>
        <w:ind w:left="420"/>
        <w:spacing w:after="0"/>
        <w:rPr>
          <w:sz w:val="20"/>
          <w:szCs w:val="20"/>
          <w:color w:val="auto"/>
        </w:rPr>
      </w:pPr>
      <w:r>
        <w:rPr>
          <w:rFonts w:ascii="Times New Roman" w:cs="Times New Roman" w:eastAsia="Times New Roman" w:hAnsi="Times New Roman"/>
          <w:sz w:val="16"/>
          <w:szCs w:val="16"/>
          <w:color w:val="auto"/>
        </w:rPr>
        <w:t>At the start of each calendar year, a participant’s contributions default to the pretax and/or Roth contribution election on file. A pretax and/or Roth contribution election automatically converts to an after-tax contribution election (referred to as the “spillover feature”) once a participant reaches the IRS annual combined pretax and Roth contribution limit during a calendar year, which remains in effect for the remainder of the year, subject to applicable IRS contribution limits. Participants have the opportunity to opt out of the automatic spillover feature and cease making contributions once they reach the IRS annual combined pretax and Roth contribution limit.</w:t>
      </w:r>
    </w:p>
    <w:p>
      <w:pPr>
        <w:spacing w:after="0" w:line="3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The Plan allows in-plan Roth conversions for existing non-Roth funds that are eligible for Roth tax treatment.</w:t>
      </w:r>
    </w:p>
    <w:p>
      <w:pPr>
        <w:spacing w:after="0" w:line="221" w:lineRule="exact"/>
        <w:rPr>
          <w:sz w:val="20"/>
          <w:szCs w:val="20"/>
          <w:color w:val="auto"/>
        </w:rPr>
      </w:pPr>
    </w:p>
    <w:p>
      <w:pPr>
        <w:jc w:val="both"/>
        <w:ind w:left="420"/>
        <w:spacing w:after="0" w:line="168" w:lineRule="exact"/>
        <w:rPr>
          <w:sz w:val="20"/>
          <w:szCs w:val="20"/>
          <w:color w:val="auto"/>
        </w:rPr>
      </w:pPr>
      <w:r>
        <w:rPr>
          <w:rFonts w:ascii="Times New Roman" w:cs="Times New Roman" w:eastAsia="Times New Roman" w:hAnsi="Times New Roman"/>
          <w:sz w:val="16"/>
          <w:szCs w:val="16"/>
          <w:color w:val="auto"/>
        </w:rPr>
        <w:t>Participants are automatically enrolled in an annual increase program if the sum of their pretax, Roth and/or after-tax contribution rates is greater than 0% but less than 15%. If participants are contributing less than 15% of their eligible compensation as pretax, Roth and/or after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tax contributions on the determination date, then the participants' contribution rate automatically increases by 1 percentage point as soon as administratively feasible after April 1 of each year until their combined pretax, Roth and after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tax contribution rate reaches 15%. If a participant has a positive pretax contribution rate on the determination date, the automatic increase applies to the pretax contribution rate. If a participant's pretax contribution rate is 0% and the Roth contribution rate is positive on the determination date, the automatic increase applies to the Roth contribution rate. If the pretax and Roth contribution rates are 0% on the determination date, the automatic increase applies to the after-tax contribution rate. The automatic increase feature generally applies to all participants whose combined contribution rate is greater than 0% but less than 15%, whether contributing by affirmative election or automatic enrollment, unless a participant has opted out of the program. Participants may opt out of this program or elect to participate in an optional affirmative increase program under which they may choose their annual contribution increase (up to a maximum of 3%).</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AVERY DENNISON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EMPLOYEE SAVINGS PLAN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u w:val="single" w:color="auto"/>
          <w:color w:val="auto"/>
        </w:rPr>
        <w:t>Participant Accounts</w:t>
      </w:r>
    </w:p>
    <w:p>
      <w:pPr>
        <w:jc w:val="both"/>
        <w:ind w:left="420"/>
        <w:spacing w:after="0" w:line="231" w:lineRule="auto"/>
        <w:rPr>
          <w:sz w:val="20"/>
          <w:szCs w:val="20"/>
          <w:color w:val="auto"/>
        </w:rPr>
      </w:pPr>
      <w:r>
        <w:rPr>
          <w:rFonts w:ascii="Times New Roman" w:cs="Times New Roman" w:eastAsia="Times New Roman" w:hAnsi="Times New Roman"/>
          <w:sz w:val="16"/>
          <w:szCs w:val="16"/>
          <w:color w:val="auto"/>
        </w:rPr>
        <w:t>Each participant’s account is credited with the participant’s contributions, the Company’s contributions, and earnings on these contributions. The participant’s entire benefit under the Plan is provided from the participant’s vested account balance.</w:t>
      </w:r>
    </w:p>
    <w:p>
      <w:pPr>
        <w:spacing w:after="0" w:line="1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u w:val="single" w:color="auto"/>
          <w:color w:val="auto"/>
        </w:rPr>
        <w:t>Rollovers</w:t>
      </w:r>
    </w:p>
    <w:p>
      <w:pPr>
        <w:ind w:left="420"/>
        <w:spacing w:after="0"/>
        <w:rPr>
          <w:sz w:val="20"/>
          <w:szCs w:val="20"/>
          <w:color w:val="auto"/>
        </w:rPr>
      </w:pPr>
      <w:r>
        <w:rPr>
          <w:rFonts w:ascii="Times New Roman" w:cs="Times New Roman" w:eastAsia="Times New Roman" w:hAnsi="Times New Roman"/>
          <w:sz w:val="16"/>
          <w:szCs w:val="16"/>
          <w:color w:val="auto"/>
        </w:rPr>
        <w:t>Eligible employees are permitted to contribute eligible rollover distributions into the Plan.</w:t>
      </w:r>
    </w:p>
    <w:p>
      <w:pPr>
        <w:spacing w:after="0" w:line="2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u w:val="single" w:color="auto"/>
          <w:color w:val="auto"/>
        </w:rPr>
        <w:t>Vesting and Forfeitures</w:t>
      </w:r>
    </w:p>
    <w:p>
      <w:pPr>
        <w:jc w:val="both"/>
        <w:ind w:left="420"/>
        <w:spacing w:after="0" w:line="205" w:lineRule="auto"/>
        <w:rPr>
          <w:sz w:val="20"/>
          <w:szCs w:val="20"/>
          <w:color w:val="auto"/>
        </w:rPr>
      </w:pPr>
      <w:r>
        <w:rPr>
          <w:rFonts w:ascii="Times New Roman" w:cs="Times New Roman" w:eastAsia="Times New Roman" w:hAnsi="Times New Roman"/>
          <w:sz w:val="16"/>
          <w:szCs w:val="16"/>
          <w:color w:val="auto"/>
        </w:rPr>
        <w:t>Participant contributions and earnings thereon are immediately fully vested. Company contributions and earnings thereon are fully vested after two years of service. Company contributions also vest upon a participant’s death or 65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birthday, or if the Plan is terminated or discontinued, provided in each case that the participant is an employee at the time. In addition, participants who die while performing qualified military service become fully vested in their Company contributions and earnings thereon.</w:t>
      </w:r>
    </w:p>
    <w:p>
      <w:pPr>
        <w:spacing w:after="0" w:line="195" w:lineRule="exact"/>
        <w:rPr>
          <w:sz w:val="20"/>
          <w:szCs w:val="20"/>
          <w:color w:val="auto"/>
        </w:rPr>
      </w:pPr>
    </w:p>
    <w:p>
      <w:pPr>
        <w:jc w:val="both"/>
        <w:ind w:left="420"/>
        <w:spacing w:after="0"/>
        <w:rPr>
          <w:sz w:val="20"/>
          <w:szCs w:val="20"/>
          <w:color w:val="auto"/>
        </w:rPr>
      </w:pPr>
      <w:r>
        <w:rPr>
          <w:rFonts w:ascii="Times New Roman" w:cs="Times New Roman" w:eastAsia="Times New Roman" w:hAnsi="Times New Roman"/>
          <w:sz w:val="16"/>
          <w:szCs w:val="16"/>
          <w:color w:val="auto"/>
        </w:rPr>
        <w:t>If a participant’s employment terminates prior to vesting, all Company contributions and earnings thereon are forfeited, and may be used to pay administrative expenses of the Plan or offset future Company contributions. The amount of forfeitures used to offset Company contributions was $2.1 million for the year ended December 31, 2025. The amount of forfeitures used to pay administrative expenses of the Plan was $0.1 million for the year ended December 31, 2025. The amounts of forfeitures available to pay administrative plan expenses and offset future contributions as of December 31, 2025 and 2024 were $0.4 million and $1.0 million, respectively.</w:t>
      </w:r>
    </w:p>
    <w:p>
      <w:pPr>
        <w:spacing w:after="0" w:line="3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u w:val="single" w:color="auto"/>
          <w:color w:val="auto"/>
        </w:rPr>
        <w:t>Payment of Benefits</w:t>
      </w:r>
    </w:p>
    <w:p>
      <w:pPr>
        <w:jc w:val="both"/>
        <w:ind w:left="420"/>
        <w:spacing w:after="0" w:line="224" w:lineRule="auto"/>
        <w:rPr>
          <w:sz w:val="20"/>
          <w:szCs w:val="20"/>
          <w:color w:val="auto"/>
        </w:rPr>
      </w:pPr>
      <w:r>
        <w:rPr>
          <w:rFonts w:ascii="Times New Roman" w:cs="Times New Roman" w:eastAsia="Times New Roman" w:hAnsi="Times New Roman"/>
          <w:sz w:val="16"/>
          <w:szCs w:val="16"/>
          <w:color w:val="auto"/>
        </w:rPr>
        <w:t>Participants generally may withdraw or make rollover contributions from their vested account balance when they retire or terminate employment with the Company. Participants may make hardship withdrawals, withdrawals at age 59½, and certain other withdrawals from specified vested accounts during their employment, subject to legal and/or Plan restrictions and requirements.</w:t>
      </w:r>
    </w:p>
    <w:p>
      <w:pPr>
        <w:spacing w:after="0" w:line="1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u w:val="single" w:color="auto"/>
          <w:color w:val="auto"/>
        </w:rPr>
        <w:t>Notes Receivable from Participants</w:t>
      </w:r>
    </w:p>
    <w:p>
      <w:pPr>
        <w:jc w:val="both"/>
        <w:ind w:left="420"/>
        <w:spacing w:after="0" w:line="216" w:lineRule="auto"/>
        <w:rPr>
          <w:sz w:val="20"/>
          <w:szCs w:val="20"/>
          <w:color w:val="auto"/>
        </w:rPr>
      </w:pPr>
      <w:r>
        <w:rPr>
          <w:rFonts w:ascii="Times New Roman" w:cs="Times New Roman" w:eastAsia="Times New Roman" w:hAnsi="Times New Roman"/>
          <w:sz w:val="16"/>
          <w:szCs w:val="16"/>
          <w:color w:val="auto"/>
        </w:rPr>
        <w:t>Participants have the right, subject to certain limitations and requirements, to borrow from certain Plan accounts. In general, loans cannot exceed the lesser of $50,000 or 50% of the participant’s vested account balance at the time the loan is taken and must bear reasonable interest rates commensurate with interest rates charged by persons in the business of lending money for loans made under similar circumstances. Participants may not have more than two loans outstanding at any time. The interest rate is established at the time each loan is made as of the first day of each Plan quarter and fixed at a rate equal to the prime rate (as published by Reuters) plus 1%. Each loan is an asset of the applicable participant’s account on the date of borrowing. The loan is repaid through regular payroll deductions within five years unless the loan is for the purchase of a principal residence, in which case the repayment term may be five, ten or 15 years, as elected by the participant. Interest payments are credited to the applicable participant’s account.</w:t>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u w:val="single" w:color="auto"/>
          <w:color w:val="auto"/>
        </w:rPr>
        <w:t>Administrative Expenses</w:t>
      </w:r>
    </w:p>
    <w:p>
      <w:pPr>
        <w:jc w:val="both"/>
        <w:ind w:left="420"/>
        <w:spacing w:after="0" w:line="231" w:lineRule="auto"/>
        <w:rPr>
          <w:sz w:val="20"/>
          <w:szCs w:val="20"/>
          <w:color w:val="auto"/>
        </w:rPr>
      </w:pPr>
      <w:r>
        <w:rPr>
          <w:rFonts w:ascii="Times New Roman" w:cs="Times New Roman" w:eastAsia="Times New Roman" w:hAnsi="Times New Roman"/>
          <w:sz w:val="16"/>
          <w:szCs w:val="16"/>
          <w:color w:val="auto"/>
        </w:rPr>
        <w:t>Investment management fees and certain administrative expenses are paid by the Plan or paid directly from the participants’ accounts, as permitted by law. All other administrative expenses of the Plan are paid by the Company.</w:t>
      </w:r>
    </w:p>
    <w:p>
      <w:pPr>
        <w:spacing w:after="0" w:line="1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u w:val="single" w:color="auto"/>
          <w:color w:val="auto"/>
        </w:rPr>
        <w:t>Plan Termination</w:t>
      </w:r>
    </w:p>
    <w:p>
      <w:pPr>
        <w:jc w:val="both"/>
        <w:ind w:left="420"/>
        <w:spacing w:after="0" w:line="224" w:lineRule="auto"/>
        <w:rPr>
          <w:sz w:val="20"/>
          <w:szCs w:val="20"/>
          <w:color w:val="auto"/>
        </w:rPr>
      </w:pPr>
      <w:r>
        <w:rPr>
          <w:rFonts w:ascii="Times New Roman" w:cs="Times New Roman" w:eastAsia="Times New Roman" w:hAnsi="Times New Roman"/>
          <w:sz w:val="16"/>
          <w:szCs w:val="16"/>
          <w:color w:val="auto"/>
        </w:rPr>
        <w:t>The Company currently intends to continue the Plan. However, the Company reserves the right to change, amend, terminate or discontinue the Plan at any time, subject to applicable laws and regulations. In the event of Plan termination, any unvested participant would become fully vested in their Company contributions and all account assets would be distributed to participants (or their beneficiaries).</w:t>
      </w:r>
    </w:p>
    <w:p>
      <w:pPr>
        <w:spacing w:after="0" w:line="194" w:lineRule="exact"/>
        <w:rPr>
          <w:sz w:val="20"/>
          <w:szCs w:val="20"/>
          <w:color w:val="auto"/>
        </w:rPr>
      </w:pPr>
    </w:p>
    <w:p>
      <w:pPr>
        <w:ind w:left="300" w:hanging="292"/>
        <w:spacing w:after="0"/>
        <w:tabs>
          <w:tab w:leader="none" w:pos="30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w:t>
      </w:r>
    </w:p>
    <w:p>
      <w:pPr>
        <w:spacing w:after="0" w:line="2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u w:val="single" w:color="auto"/>
          <w:color w:val="auto"/>
        </w:rPr>
        <w:t>Basis of Presentation</w:t>
      </w:r>
    </w:p>
    <w:p>
      <w:pPr>
        <w:jc w:val="both"/>
        <w:ind w:left="420"/>
        <w:spacing w:after="0" w:line="231" w:lineRule="auto"/>
        <w:rPr>
          <w:sz w:val="20"/>
          <w:szCs w:val="20"/>
          <w:color w:val="auto"/>
        </w:rPr>
      </w:pPr>
      <w:r>
        <w:rPr>
          <w:rFonts w:ascii="Times New Roman" w:cs="Times New Roman" w:eastAsia="Times New Roman" w:hAnsi="Times New Roman"/>
          <w:sz w:val="16"/>
          <w:szCs w:val="16"/>
          <w:color w:val="auto"/>
        </w:rPr>
        <w:t>The accompanying financial statements are prepared on the accrual basis of accounting, in accordance with accounting principles generally accepted in the United States of America (“GAAP”).</w:t>
      </w:r>
    </w:p>
    <w:p>
      <w:pPr>
        <w:spacing w:after="0" w:line="1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u w:val="single" w:color="auto"/>
          <w:color w:val="auto"/>
        </w:rPr>
        <w:t>Risks and Uncertainties</w:t>
      </w:r>
    </w:p>
    <w:p>
      <w:pPr>
        <w:jc w:val="both"/>
        <w:ind w:left="420"/>
        <w:spacing w:after="0" w:line="219" w:lineRule="auto"/>
        <w:rPr>
          <w:sz w:val="20"/>
          <w:szCs w:val="20"/>
          <w:color w:val="auto"/>
        </w:rPr>
      </w:pPr>
      <w:r>
        <w:rPr>
          <w:rFonts w:ascii="Times New Roman" w:cs="Times New Roman" w:eastAsia="Times New Roman" w:hAnsi="Times New Roman"/>
          <w:sz w:val="16"/>
          <w:szCs w:val="16"/>
          <w:color w:val="auto"/>
        </w:rPr>
        <w:t>The Master Trust holds the Plan’s assets, which are invested at participants’ discretion in various investment fund options under the Plan. The value, liquidity and related income of these investments are exposed to various risks, including, but not limited to, changes in interest rates, foreign currency exchange rates, credit quality, and volatility with respect to the holdings within individual funds, as well as to changes in global economic conditions and the outlook and performance of financial markets. Given volatility in financial markets, it is reasonably possible that the values of investments could decline in the near term and that such declines could materially affect participants’ account balances and the amounts reported in the Statements of Net Assets Available for Benefits.</w:t>
      </w:r>
    </w:p>
    <w:p>
      <w:pPr>
        <w:spacing w:after="0" w:line="1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Use of Estimates</w:t>
      </w:r>
    </w:p>
    <w:p>
      <w:pPr>
        <w:jc w:val="both"/>
        <w:ind w:left="400" w:right="20"/>
        <w:spacing w:after="0" w:line="224"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GAAP requires management to make estimates and assumptions for the reporting period and as of the financial statement date. These estimates and assumptions affect the reported amounts of net assets available for benefits and the reported amounts of changes in net assets available for benefits. Actual results could differ from these estimates.</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AVERY DENNISON CORPORATION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u w:val="single" w:color="auto"/>
          <w:color w:val="auto"/>
        </w:rPr>
        <w:t>EMPLOYEE SAVINGS PLAN</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u w:val="single" w:color="auto"/>
          <w:color w:val="auto"/>
        </w:rPr>
        <w:t>Investment Contracts</w:t>
      </w:r>
    </w:p>
    <w:p>
      <w:pPr>
        <w:jc w:val="both"/>
        <w:ind w:left="420"/>
        <w:spacing w:after="0" w:line="224" w:lineRule="auto"/>
        <w:rPr>
          <w:sz w:val="20"/>
          <w:szCs w:val="20"/>
          <w:color w:val="auto"/>
        </w:rPr>
      </w:pPr>
      <w:r>
        <w:rPr>
          <w:rFonts w:ascii="Times New Roman" w:cs="Times New Roman" w:eastAsia="Times New Roman" w:hAnsi="Times New Roman"/>
          <w:sz w:val="16"/>
          <w:szCs w:val="16"/>
          <w:color w:val="auto"/>
        </w:rPr>
        <w:t>Fully benefit-responsive investment contracts (referred to herein as guaranteed investment contracts or "GICs") held by the Master Trust, are measured at their respective contract values in the Statements of Net Assets Available for Benefits because that is the amount participants would receive if they were to initiate permitted transactions under the terms of the Plan. Refer to Note 4, “Investment Contracts,” for more information.</w:t>
      </w:r>
    </w:p>
    <w:p>
      <w:pPr>
        <w:spacing w:after="0" w:line="1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u w:val="single" w:color="auto"/>
          <w:color w:val="auto"/>
        </w:rPr>
        <w:t>Valuation of Investments</w:t>
      </w:r>
    </w:p>
    <w:p>
      <w:pPr>
        <w:jc w:val="both"/>
        <w:ind w:left="420"/>
        <w:spacing w:after="0" w:line="231" w:lineRule="auto"/>
        <w:rPr>
          <w:sz w:val="20"/>
          <w:szCs w:val="20"/>
          <w:color w:val="auto"/>
        </w:rPr>
      </w:pPr>
      <w:r>
        <w:rPr>
          <w:rFonts w:ascii="Times New Roman" w:cs="Times New Roman" w:eastAsia="Times New Roman" w:hAnsi="Times New Roman"/>
          <w:sz w:val="16"/>
          <w:szCs w:val="16"/>
          <w:color w:val="auto"/>
        </w:rPr>
        <w:t>The Plan's investments held by the Master Trust, except fully benefit-responsive investment contracts, are reported at fair value, including those measured using the net asset value (“NAV”) as a practical expedient. Refer to Note 5, “Fair Value Measurements,” for more information.</w:t>
      </w:r>
    </w:p>
    <w:p>
      <w:pPr>
        <w:spacing w:after="0" w:line="1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u w:val="single" w:color="auto"/>
          <w:color w:val="auto"/>
        </w:rPr>
        <w:t>Notes Receivable from Participants</w:t>
      </w:r>
    </w:p>
    <w:p>
      <w:pPr>
        <w:jc w:val="both"/>
        <w:ind w:left="420" w:right="20"/>
        <w:spacing w:after="0" w:line="231" w:lineRule="auto"/>
        <w:rPr>
          <w:sz w:val="20"/>
          <w:szCs w:val="20"/>
          <w:color w:val="auto"/>
        </w:rPr>
      </w:pPr>
      <w:r>
        <w:rPr>
          <w:rFonts w:ascii="Times New Roman" w:cs="Times New Roman" w:eastAsia="Times New Roman" w:hAnsi="Times New Roman"/>
          <w:sz w:val="16"/>
          <w:szCs w:val="16"/>
          <w:color w:val="auto"/>
        </w:rPr>
        <w:t>Notes receivable from participants are measured at their unpaid principal balance plus any accrued but unpaid interest. No allowance for credit losses had been recorded as of December 31, 2025 or 2024.</w:t>
      </w:r>
    </w:p>
    <w:p>
      <w:pPr>
        <w:spacing w:after="0" w:line="1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u w:val="single" w:color="auto"/>
          <w:color w:val="auto"/>
        </w:rPr>
        <w:t>Income Recognition</w:t>
      </w:r>
    </w:p>
    <w:p>
      <w:pPr>
        <w:jc w:val="both"/>
        <w:ind w:left="420"/>
        <w:spacing w:after="0" w:line="219" w:lineRule="auto"/>
        <w:rPr>
          <w:sz w:val="20"/>
          <w:szCs w:val="20"/>
          <w:color w:val="auto"/>
        </w:rPr>
      </w:pPr>
      <w:r>
        <w:rPr>
          <w:rFonts w:ascii="Times New Roman" w:cs="Times New Roman" w:eastAsia="Times New Roman" w:hAnsi="Times New Roman"/>
          <w:sz w:val="16"/>
          <w:szCs w:val="16"/>
          <w:color w:val="auto"/>
        </w:rPr>
        <w:t>Participation in net income of the Master Trust consists of dividend income, interest income and net appreciation or depreciation in fair value of investments. Purchases and sales of securities are recorded on a trade-date basis. Dividend income is accrued on the ex-dividend date. Interest income from other investments is accrued as earned. Realized gains or losses on sales of securities are computed on an average cost basis. Unrealized appreciation or depreciation in the fair value of investments is the change in their fair value during the year. Net appreciation or depreciation in fair value of investments includes gains and losses on investments bought, sold and held during the year.</w:t>
      </w:r>
    </w:p>
    <w:p>
      <w:pPr>
        <w:spacing w:after="0" w:line="1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u w:val="single" w:color="auto"/>
          <w:color w:val="auto"/>
        </w:rPr>
        <w:t>Contributions</w:t>
      </w:r>
    </w:p>
    <w:p>
      <w:pPr>
        <w:ind w:left="420"/>
        <w:spacing w:after="0"/>
        <w:rPr>
          <w:sz w:val="20"/>
          <w:szCs w:val="20"/>
          <w:color w:val="auto"/>
        </w:rPr>
      </w:pPr>
      <w:r>
        <w:rPr>
          <w:rFonts w:ascii="Times New Roman" w:cs="Times New Roman" w:eastAsia="Times New Roman" w:hAnsi="Times New Roman"/>
          <w:sz w:val="16"/>
          <w:szCs w:val="16"/>
          <w:color w:val="auto"/>
        </w:rPr>
        <w:t>Participant and Company contributions are recorded on an accrual basis. Company contributions are reported net of forfeiture credits used to offset contributions.</w:t>
      </w:r>
    </w:p>
    <w:p>
      <w:pPr>
        <w:spacing w:after="0" w:line="1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u w:val="single" w:color="auto"/>
          <w:color w:val="auto"/>
        </w:rPr>
        <w:t>Benefit Payments</w:t>
      </w:r>
    </w:p>
    <w:p>
      <w:pPr>
        <w:ind w:left="420"/>
        <w:spacing w:after="0"/>
        <w:rPr>
          <w:sz w:val="20"/>
          <w:szCs w:val="20"/>
          <w:color w:val="auto"/>
        </w:rPr>
      </w:pPr>
      <w:r>
        <w:rPr>
          <w:rFonts w:ascii="Times New Roman" w:cs="Times New Roman" w:eastAsia="Times New Roman" w:hAnsi="Times New Roman"/>
          <w:sz w:val="16"/>
          <w:szCs w:val="16"/>
          <w:color w:val="auto"/>
        </w:rPr>
        <w:t>All benefits are payable from net assets available for benefits. Benefits are recorded when paid.</w:t>
      </w:r>
    </w:p>
    <w:p>
      <w:pPr>
        <w:spacing w:after="0" w:line="1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u w:val="single" w:color="auto"/>
          <w:color w:val="auto"/>
        </w:rPr>
        <w:t>Other Receivables and Other Payables</w:t>
      </w:r>
    </w:p>
    <w:p>
      <w:pPr>
        <w:jc w:val="both"/>
        <w:ind w:left="420"/>
        <w:spacing w:after="0" w:line="231" w:lineRule="auto"/>
        <w:rPr>
          <w:sz w:val="20"/>
          <w:szCs w:val="20"/>
          <w:color w:val="auto"/>
        </w:rPr>
      </w:pPr>
      <w:r>
        <w:rPr>
          <w:rFonts w:ascii="Times New Roman" w:cs="Times New Roman" w:eastAsia="Times New Roman" w:hAnsi="Times New Roman"/>
          <w:sz w:val="16"/>
          <w:szCs w:val="16"/>
          <w:color w:val="auto"/>
        </w:rPr>
        <w:t>Other receivables of the Master Trust include sales of securities recorded on a trade-date basis and settled in the following calendar year. Other payables of the Master Trust include purchases of securities recorded on a trade-date basis and settled in the following calendar year.</w:t>
      </w:r>
    </w:p>
    <w:p>
      <w:pPr>
        <w:spacing w:after="0" w:line="195" w:lineRule="exact"/>
        <w:rPr>
          <w:sz w:val="20"/>
          <w:szCs w:val="20"/>
          <w:color w:val="auto"/>
        </w:rPr>
      </w:pPr>
    </w:p>
    <w:p>
      <w:pPr>
        <w:jc w:val="both"/>
        <w:ind w:left="420"/>
        <w:spacing w:after="0" w:line="245" w:lineRule="auto"/>
        <w:rPr>
          <w:sz w:val="20"/>
          <w:szCs w:val="20"/>
          <w:color w:val="auto"/>
        </w:rPr>
      </w:pPr>
      <w:r>
        <w:rPr>
          <w:rFonts w:ascii="Times New Roman" w:cs="Times New Roman" w:eastAsia="Times New Roman" w:hAnsi="Times New Roman"/>
          <w:sz w:val="16"/>
          <w:szCs w:val="16"/>
          <w:color w:val="auto"/>
        </w:rPr>
        <w:t>Contribution receivables of the Plan include accrued amounts related to participant and Company contributions. Other payables of the Plan include accrued amounts related to administrative expenses and distributions to participants settled in the following calendar year.</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u w:val="single" w:color="auto"/>
          <w:color w:val="auto"/>
        </w:rPr>
        <w:t>Evaluation of Subsequent Events</w:t>
      </w:r>
    </w:p>
    <w:p>
      <w:pPr>
        <w:ind w:left="420"/>
        <w:spacing w:after="0"/>
        <w:rPr>
          <w:sz w:val="20"/>
          <w:szCs w:val="20"/>
          <w:color w:val="auto"/>
        </w:rPr>
      </w:pPr>
      <w:r>
        <w:rPr>
          <w:rFonts w:ascii="Times New Roman" w:cs="Times New Roman" w:eastAsia="Times New Roman" w:hAnsi="Times New Roman"/>
          <w:sz w:val="16"/>
          <w:szCs w:val="16"/>
          <w:color w:val="auto"/>
        </w:rPr>
        <w:t>Management evaluated subsequent events through June 16, 2026, the date the financial statements were issued.</w:t>
      </w:r>
    </w:p>
    <w:p>
      <w:pPr>
        <w:spacing w:after="0" w:line="201" w:lineRule="exact"/>
        <w:rPr>
          <w:sz w:val="20"/>
          <w:szCs w:val="20"/>
          <w:color w:val="auto"/>
        </w:rPr>
      </w:pPr>
    </w:p>
    <w:p>
      <w:pPr>
        <w:ind w:left="300" w:hanging="292"/>
        <w:spacing w:after="0"/>
        <w:tabs>
          <w:tab w:leader="none" w:pos="300"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Master Trust Assets</w:t>
      </w:r>
    </w:p>
    <w:p>
      <w:pPr>
        <w:spacing w:after="0" w:line="223" w:lineRule="exact"/>
        <w:rPr>
          <w:sz w:val="20"/>
          <w:szCs w:val="20"/>
          <w:color w:val="auto"/>
        </w:rPr>
      </w:pPr>
    </w:p>
    <w:p>
      <w:pPr>
        <w:jc w:val="both"/>
        <w:ind w:left="420"/>
        <w:spacing w:after="0" w:line="227" w:lineRule="auto"/>
        <w:rPr>
          <w:sz w:val="20"/>
          <w:szCs w:val="20"/>
          <w:color w:val="auto"/>
        </w:rPr>
      </w:pPr>
      <w:r>
        <w:rPr>
          <w:rFonts w:ascii="Times New Roman" w:cs="Times New Roman" w:eastAsia="Times New Roman" w:hAnsi="Times New Roman"/>
          <w:sz w:val="16"/>
          <w:szCs w:val="16"/>
          <w:color w:val="auto"/>
        </w:rPr>
        <w:t>Each participating plan has a divided interest in the underlying assets of the Master Trust based upon plan participant investment elections. The value of the Plan’s interest in the Master Trust is based on the actual contributions and allocated investment income less actual distributions and allocated administrative expenses. Investment income and expenses relating to the Master Trust are allocated to the individual plans based on the actual earnings and expenses of the participant-directed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AVERY DENNISON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EMPLOYEE SAVINGS PLAN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The following table reflects the summary of net assets held by the Master Trust and the Plan's interest in the Master Trust as of December 31, 2025 and 2024:</w:t>
      </w:r>
    </w:p>
    <w:p>
      <w:pPr>
        <w:spacing w:after="0" w:line="273" w:lineRule="exact"/>
        <w:rPr>
          <w:sz w:val="20"/>
          <w:szCs w:val="20"/>
          <w:color w:val="auto"/>
        </w:rPr>
      </w:pPr>
    </w:p>
    <w:tbl>
      <w:tblPr>
        <w:tblLayout w:type="fixed"/>
        <w:tblInd w:w="420" w:type="dxa"/>
        <w:tblCellMar>
          <w:top w:w="0" w:type="dxa"/>
          <w:left w:w="0" w:type="dxa"/>
          <w:bottom w:w="0" w:type="dxa"/>
          <w:right w:w="0" w:type="dxa"/>
        </w:tblCellMar>
      </w:tblPr>
      <w:tr>
        <w:trPr>
          <w:trHeight w:val="215"/>
        </w:trPr>
        <w:tc>
          <w:tcPr>
            <w:tcW w:w="3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(In millions)</w:t>
            </w:r>
          </w:p>
        </w:tc>
        <w:tc>
          <w:tcPr>
            <w:tcW w:w="240" w:type="dxa"/>
            <w:vAlign w:val="bottom"/>
          </w:tcPr>
          <w:p>
            <w:pPr>
              <w:spacing w:after="0"/>
              <w:rPr>
                <w:sz w:val="13"/>
                <w:szCs w:val="13"/>
                <w:color w:val="auto"/>
              </w:rPr>
            </w:pPr>
          </w:p>
        </w:tc>
        <w:tc>
          <w:tcPr>
            <w:tcW w:w="142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Master Trust</w:t>
            </w:r>
          </w:p>
        </w:tc>
        <w:tc>
          <w:tcPr>
            <w:tcW w:w="220" w:type="dxa"/>
            <w:vAlign w:val="bottom"/>
          </w:tcPr>
          <w:p>
            <w:pPr>
              <w:spacing w:after="0"/>
              <w:rPr>
                <w:sz w:val="13"/>
                <w:szCs w:val="13"/>
                <w:color w:val="auto"/>
              </w:rPr>
            </w:pPr>
          </w:p>
        </w:tc>
        <w:tc>
          <w:tcPr>
            <w:tcW w:w="1480" w:type="dxa"/>
            <w:vAlign w:val="bottom"/>
          </w:tcPr>
          <w:p>
            <w:pPr>
              <w:jc w:val="center"/>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Plan's Interest in</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Master Trust</w:t>
            </w:r>
          </w:p>
        </w:tc>
        <w:tc>
          <w:tcPr>
            <w:tcW w:w="240" w:type="dxa"/>
            <w:vAlign w:val="bottom"/>
          </w:tcPr>
          <w:p>
            <w:pPr>
              <w:spacing w:after="0"/>
              <w:rPr>
                <w:sz w:val="13"/>
                <w:szCs w:val="13"/>
                <w:color w:val="auto"/>
              </w:rPr>
            </w:pPr>
          </w:p>
        </w:tc>
        <w:tc>
          <w:tcPr>
            <w:tcW w:w="1480" w:type="dxa"/>
            <w:vAlign w:val="bottom"/>
          </w:tcPr>
          <w:p>
            <w:pPr>
              <w:jc w:val="right"/>
              <w:ind w:right="179"/>
              <w:spacing w:after="0" w:line="158" w:lineRule="exact"/>
              <w:rPr>
                <w:sz w:val="20"/>
                <w:szCs w:val="20"/>
                <w:color w:val="auto"/>
              </w:rPr>
            </w:pPr>
            <w:r>
              <w:rPr>
                <w:rFonts w:ascii="Times New Roman" w:cs="Times New Roman" w:eastAsia="Times New Roman" w:hAnsi="Times New Roman"/>
                <w:sz w:val="16"/>
                <w:szCs w:val="16"/>
                <w:b w:val="1"/>
                <w:bCs w:val="1"/>
                <w:color w:val="auto"/>
              </w:rPr>
              <w:t>Plan's Interest in</w:t>
            </w:r>
          </w:p>
        </w:tc>
        <w:tc>
          <w:tcPr>
            <w:tcW w:w="0" w:type="dxa"/>
            <w:vAlign w:val="bottom"/>
          </w:tcPr>
          <w:p>
            <w:pPr>
              <w:spacing w:after="0"/>
              <w:rPr>
                <w:sz w:val="1"/>
                <w:szCs w:val="1"/>
                <w:color w:val="auto"/>
              </w:rPr>
            </w:pPr>
          </w:p>
        </w:tc>
      </w:tr>
      <w:tr>
        <w:trPr>
          <w:trHeight w:val="214"/>
        </w:trPr>
        <w:tc>
          <w:tcPr>
            <w:tcW w:w="34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Master Trust</w:t>
            </w:r>
          </w:p>
        </w:tc>
        <w:tc>
          <w:tcPr>
            <w:tcW w:w="2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Master Trust</w:t>
            </w:r>
          </w:p>
        </w:tc>
        <w:tc>
          <w:tcPr>
            <w:tcW w:w="0" w:type="dxa"/>
            <w:vAlign w:val="bottom"/>
          </w:tcPr>
          <w:p>
            <w:pPr>
              <w:spacing w:after="0"/>
              <w:rPr>
                <w:sz w:val="1"/>
                <w:szCs w:val="1"/>
                <w:color w:val="auto"/>
              </w:rPr>
            </w:pPr>
          </w:p>
        </w:tc>
      </w:tr>
      <w:tr>
        <w:trPr>
          <w:trHeight w:val="211"/>
        </w:trPr>
        <w:tc>
          <w:tcPr>
            <w:tcW w:w="34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Investments at fair value:</w:t>
            </w:r>
          </w:p>
        </w:tc>
        <w:tc>
          <w:tcPr>
            <w:tcW w:w="2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Company common stock</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190.4</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190.4</w:t>
            </w:r>
          </w:p>
        </w:tc>
        <w:tc>
          <w:tcPr>
            <w:tcW w:w="16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Money market funds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3"/>
        </w:trPr>
        <w:tc>
          <w:tcPr>
            <w:tcW w:w="3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Self-directed brokerage accounts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Collective investment trusts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1,070.6</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1,070.5</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924.4</w:t>
            </w: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924.3</w:t>
            </w:r>
          </w:p>
        </w:tc>
        <w:tc>
          <w:tcPr>
            <w:tcW w:w="0" w:type="dxa"/>
            <w:vAlign w:val="bottom"/>
          </w:tcPr>
          <w:p>
            <w:pPr>
              <w:spacing w:after="0"/>
              <w:rPr>
                <w:sz w:val="1"/>
                <w:szCs w:val="1"/>
                <w:color w:val="auto"/>
              </w:rPr>
            </w:pPr>
          </w:p>
        </w:tc>
      </w:tr>
      <w:tr>
        <w:trPr>
          <w:trHeight w:val="210"/>
        </w:trPr>
        <w:tc>
          <w:tcPr>
            <w:tcW w:w="3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Investments at fair value</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1,404.1</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1,404.0</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1,265.7</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1,265.6</w:t>
            </w: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Investments at contract value: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Synthetic GICs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Traditional GICs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9"/>
        </w:trPr>
        <w:tc>
          <w:tcPr>
            <w:tcW w:w="3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Investments at contract value</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investments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1,476.2</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1,343.8</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4" w:right="339" w:bottom="1440" w:gutter="0" w:footer="0" w:header="0"/>
        </w:sectPr>
      </w:pPr>
    </w:p>
    <w:p>
      <w:pPr>
        <w:spacing w:after="0" w:line="70"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2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Other receivables</w:t>
            </w:r>
          </w:p>
        </w:tc>
        <w:tc>
          <w:tcPr>
            <w:tcW w:w="27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.6</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466"/>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7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1,476.8</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1,476.7</w:t>
            </w:r>
          </w:p>
        </w:tc>
      </w:tr>
      <w:tr>
        <w:trPr>
          <w:trHeight w:val="46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7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9"/>
        </w:trPr>
        <w:tc>
          <w:tcPr>
            <w:tcW w:w="2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Other payables</w:t>
            </w:r>
          </w:p>
        </w:tc>
        <w:tc>
          <w:tcPr>
            <w:tcW w:w="27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.1</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-899795</wp:posOffset>
            </wp:positionV>
            <wp:extent cx="656653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66535" cy="13716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-591185</wp:posOffset>
            </wp:positionV>
            <wp:extent cx="656653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66535" cy="13716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-281940</wp:posOffset>
            </wp:positionV>
            <wp:extent cx="656653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6653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left="280"/>
        <w:spacing w:after="0"/>
        <w:tabs>
          <w:tab w:leader="none" w:pos="1940" w:val="left"/>
        </w:tabs>
        <w:rPr>
          <w:sz w:val="20"/>
          <w:szCs w:val="20"/>
          <w:color w:val="auto"/>
        </w:rPr>
      </w:pPr>
      <w:r>
        <w:rPr>
          <w:rFonts w:ascii="Times New Roman" w:cs="Times New Roman" w:eastAsia="Times New Roman" w:hAnsi="Times New Roman"/>
          <w:sz w:val="16"/>
          <w:szCs w:val="16"/>
          <w:color w:val="auto"/>
        </w:rPr>
        <w:t>1.4</w:t>
      </w:r>
      <w:r>
        <w:rPr>
          <w:sz w:val="20"/>
          <w:szCs w:val="20"/>
          <w:color w:val="auto"/>
        </w:rPr>
        <w:tab/>
      </w: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20320</wp:posOffset>
            </wp:positionV>
            <wp:extent cx="21342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282"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6"/>
          <w:szCs w:val="16"/>
          <w:color w:val="auto"/>
        </w:rPr>
        <w:t>1,345.2</w:t>
      </w:r>
      <w:r>
        <w:rPr>
          <w:sz w:val="20"/>
          <w:szCs w:val="20"/>
          <w:color w:val="auto"/>
        </w:rPr>
        <w:tab/>
      </w:r>
      <w:r>
        <w:rPr>
          <w:rFonts w:ascii="Times New Roman" w:cs="Times New Roman" w:eastAsia="Times New Roman" w:hAnsi="Times New Roman"/>
          <w:sz w:val="16"/>
          <w:szCs w:val="16"/>
          <w:color w:val="auto"/>
        </w:rPr>
        <w:t>1,345.1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20320</wp:posOffset>
            </wp:positionV>
            <wp:extent cx="21342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360"/>
        <w:spacing w:after="0"/>
        <w:tabs>
          <w:tab w:leader="none" w:pos="2020" w:val="left"/>
        </w:tabs>
        <w:rPr>
          <w:sz w:val="20"/>
          <w:szCs w:val="20"/>
          <w:color w:val="auto"/>
        </w:rPr>
      </w:pPr>
      <w:r>
        <w:rPr>
          <w:rFonts w:ascii="Times New Roman" w:cs="Times New Roman" w:eastAsia="Times New Roman" w:hAnsi="Times New Roman"/>
          <w:sz w:val="16"/>
          <w:szCs w:val="16"/>
          <w:color w:val="auto"/>
        </w:rPr>
        <w:t>.9</w:t>
      </w:r>
      <w:r>
        <w:rPr>
          <w:sz w:val="20"/>
          <w:szCs w:val="20"/>
          <w:color w:val="auto"/>
        </w:rPr>
        <w:tab/>
      </w:r>
      <w:r>
        <w:rPr>
          <w:rFonts w:ascii="Times New Roman" w:cs="Times New Roman" w:eastAsia="Times New Roman" w:hAnsi="Times New Roman"/>
          <w:sz w:val="16"/>
          <w:szCs w:val="16"/>
          <w:color w:val="auto"/>
        </w:rPr>
        <w:t>.9</w:t>
      </w:r>
    </w:p>
    <w:p>
      <w:pPr>
        <w:spacing w:after="0" w:line="46" w:lineRule="exact"/>
        <w:rPr>
          <w:sz w:val="20"/>
          <w:szCs w:val="20"/>
          <w:color w:val="auto"/>
        </w:rPr>
      </w:pPr>
    </w:p>
    <w:p>
      <w:pPr>
        <w:sectPr>
          <w:pgSz w:w="11900" w:h="16838" w:orient="portrait"/>
          <w:cols w:equalWidth="0" w:num="2">
            <w:col w:w="7800" w:space="720"/>
            <w:col w:w="2720"/>
          </w:cols>
          <w:pgMar w:left="320" w:top="104" w:right="339" w:bottom="1440" w:gutter="0" w:footer="0" w:header="0"/>
          <w:type w:val="continuous"/>
        </w:sectPr>
      </w:pPr>
    </w:p>
    <w:tbl>
      <w:tblPr>
        <w:tblLayout w:type="fixed"/>
        <w:tblInd w:w="420" w:type="dxa"/>
        <w:tblCellMar>
          <w:top w:w="0" w:type="dxa"/>
          <w:left w:w="0" w:type="dxa"/>
          <w:bottom w:w="0" w:type="dxa"/>
          <w:right w:w="0" w:type="dxa"/>
        </w:tblCellMar>
      </w:tblPr>
      <w:tr>
        <w:trPr>
          <w:trHeight w:val="183"/>
        </w:trPr>
        <w:tc>
          <w:tcPr>
            <w:tcW w:w="3180" w:type="dxa"/>
            <w:vAlign w:val="bottom"/>
            <w:tcBorders>
              <w:top w:val="single" w:sz="8" w:color="CCEEFF"/>
              <w:bottom w:val="single" w:sz="8" w:color="auto"/>
            </w:tcBorders>
            <w:shd w:val="clear" w:color="auto" w:fill="CCEEFF"/>
          </w:tcPr>
          <w:p>
            <w:pPr>
              <w:spacing w:after="0"/>
              <w:rPr>
                <w:sz w:val="15"/>
                <w:szCs w:val="15"/>
                <w:color w:val="auto"/>
              </w:rPr>
            </w:pPr>
          </w:p>
        </w:tc>
        <w:tc>
          <w:tcPr>
            <w:tcW w:w="900" w:type="dxa"/>
            <w:vAlign w:val="bottom"/>
            <w:tcBorders>
              <w:top w:val="single" w:sz="8" w:color="CCEEFF"/>
              <w:bottom w:val="single" w:sz="8" w:color="auto"/>
            </w:tcBorders>
            <w:shd w:val="clear" w:color="auto" w:fill="CCEEFF"/>
          </w:tcPr>
          <w:p>
            <w:pPr>
              <w:spacing w:after="0"/>
              <w:rPr>
                <w:sz w:val="15"/>
                <w:szCs w:val="15"/>
                <w:color w:val="auto"/>
              </w:rPr>
            </w:pPr>
          </w:p>
        </w:tc>
        <w:tc>
          <w:tcPr>
            <w:tcW w:w="1660" w:type="dxa"/>
            <w:vAlign w:val="bottom"/>
            <w:tcBorders>
              <w:top w:val="single" w:sz="8" w:color="CCEEFF"/>
              <w:bottom w:val="single" w:sz="8" w:color="auto"/>
            </w:tcBorders>
            <w:shd w:val="clear" w:color="auto" w:fill="CCEEFF"/>
          </w:tcPr>
          <w:p>
            <w:pPr>
              <w:spacing w:after="0"/>
              <w:rPr>
                <w:sz w:val="15"/>
                <w:szCs w:val="15"/>
                <w:color w:val="auto"/>
              </w:rPr>
            </w:pPr>
          </w:p>
        </w:tc>
        <w:tc>
          <w:tcPr>
            <w:tcW w:w="1080" w:type="dxa"/>
            <w:vAlign w:val="bottom"/>
            <w:tcBorders>
              <w:top w:val="single" w:sz="8" w:color="CCEEFF"/>
              <w:bottom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520" w:type="dxa"/>
            <w:vAlign w:val="bottom"/>
            <w:tcBorders>
              <w:top w:val="single" w:sz="8" w:color="auto"/>
              <w:bottom w:val="single" w:sz="8" w:color="auto"/>
            </w:tcBorders>
            <w:shd w:val="clear" w:color="auto" w:fill="CCEEFF"/>
          </w:tcPr>
          <w:p>
            <w:pPr>
              <w:spacing w:after="0"/>
              <w:rPr>
                <w:sz w:val="15"/>
                <w:szCs w:val="15"/>
                <w:color w:val="auto"/>
              </w:rPr>
            </w:pPr>
          </w:p>
        </w:tc>
      </w:tr>
      <w:tr>
        <w:trPr>
          <w:trHeight w:val="217"/>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assets of the Master Trust</w:t>
            </w:r>
          </w:p>
        </w:tc>
        <w:tc>
          <w:tcPr>
            <w:tcW w:w="9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1,476.7 $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1,476.6</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1,344.3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1,344.2</w:t>
            </w:r>
          </w:p>
        </w:tc>
      </w:tr>
      <w:tr>
        <w:trPr>
          <w:trHeight w:val="763"/>
        </w:trPr>
        <w:tc>
          <w:tcPr>
            <w:tcW w:w="77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The following table reflects the net investment income for the Master Trust for the year ended December 31, 2025:</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62"/>
        </w:trPr>
        <w:tc>
          <w:tcPr>
            <w:tcW w:w="3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(In millions)</w:t>
            </w:r>
          </w:p>
        </w:tc>
        <w:tc>
          <w:tcPr>
            <w:tcW w:w="9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Master Trust</w:t>
            </w:r>
          </w:p>
        </w:tc>
      </w:tr>
      <w:tr>
        <w:trPr>
          <w:trHeight w:val="21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9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income</w:t>
            </w:r>
          </w:p>
        </w:tc>
        <w:tc>
          <w:tcPr>
            <w:tcW w:w="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16"/>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appreciation in fair value of investments</w:t>
            </w:r>
          </w:p>
        </w:tc>
        <w:tc>
          <w:tcPr>
            <w:tcW w:w="9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w:t>
            </w:r>
          </w:p>
        </w:tc>
      </w:tr>
      <w:tr>
        <w:trPr>
          <w:trHeight w:val="219"/>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9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181.5</w:t>
            </w:r>
          </w:p>
        </w:tc>
      </w:tr>
    </w:tbl>
    <w:p>
      <w:pPr>
        <w:spacing w:after="0" w:line="295" w:lineRule="exact"/>
        <w:rPr>
          <w:sz w:val="20"/>
          <w:szCs w:val="20"/>
          <w:color w:val="auto"/>
        </w:rPr>
      </w:pPr>
    </w:p>
    <w:p>
      <w:pPr>
        <w:ind w:left="300" w:hanging="292"/>
        <w:spacing w:after="0"/>
        <w:tabs>
          <w:tab w:leader="none" w:pos="300"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Investment Contracts</w:t>
      </w:r>
    </w:p>
    <w:p>
      <w:pPr>
        <w:spacing w:after="0" w:line="223" w:lineRule="exact"/>
        <w:rPr>
          <w:sz w:val="20"/>
          <w:szCs w:val="20"/>
          <w:color w:val="auto"/>
        </w:rPr>
      </w:pPr>
    </w:p>
    <w:p>
      <w:pPr>
        <w:jc w:val="both"/>
        <w:ind w:left="420"/>
        <w:spacing w:after="0" w:line="223" w:lineRule="auto"/>
        <w:rPr>
          <w:sz w:val="20"/>
          <w:szCs w:val="20"/>
          <w:color w:val="auto"/>
        </w:rPr>
      </w:pPr>
      <w:r>
        <w:rPr>
          <w:rFonts w:ascii="Times New Roman" w:cs="Times New Roman" w:eastAsia="Times New Roman" w:hAnsi="Times New Roman"/>
          <w:sz w:val="16"/>
          <w:szCs w:val="16"/>
          <w:color w:val="auto"/>
        </w:rPr>
        <w:t>Included in the investments is a fixed income fund that invests in fully benefit-responsive GICs issued and guaranteed by insurance companies or other financial institutions to transact all qualified participant withdrawals at a minimum of contract value (principal plus accrued interest). Included in the fixed income fund are synthetic GICs and traditional GICs. Synthetic GICs are backed by a segregated portfolio of bonds or units of collective funds that are owned directly by the fund. Traditional GICs are backed by the general account of the contract issuer. The fund deposits a lump sum with the issuer and receives a guaranteed interest rate for a specified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AVERY DENNISON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EMPLOYEE SAVINGS PLAN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420"/>
        <w:spacing w:after="0" w:line="216" w:lineRule="auto"/>
        <w:rPr>
          <w:sz w:val="20"/>
          <w:szCs w:val="20"/>
          <w:color w:val="auto"/>
        </w:rPr>
      </w:pPr>
      <w:r>
        <w:rPr>
          <w:rFonts w:ascii="Times New Roman" w:cs="Times New Roman" w:eastAsia="Times New Roman" w:hAnsi="Times New Roman"/>
          <w:sz w:val="16"/>
          <w:szCs w:val="16"/>
          <w:color w:val="auto"/>
        </w:rPr>
        <w:t>Participants may ordinarily direct the withdrawal or transfer of all or a portion of their investment at contract value, which represents contributions plus interest earned, less benefits paid and transfers to other funds. However, if one or all of the contracts were to be terminated prior to the expiration date and the Master Trust's assets withdrawn, the amount received by the Master Trust could be less than the contract value under the relevant provisions of the agreements. In general, contract termination and settlement at values other than the contract amounts are allowed due to changes in the qualification status of the Company or the Plan(s) covered by the Master Trust, breach of material obligations under the contract and misrepresentation by the contract holder, or failure of the underlying portfolio to conform to the pre-established investment guidelines. Withdrawals and transfers resulting from certain events may limit the ability of the Master Trust to transact at contract value with the issuer of the GICs. These events include the following: (1) amendments to the Plan(s) covered by the Master Trust (including complete or partial Plan termination or merger with another plan); (2) competing fund transfers or violation of certain investment transaction provisions; (3) an early retirement program, group termination, group layoff, facility closing, or similar program; (4) bankruptcy of the Company or other Company events that cause a significant withdrawal of assets from the Plan(s) covered by the Master Trust; and (5) the failure of the Plan(s) covered by the Master Trust to qualify for exemption from federal income taxes or any required prohibited transaction exemption under ERISA. In these instances, market value would likely be used to determine payouts to participants. At this time, the Company does not believe that an event that would limit the Master Trust’s ability to transact with participants at contract value is probable.</w:t>
      </w:r>
    </w:p>
    <w:p>
      <w:pPr>
        <w:spacing w:after="0" w:line="2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The following table reflects the contract value for each type of fully benefit-responsive investment contract:</w:t>
      </w:r>
    </w:p>
    <w:p>
      <w:pPr>
        <w:spacing w:after="0" w:line="273"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8" w:lineRule="exact"/>
        <w:rPr>
          <w:sz w:val="20"/>
          <w:szCs w:val="20"/>
          <w:color w:val="auto"/>
        </w:rPr>
      </w:pPr>
    </w:p>
    <w:tbl>
      <w:tblPr>
        <w:tblLayout w:type="fixed"/>
        <w:tblInd w:w="420" w:type="dxa"/>
        <w:tblCellMar>
          <w:top w:w="0" w:type="dxa"/>
          <w:left w:w="0" w:type="dxa"/>
          <w:bottom w:w="0" w:type="dxa"/>
          <w:right w:w="0" w:type="dxa"/>
        </w:tblCellMar>
      </w:tblPr>
      <w:tr>
        <w:trPr>
          <w:trHeight w:val="214"/>
        </w:trPr>
        <w:tc>
          <w:tcPr>
            <w:tcW w:w="7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(In millions)</w:t>
            </w:r>
          </w:p>
        </w:tc>
        <w:tc>
          <w:tcPr>
            <w:tcW w:w="4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Synthetic GICs</w:t>
            </w: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69.7</w:t>
            </w:r>
          </w:p>
        </w:tc>
        <w:tc>
          <w:tcPr>
            <w:tcW w:w="60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w:t>
            </w:r>
          </w:p>
        </w:tc>
      </w:tr>
      <w:tr>
        <w:trPr>
          <w:trHeight w:val="213"/>
        </w:trPr>
        <w:tc>
          <w:tcPr>
            <w:tcW w:w="7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Traditional GICs</w:t>
            </w: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2.4</w:t>
            </w:r>
          </w:p>
        </w:tc>
        <w:tc>
          <w:tcPr>
            <w:tcW w:w="6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9"/>
        </w:trPr>
        <w:tc>
          <w:tcPr>
            <w:tcW w:w="76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fully benefit-responsive investment contracts, at contract value</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72.1</w:t>
            </w:r>
          </w:p>
        </w:tc>
        <w:tc>
          <w:tcPr>
            <w:tcW w:w="60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w:t>
            </w:r>
          </w:p>
        </w:tc>
      </w:tr>
    </w:tbl>
    <w:p>
      <w:pPr>
        <w:spacing w:after="0" w:line="308" w:lineRule="exact"/>
        <w:rPr>
          <w:sz w:val="20"/>
          <w:szCs w:val="20"/>
          <w:color w:val="auto"/>
        </w:rPr>
      </w:pPr>
    </w:p>
    <w:p>
      <w:pPr>
        <w:ind w:left="300" w:hanging="292"/>
        <w:spacing w:after="0"/>
        <w:tabs>
          <w:tab w:leader="none" w:pos="300"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Fair Value Measurements</w:t>
      </w:r>
    </w:p>
    <w:p>
      <w:pPr>
        <w:spacing w:after="0" w:line="2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Certain investments are valued based on a three-tier fair value hierarchy. The hierarchy gives the highest priority to Level 1 measurements and the lowest priority to</w:t>
      </w:r>
    </w:p>
    <w:p>
      <w:pPr>
        <w:ind w:left="420"/>
        <w:spacing w:after="0"/>
        <w:rPr>
          <w:sz w:val="20"/>
          <w:szCs w:val="20"/>
          <w:color w:val="auto"/>
        </w:rPr>
      </w:pPr>
      <w:r>
        <w:rPr>
          <w:rFonts w:ascii="Times New Roman" w:cs="Times New Roman" w:eastAsia="Times New Roman" w:hAnsi="Times New Roman"/>
          <w:sz w:val="16"/>
          <w:szCs w:val="16"/>
          <w:color w:val="auto"/>
        </w:rPr>
        <w:t>Level 3 measurements. Inputs to the valuation methodology for the three levels of the fair value hierarchy are described below:</w:t>
      </w:r>
    </w:p>
    <w:p>
      <w:pPr>
        <w:spacing w:after="0" w:line="203"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6"/>
          <w:szCs w:val="16"/>
          <w:color w:val="auto"/>
        </w:rPr>
        <w:t>Level 1</w:t>
        <w:tab/>
        <w:t>Unadjusted quoted prices for identical assets or liabilities in active markets that the Master Trust has the ability to access.</w:t>
      </w:r>
    </w:p>
    <w:p>
      <w:pPr>
        <w:spacing w:after="0" w:line="221" w:lineRule="exact"/>
        <w:rPr>
          <w:sz w:val="20"/>
          <w:szCs w:val="20"/>
          <w:color w:val="auto"/>
        </w:rPr>
      </w:pPr>
    </w:p>
    <w:p>
      <w:pPr>
        <w:jc w:val="both"/>
        <w:ind w:left="1320" w:right="20" w:hanging="724"/>
        <w:spacing w:after="0" w:line="232" w:lineRule="auto"/>
        <w:tabs>
          <w:tab w:leader="none" w:pos="1300" w:val="left"/>
        </w:tabs>
        <w:rPr>
          <w:sz w:val="20"/>
          <w:szCs w:val="20"/>
          <w:color w:val="auto"/>
        </w:rPr>
      </w:pPr>
      <w:r>
        <w:rPr>
          <w:rFonts w:ascii="Times New Roman" w:cs="Times New Roman" w:eastAsia="Times New Roman" w:hAnsi="Times New Roman"/>
          <w:sz w:val="16"/>
          <w:szCs w:val="16"/>
          <w:color w:val="auto"/>
        </w:rPr>
        <w:t>Level 2</w:t>
        <w:tab/>
        <w:t>Quoted prices for similar assets or liabilities in active markets; quoted prices for identical or similar assets or liabilities in inactive markets; inputs other than quoted prices that are observable for the asset or liability; inputs that are derived principally from or corroborated by observable market data by correlation or other means.</w:t>
      </w:r>
    </w:p>
    <w:p>
      <w:pPr>
        <w:spacing w:after="0" w:line="195"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6"/>
          <w:szCs w:val="16"/>
          <w:color w:val="auto"/>
        </w:rPr>
        <w:t>Level 3</w:t>
        <w:tab/>
        <w:t>Unobservable and significant to the fair value measurement.</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If an asset or liability has a specified (contractual) term, the Level 2 input must be observable for substantially the full term of the asset or liability.</w:t>
      </w:r>
    </w:p>
    <w:p>
      <w:pPr>
        <w:spacing w:after="0" w:line="221" w:lineRule="exact"/>
        <w:rPr>
          <w:sz w:val="20"/>
          <w:szCs w:val="20"/>
          <w:color w:val="auto"/>
        </w:rPr>
      </w:pPr>
    </w:p>
    <w:p>
      <w:pPr>
        <w:ind w:left="420"/>
        <w:spacing w:after="0" w:line="245" w:lineRule="auto"/>
        <w:rPr>
          <w:sz w:val="20"/>
          <w:szCs w:val="20"/>
          <w:color w:val="auto"/>
        </w:rPr>
      </w:pPr>
      <w:r>
        <w:rPr>
          <w:rFonts w:ascii="Times New Roman" w:cs="Times New Roman" w:eastAsia="Times New Roman" w:hAnsi="Times New Roman"/>
          <w:sz w:val="16"/>
          <w:szCs w:val="16"/>
          <w:color w:val="auto"/>
        </w:rPr>
        <w:t>The level of an asset or liability within the fair value hierarchy is based on the lowest level of any input that is significant to the fair value measurement. The valuation techniques used must maximize the use of observable inputs and minimize the use of unobservable inputs.</w:t>
      </w:r>
    </w:p>
    <w:p>
      <w:pPr>
        <w:spacing w:after="0" w:line="1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The valuation methodologies and investment strategies for assets measured at fair value are as follows:</w:t>
      </w:r>
    </w:p>
    <w:p>
      <w:pPr>
        <w:spacing w:after="0" w:line="219" w:lineRule="exact"/>
        <w:rPr>
          <w:sz w:val="20"/>
          <w:szCs w:val="20"/>
          <w:color w:val="auto"/>
        </w:rPr>
      </w:pPr>
    </w:p>
    <w:p>
      <w:pPr>
        <w:ind w:left="840" w:hanging="223"/>
        <w:spacing w:after="0"/>
        <w:tabs>
          <w:tab w:leader="none" w:pos="8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Common stock: </w:t>
      </w:r>
      <w:r>
        <w:rPr>
          <w:rFonts w:ascii="Times New Roman" w:cs="Times New Roman" w:eastAsia="Times New Roman" w:hAnsi="Times New Roman"/>
          <w:sz w:val="16"/>
          <w:szCs w:val="16"/>
          <w:color w:val="auto"/>
        </w:rPr>
        <w:t>Valued at the closing price reported on the active market on which the individual securities are traded.</w:t>
      </w:r>
    </w:p>
    <w:p>
      <w:pPr>
        <w:spacing w:after="0" w:line="221" w:lineRule="exact"/>
        <w:rPr>
          <w:rFonts w:ascii="Times New Roman" w:cs="Times New Roman" w:eastAsia="Times New Roman" w:hAnsi="Times New Roman"/>
          <w:sz w:val="16"/>
          <w:szCs w:val="16"/>
          <w:color w:val="auto"/>
        </w:rPr>
      </w:pPr>
    </w:p>
    <w:p>
      <w:pPr>
        <w:ind w:left="840" w:hanging="223"/>
        <w:spacing w:after="0"/>
        <w:tabs>
          <w:tab w:leader="none" w:pos="8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Money market funds: </w:t>
      </w:r>
      <w:r>
        <w:rPr>
          <w:rFonts w:ascii="Times New Roman" w:cs="Times New Roman" w:eastAsia="Times New Roman" w:hAnsi="Times New Roman"/>
          <w:sz w:val="16"/>
          <w:szCs w:val="16"/>
          <w:color w:val="auto"/>
        </w:rPr>
        <w:t>Valued at quoted market prices, which represent the NAV of shares held at year-end.</w:t>
      </w:r>
    </w:p>
    <w:p>
      <w:pPr>
        <w:spacing w:after="0" w:line="221" w:lineRule="exact"/>
        <w:rPr>
          <w:rFonts w:ascii="Times New Roman" w:cs="Times New Roman" w:eastAsia="Times New Roman" w:hAnsi="Times New Roman"/>
          <w:sz w:val="16"/>
          <w:szCs w:val="16"/>
          <w:color w:val="auto"/>
        </w:rPr>
      </w:pPr>
    </w:p>
    <w:p>
      <w:pPr>
        <w:ind w:left="840" w:hanging="223"/>
        <w:spacing w:after="0" w:line="248" w:lineRule="auto"/>
        <w:tabs>
          <w:tab w:leader="none" w:pos="838"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Self-directed brokerage accounts</w:t>
      </w:r>
      <w:r>
        <w:rPr>
          <w:rFonts w:ascii="Times New Roman" w:cs="Times New Roman" w:eastAsia="Times New Roman" w:hAnsi="Times New Roman"/>
          <w:sz w:val="16"/>
          <w:szCs w:val="16"/>
          <w:color w:val="auto"/>
        </w:rPr>
        <w:t>: Include mutual funds, which are valued at quoted market prices representing the NAV of shares held at year-end; exchange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traded funds, which are valued at the quoted market price from a national securities exchange; and cash.</w:t>
      </w:r>
    </w:p>
    <w:p>
      <w:pPr>
        <w:spacing w:after="0" w:line="186" w:lineRule="exact"/>
        <w:rPr>
          <w:rFonts w:ascii="Times New Roman" w:cs="Times New Roman" w:eastAsia="Times New Roman" w:hAnsi="Times New Roman"/>
          <w:sz w:val="16"/>
          <w:szCs w:val="16"/>
          <w:color w:val="auto"/>
        </w:rPr>
      </w:pPr>
    </w:p>
    <w:p>
      <w:pPr>
        <w:jc w:val="both"/>
        <w:ind w:left="840" w:hanging="223"/>
        <w:spacing w:after="0" w:line="233" w:lineRule="auto"/>
        <w:tabs>
          <w:tab w:leader="none" w:pos="838"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Collective investment trusts: </w:t>
      </w:r>
      <w:r>
        <w:rPr>
          <w:rFonts w:ascii="Times New Roman" w:cs="Times New Roman" w:eastAsia="Times New Roman" w:hAnsi="Times New Roman"/>
          <w:sz w:val="16"/>
          <w:szCs w:val="16"/>
          <w:color w:val="auto"/>
        </w:rPr>
        <w:t>Valued at the NAV per unit as a practical expedient. The funds offered by the Plan include ones with different saving objectives,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such as growth, income, and inflation, as well as target date retirement funds. These investments are redeemable daily and settle within three days with no restrictions</w:t>
      </w:r>
      <w:r>
        <w:rPr>
          <w:rFonts w:ascii="Times New Roman" w:cs="Times New Roman" w:eastAsia="Times New Roman" w:hAnsi="Times New Roman"/>
          <w:sz w:val="16"/>
          <w:szCs w:val="16"/>
          <w:i w:val="1"/>
          <w:iCs w:val="1"/>
          <w:color w:val="auto"/>
        </w:rPr>
        <w:t>.</w:t>
      </w:r>
    </w:p>
    <w:p>
      <w:pPr>
        <w:spacing w:after="0" w:line="195" w:lineRule="exact"/>
        <w:rPr>
          <w:sz w:val="20"/>
          <w:szCs w:val="20"/>
          <w:color w:val="auto"/>
        </w:rPr>
      </w:pPr>
    </w:p>
    <w:p>
      <w:pPr>
        <w:jc w:val="both"/>
        <w:ind w:left="420"/>
        <w:spacing w:after="0" w:line="232" w:lineRule="auto"/>
        <w:rPr>
          <w:sz w:val="20"/>
          <w:szCs w:val="20"/>
          <w:color w:val="auto"/>
        </w:rPr>
      </w:pPr>
      <w:r>
        <w:rPr>
          <w:rFonts w:ascii="Times New Roman" w:cs="Times New Roman" w:eastAsia="Times New Roman" w:hAnsi="Times New Roman"/>
          <w:sz w:val="16"/>
          <w:szCs w:val="16"/>
          <w:color w:val="auto"/>
        </w:rPr>
        <w:t>The methodologies described above may produce a fair value calculation that may not be indicative of net realizable value or reflective of future fair values. Furthermore, while the Plan Administrator believes its valuation methodologies are appropriate and consistent with other market participants, the use of different methodologies or assumptions to determine the fair value of certain financial instruments could result in different fair value measurements as of the reporting date.</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AVERY DENNISON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EMPLOYEE SAVINGS PLAN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0"/>
        <w:spacing w:after="0" w:line="245" w:lineRule="auto"/>
        <w:rPr>
          <w:sz w:val="20"/>
          <w:szCs w:val="20"/>
          <w:color w:val="auto"/>
        </w:rPr>
      </w:pPr>
      <w:r>
        <w:rPr>
          <w:rFonts w:ascii="Times New Roman" w:cs="Times New Roman" w:eastAsia="Times New Roman" w:hAnsi="Times New Roman"/>
          <w:sz w:val="16"/>
          <w:szCs w:val="16"/>
          <w:color w:val="auto"/>
        </w:rPr>
        <w:t>While all the investments of the participating plans are deemed part of the Master Trust, each plan does maintain a separate accounting of its share of the investments in the Master Trust.</w:t>
      </w:r>
    </w:p>
    <w:p>
      <w:pPr>
        <w:spacing w:after="0" w:line="1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The following table sets forth the Master Trust's investments measured at fair value as of December 31, 2025:</w:t>
      </w:r>
    </w:p>
    <w:p>
      <w:pPr>
        <w:spacing w:after="0" w:line="273" w:lineRule="exact"/>
        <w:rPr>
          <w:sz w:val="20"/>
          <w:szCs w:val="20"/>
          <w:color w:val="auto"/>
        </w:rPr>
      </w:pPr>
    </w:p>
    <w:tbl>
      <w:tblPr>
        <w:tblLayout w:type="fixed"/>
        <w:tblInd w:w="420" w:type="dxa"/>
        <w:tblCellMar>
          <w:top w:w="0" w:type="dxa"/>
          <w:left w:w="0" w:type="dxa"/>
          <w:bottom w:w="0" w:type="dxa"/>
          <w:right w:w="0" w:type="dxa"/>
        </w:tblCellMar>
      </w:tblPr>
      <w:tr>
        <w:trPr>
          <w:trHeight w:val="212"/>
        </w:trPr>
        <w:tc>
          <w:tcPr>
            <w:tcW w:w="3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gridSpan w:val="5"/>
          </w:tcPr>
          <w:p>
            <w:pPr>
              <w:jc w:val="right"/>
              <w:ind w:right="1119"/>
              <w:spacing w:after="0"/>
              <w:rPr>
                <w:sz w:val="20"/>
                <w:szCs w:val="20"/>
                <w:color w:val="auto"/>
              </w:rPr>
            </w:pPr>
            <w:r>
              <w:rPr>
                <w:rFonts w:ascii="Times New Roman" w:cs="Times New Roman" w:eastAsia="Times New Roman" w:hAnsi="Times New Roman"/>
                <w:sz w:val="16"/>
                <w:szCs w:val="16"/>
                <w:b w:val="1"/>
                <w:bCs w:val="1"/>
                <w:color w:val="auto"/>
              </w:rPr>
              <w:t>Fair Value Measurements Using</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1620" w:type="dxa"/>
            <w:vAlign w:val="bottom"/>
            <w:gridSpan w:val="2"/>
          </w:tcPr>
          <w:p>
            <w:pPr>
              <w:jc w:val="right"/>
              <w:ind w:right="99"/>
              <w:spacing w:after="0" w:line="155" w:lineRule="exact"/>
              <w:rPr>
                <w:sz w:val="20"/>
                <w:szCs w:val="20"/>
                <w:color w:val="auto"/>
              </w:rPr>
            </w:pPr>
            <w:r>
              <w:rPr>
                <w:rFonts w:ascii="Times New Roman" w:cs="Times New Roman" w:eastAsia="Times New Roman" w:hAnsi="Times New Roman"/>
                <w:sz w:val="16"/>
                <w:szCs w:val="16"/>
                <w:b w:val="1"/>
                <w:bCs w:val="1"/>
                <w:color w:val="auto"/>
              </w:rPr>
              <w:t>Significant Other</w:t>
            </w:r>
          </w:p>
        </w:tc>
        <w:tc>
          <w:tcPr>
            <w:tcW w:w="24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Significant Other</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jc w:val="right"/>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Observable</w:t>
            </w:r>
          </w:p>
        </w:tc>
        <w:tc>
          <w:tcPr>
            <w:tcW w:w="240" w:type="dxa"/>
            <w:vAlign w:val="bottom"/>
          </w:tcPr>
          <w:p>
            <w:pPr>
              <w:spacing w:after="0"/>
              <w:rPr>
                <w:sz w:val="14"/>
                <w:szCs w:val="14"/>
                <w:color w:val="auto"/>
              </w:rPr>
            </w:pPr>
          </w:p>
        </w:tc>
        <w:tc>
          <w:tcPr>
            <w:tcW w:w="13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w:t>
            </w:r>
          </w:p>
        </w:tc>
        <w:tc>
          <w:tcPr>
            <w:tcW w:w="440" w:type="dxa"/>
            <w:vAlign w:val="bottom"/>
          </w:tcPr>
          <w:p>
            <w:pPr>
              <w:spacing w:after="0"/>
              <w:rPr>
                <w:sz w:val="14"/>
                <w:szCs w:val="14"/>
                <w:color w:val="auto"/>
              </w:rPr>
            </w:pPr>
          </w:p>
        </w:tc>
        <w:tc>
          <w:tcPr>
            <w:tcW w:w="1180" w:type="dxa"/>
            <w:vAlign w:val="bottom"/>
          </w:tcPr>
          <w:p>
            <w:pPr>
              <w:jc w:val="right"/>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Inputs</w:t>
            </w:r>
          </w:p>
        </w:tc>
        <w:tc>
          <w:tcPr>
            <w:tcW w:w="240" w:type="dxa"/>
            <w:vAlign w:val="bottom"/>
          </w:tcPr>
          <w:p>
            <w:pPr>
              <w:spacing w:after="0"/>
              <w:rPr>
                <w:sz w:val="14"/>
                <w:szCs w:val="14"/>
                <w:color w:val="auto"/>
              </w:rPr>
            </w:pPr>
          </w:p>
        </w:tc>
        <w:tc>
          <w:tcPr>
            <w:tcW w:w="13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Inputs</w:t>
            </w:r>
          </w:p>
        </w:tc>
        <w:tc>
          <w:tcPr>
            <w:tcW w:w="0" w:type="dxa"/>
            <w:vAlign w:val="bottom"/>
          </w:tcPr>
          <w:p>
            <w:pPr>
              <w:spacing w:after="0"/>
              <w:rPr>
                <w:sz w:val="1"/>
                <w:szCs w:val="1"/>
                <w:color w:val="auto"/>
              </w:rPr>
            </w:pPr>
          </w:p>
        </w:tc>
      </w:tr>
      <w:tr>
        <w:trPr>
          <w:trHeight w:val="214"/>
        </w:trPr>
        <w:tc>
          <w:tcPr>
            <w:tcW w:w="3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(In millions)</w:t>
            </w:r>
          </w:p>
        </w:tc>
        <w:tc>
          <w:tcPr>
            <w:tcW w:w="9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1"/>
        </w:trPr>
        <w:tc>
          <w:tcPr>
            <w:tcW w:w="3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Company common stock</w:t>
            </w:r>
          </w:p>
        </w:tc>
        <w:tc>
          <w:tcPr>
            <w:tcW w:w="92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190.4</w:t>
            </w:r>
          </w:p>
        </w:tc>
        <w:tc>
          <w:tcPr>
            <w:tcW w:w="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Money market funds</w:t>
            </w:r>
          </w:p>
        </w:tc>
        <w:tc>
          <w:tcPr>
            <w:tcW w:w="9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5.6</w:t>
            </w:r>
          </w:p>
        </w:tc>
        <w:tc>
          <w:tcPr>
            <w:tcW w:w="440" w:type="dxa"/>
            <w:vAlign w:val="bottom"/>
          </w:tcPr>
          <w:p>
            <w:pPr>
              <w:spacing w:after="0"/>
              <w:rPr>
                <w:sz w:val="18"/>
                <w:szCs w:val="18"/>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Self-directed brokerage accounts</w:t>
            </w:r>
          </w:p>
        </w:tc>
        <w:tc>
          <w:tcPr>
            <w:tcW w:w="9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137.5</w:t>
            </w:r>
          </w:p>
        </w:tc>
        <w:tc>
          <w:tcPr>
            <w:tcW w:w="4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investments in the fair value hierarchy</w:t>
            </w:r>
          </w:p>
        </w:tc>
        <w:tc>
          <w:tcPr>
            <w:tcW w:w="9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333.5</w:t>
            </w:r>
          </w:p>
        </w:tc>
        <w:tc>
          <w:tcPr>
            <w:tcW w:w="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3660" w:type="dxa"/>
            <w:vAlign w:val="bottom"/>
            <w:tcBorders>
              <w:top w:val="single" w:sz="8" w:color="CCEEFF"/>
              <w:bottom w:val="single" w:sz="8" w:color="auto"/>
            </w:tcBorders>
            <w:shd w:val="clear" w:color="auto" w:fill="CCEEFF"/>
          </w:tcPr>
          <w:p>
            <w:pPr>
              <w:ind w:left="60"/>
              <w:spacing w:after="0" w:line="239" w:lineRule="exact"/>
              <w:rPr>
                <w:sz w:val="20"/>
                <w:szCs w:val="20"/>
                <w:color w:val="auto"/>
              </w:rPr>
            </w:pPr>
            <w:r>
              <w:rPr>
                <w:rFonts w:ascii="Times New Roman" w:cs="Times New Roman" w:eastAsia="Times New Roman" w:hAnsi="Times New Roman"/>
                <w:sz w:val="16"/>
                <w:szCs w:val="16"/>
                <w:color w:val="auto"/>
              </w:rPr>
              <w:t>Collective investment trusts</w:t>
            </w:r>
            <w:r>
              <w:rPr>
                <w:rFonts w:ascii="Times New Roman" w:cs="Times New Roman" w:eastAsia="Times New Roman" w:hAnsi="Times New Roman"/>
                <w:sz w:val="21"/>
                <w:szCs w:val="21"/>
                <w:color w:val="auto"/>
                <w:vertAlign w:val="superscript"/>
              </w:rPr>
              <w:t>(1)</w:t>
            </w:r>
          </w:p>
        </w:tc>
        <w:tc>
          <w:tcPr>
            <w:tcW w:w="920" w:type="dxa"/>
            <w:vAlign w:val="bottom"/>
            <w:tcBorders>
              <w:top w:val="single" w:sz="8" w:color="CCEEFF"/>
              <w:bottom w:val="single" w:sz="8" w:color="auto"/>
            </w:tcBorders>
            <w:shd w:val="clear" w:color="auto" w:fill="CCEEFF"/>
          </w:tcPr>
          <w:p>
            <w:pPr>
              <w:spacing w:after="0"/>
              <w:rPr>
                <w:sz w:val="20"/>
                <w:szCs w:val="20"/>
                <w:color w:val="auto"/>
              </w:rPr>
            </w:pPr>
          </w:p>
        </w:tc>
        <w:tc>
          <w:tcPr>
            <w:tcW w:w="9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1,070.6</w:t>
            </w:r>
          </w:p>
        </w:tc>
        <w:tc>
          <w:tcPr>
            <w:tcW w:w="2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Investments at fair value</w:t>
            </w:r>
          </w:p>
        </w:tc>
        <w:tc>
          <w:tcPr>
            <w:tcW w:w="9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 w:right="20" w:hanging="166"/>
        <w:spacing w:after="0" w:line="234" w:lineRule="auto"/>
        <w:tabs>
          <w:tab w:leader="none" w:pos="630" w:val="left"/>
        </w:tabs>
        <w:numPr>
          <w:ilvl w:val="0"/>
          <w:numId w:val="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Investments measured at fair value using the NAV per unit as a practical expedient have not been classified in the fair value hierarchy. The fair value amounts presented in this table are intended to reconcile to total Master Trust investments at fair value.</w:t>
      </w:r>
    </w:p>
    <w:p>
      <w:pPr>
        <w:spacing w:after="0" w:line="1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The following table sets forth the Master Trust's investments measured at fair value as of December 31, 2024:</w:t>
      </w:r>
    </w:p>
    <w:p>
      <w:pPr>
        <w:spacing w:after="0" w:line="273" w:lineRule="exact"/>
        <w:rPr>
          <w:sz w:val="20"/>
          <w:szCs w:val="20"/>
          <w:color w:val="auto"/>
        </w:rPr>
      </w:pPr>
    </w:p>
    <w:tbl>
      <w:tblPr>
        <w:tblLayout w:type="fixed"/>
        <w:tblInd w:w="420" w:type="dxa"/>
        <w:tblCellMar>
          <w:top w:w="0" w:type="dxa"/>
          <w:left w:w="0" w:type="dxa"/>
          <w:bottom w:w="0" w:type="dxa"/>
          <w:right w:w="0" w:type="dxa"/>
        </w:tblCellMar>
      </w:tblPr>
      <w:tr>
        <w:trPr>
          <w:trHeight w:val="212"/>
        </w:trPr>
        <w:tc>
          <w:tcPr>
            <w:tcW w:w="3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80" w:type="dxa"/>
            <w:vAlign w:val="bottom"/>
            <w:gridSpan w:val="5"/>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rPr>
              <w:t>Fair Value Measurements Using</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jc w:val="right"/>
              <w:ind w:right="99"/>
              <w:spacing w:after="0" w:line="155" w:lineRule="exact"/>
              <w:rPr>
                <w:sz w:val="20"/>
                <w:szCs w:val="20"/>
                <w:color w:val="auto"/>
              </w:rPr>
            </w:pPr>
            <w:r>
              <w:rPr>
                <w:rFonts w:ascii="Times New Roman" w:cs="Times New Roman" w:eastAsia="Times New Roman" w:hAnsi="Times New Roman"/>
                <w:sz w:val="16"/>
                <w:szCs w:val="16"/>
                <w:b w:val="1"/>
                <w:bCs w:val="1"/>
                <w:color w:val="auto"/>
              </w:rPr>
              <w:t>Significant</w:t>
            </w:r>
          </w:p>
        </w:tc>
        <w:tc>
          <w:tcPr>
            <w:tcW w:w="22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440" w:type="dxa"/>
            <w:vAlign w:val="bottom"/>
          </w:tcPr>
          <w:p>
            <w:pPr>
              <w:spacing w:after="0"/>
              <w:rPr>
                <w:sz w:val="14"/>
                <w:szCs w:val="14"/>
                <w:color w:val="auto"/>
              </w:rPr>
            </w:pPr>
          </w:p>
        </w:tc>
        <w:tc>
          <w:tcPr>
            <w:tcW w:w="1160" w:type="dxa"/>
            <w:vAlign w:val="bottom"/>
          </w:tcPr>
          <w:p>
            <w:pPr>
              <w:jc w:val="right"/>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jc w:val="right"/>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Observable</w:t>
            </w:r>
          </w:p>
        </w:tc>
        <w:tc>
          <w:tcPr>
            <w:tcW w:w="220" w:type="dxa"/>
            <w:vAlign w:val="bottom"/>
          </w:tcPr>
          <w:p>
            <w:pPr>
              <w:spacing w:after="0"/>
              <w:rPr>
                <w:sz w:val="14"/>
                <w:szCs w:val="14"/>
                <w:color w:val="auto"/>
              </w:rPr>
            </w:pPr>
          </w:p>
        </w:tc>
        <w:tc>
          <w:tcPr>
            <w:tcW w:w="13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w:t>
            </w:r>
          </w:p>
        </w:tc>
        <w:tc>
          <w:tcPr>
            <w:tcW w:w="440" w:type="dxa"/>
            <w:vAlign w:val="bottom"/>
          </w:tcPr>
          <w:p>
            <w:pPr>
              <w:spacing w:after="0"/>
              <w:rPr>
                <w:sz w:val="14"/>
                <w:szCs w:val="14"/>
                <w:color w:val="auto"/>
              </w:rPr>
            </w:pPr>
          </w:p>
        </w:tc>
        <w:tc>
          <w:tcPr>
            <w:tcW w:w="1160" w:type="dxa"/>
            <w:vAlign w:val="bottom"/>
          </w:tcPr>
          <w:p>
            <w:pPr>
              <w:jc w:val="right"/>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Inputs</w:t>
            </w:r>
          </w:p>
        </w:tc>
        <w:tc>
          <w:tcPr>
            <w:tcW w:w="220" w:type="dxa"/>
            <w:vAlign w:val="bottom"/>
          </w:tcPr>
          <w:p>
            <w:pPr>
              <w:spacing w:after="0"/>
              <w:rPr>
                <w:sz w:val="14"/>
                <w:szCs w:val="14"/>
                <w:color w:val="auto"/>
              </w:rPr>
            </w:pPr>
          </w:p>
        </w:tc>
        <w:tc>
          <w:tcPr>
            <w:tcW w:w="13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Inputs</w:t>
            </w:r>
          </w:p>
        </w:tc>
        <w:tc>
          <w:tcPr>
            <w:tcW w:w="0" w:type="dxa"/>
            <w:vAlign w:val="bottom"/>
          </w:tcPr>
          <w:p>
            <w:pPr>
              <w:spacing w:after="0"/>
              <w:rPr>
                <w:sz w:val="1"/>
                <w:szCs w:val="1"/>
                <w:color w:val="auto"/>
              </w:rPr>
            </w:pPr>
          </w:p>
        </w:tc>
      </w:tr>
      <w:tr>
        <w:trPr>
          <w:trHeight w:val="214"/>
        </w:trPr>
        <w:tc>
          <w:tcPr>
            <w:tcW w:w="3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(In millions)</w:t>
            </w:r>
          </w:p>
        </w:tc>
        <w:tc>
          <w:tcPr>
            <w:tcW w:w="8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1"/>
        </w:trPr>
        <w:tc>
          <w:tcPr>
            <w:tcW w:w="3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Company common stock</w:t>
            </w:r>
          </w:p>
        </w:tc>
        <w:tc>
          <w:tcPr>
            <w:tcW w:w="82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215.6</w:t>
            </w:r>
          </w:p>
        </w:tc>
        <w:tc>
          <w:tcPr>
            <w:tcW w:w="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Money market funds</w:t>
            </w:r>
          </w:p>
        </w:tc>
        <w:tc>
          <w:tcPr>
            <w:tcW w:w="8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5.7</w:t>
            </w:r>
          </w:p>
        </w:tc>
        <w:tc>
          <w:tcPr>
            <w:tcW w:w="44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5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Self-directed brokerage accounts</w:t>
            </w:r>
          </w:p>
        </w:tc>
        <w:tc>
          <w:tcPr>
            <w:tcW w:w="8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5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120.0</w:t>
            </w:r>
          </w:p>
        </w:tc>
        <w:tc>
          <w:tcPr>
            <w:tcW w:w="4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investments in the fair value hierarchy</w:t>
            </w: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341.3</w:t>
            </w:r>
          </w:p>
        </w:tc>
        <w:tc>
          <w:tcPr>
            <w:tcW w:w="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3560" w:type="dxa"/>
            <w:vAlign w:val="bottom"/>
            <w:tcBorders>
              <w:top w:val="single" w:sz="8" w:color="CCEEFF"/>
              <w:bottom w:val="single" w:sz="8" w:color="auto"/>
            </w:tcBorders>
            <w:shd w:val="clear" w:color="auto" w:fill="CCEEFF"/>
          </w:tcPr>
          <w:p>
            <w:pPr>
              <w:ind w:left="60"/>
              <w:spacing w:after="0" w:line="239" w:lineRule="exact"/>
              <w:rPr>
                <w:sz w:val="20"/>
                <w:szCs w:val="20"/>
                <w:color w:val="auto"/>
              </w:rPr>
            </w:pPr>
            <w:r>
              <w:rPr>
                <w:rFonts w:ascii="Times New Roman" w:cs="Times New Roman" w:eastAsia="Times New Roman" w:hAnsi="Times New Roman"/>
                <w:sz w:val="16"/>
                <w:szCs w:val="16"/>
                <w:color w:val="auto"/>
              </w:rPr>
              <w:t>Collective investment trusts</w:t>
            </w:r>
            <w:r>
              <w:rPr>
                <w:rFonts w:ascii="Times New Roman" w:cs="Times New Roman" w:eastAsia="Times New Roman" w:hAnsi="Times New Roman"/>
                <w:sz w:val="21"/>
                <w:szCs w:val="21"/>
                <w:color w:val="auto"/>
                <w:vertAlign w:val="superscript"/>
              </w:rPr>
              <w:t>(1)</w:t>
            </w:r>
          </w:p>
        </w:tc>
        <w:tc>
          <w:tcPr>
            <w:tcW w:w="820" w:type="dxa"/>
            <w:vAlign w:val="bottom"/>
            <w:tcBorders>
              <w:top w:val="single" w:sz="8" w:color="CCEEFF"/>
              <w:bottom w:val="single" w:sz="8" w:color="auto"/>
            </w:tcBorders>
            <w:shd w:val="clear" w:color="auto" w:fill="CCEEFF"/>
          </w:tcPr>
          <w:p>
            <w:pPr>
              <w:spacing w:after="0"/>
              <w:rPr>
                <w:sz w:val="20"/>
                <w:szCs w:val="20"/>
                <w:color w:val="auto"/>
              </w:rPr>
            </w:pPr>
          </w:p>
        </w:tc>
        <w:tc>
          <w:tcPr>
            <w:tcW w:w="9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924.4</w:t>
            </w:r>
          </w:p>
        </w:tc>
        <w:tc>
          <w:tcPr>
            <w:tcW w:w="5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Investments at fair value</w:t>
            </w: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1,265.7</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 w:right="20" w:hanging="166"/>
        <w:spacing w:after="0" w:line="234" w:lineRule="auto"/>
        <w:tabs>
          <w:tab w:leader="none" w:pos="630" w:val="left"/>
        </w:tabs>
        <w:numPr>
          <w:ilvl w:val="1"/>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Investments measured at fair value using the NAV per unit as a practical expedient have not been classified in the fair value hierarchy. The fair value amounts presented in this table are intended to reconcile to total Master Trust investments at fair value.</w:t>
      </w:r>
    </w:p>
    <w:p>
      <w:pPr>
        <w:spacing w:after="0" w:line="197" w:lineRule="exact"/>
        <w:rPr>
          <w:rFonts w:ascii="Times New Roman" w:cs="Times New Roman" w:eastAsia="Times New Roman" w:hAnsi="Times New Roman"/>
          <w:sz w:val="17"/>
          <w:szCs w:val="17"/>
          <w:color w:val="auto"/>
          <w:vertAlign w:val="superscript"/>
        </w:rPr>
      </w:pPr>
    </w:p>
    <w:p>
      <w:pPr>
        <w:ind w:left="300" w:hanging="292"/>
        <w:spacing w:after="0"/>
        <w:tabs>
          <w:tab w:leader="none" w:pos="300"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Related Party Transactions and Party-in-Interest Transactions</w:t>
      </w:r>
    </w:p>
    <w:p>
      <w:pPr>
        <w:spacing w:after="0" w:line="223" w:lineRule="exact"/>
        <w:rPr>
          <w:sz w:val="20"/>
          <w:szCs w:val="20"/>
          <w:color w:val="auto"/>
        </w:rPr>
      </w:pPr>
    </w:p>
    <w:p>
      <w:pPr>
        <w:jc w:val="both"/>
        <w:ind w:left="420"/>
        <w:spacing w:after="0" w:line="232" w:lineRule="auto"/>
        <w:rPr>
          <w:sz w:val="20"/>
          <w:szCs w:val="20"/>
          <w:color w:val="auto"/>
        </w:rPr>
      </w:pPr>
      <w:r>
        <w:rPr>
          <w:rFonts w:ascii="Times New Roman" w:cs="Times New Roman" w:eastAsia="Times New Roman" w:hAnsi="Times New Roman"/>
          <w:sz w:val="16"/>
          <w:szCs w:val="16"/>
          <w:color w:val="auto"/>
        </w:rPr>
        <w:t>The Master Trust invested in shares of short-term investments and deposits managed by Fidelity Management Trust Company (“FMTC”). FMTC is the Custodian, Trustee and Recordkeeper as defined by the Plan and, therefore, transactions related to these investments qualify as party-in-interest transactions. As of December 31, 2025 and 2024, the market values of investments in funds managed by FMTC were $106.8 million and $92.7 million, respectively.</w:t>
      </w:r>
    </w:p>
    <w:p>
      <w:pPr>
        <w:spacing w:after="0" w:line="195" w:lineRule="exact"/>
        <w:rPr>
          <w:sz w:val="20"/>
          <w:szCs w:val="20"/>
          <w:color w:val="auto"/>
        </w:rPr>
      </w:pPr>
    </w:p>
    <w:p>
      <w:pPr>
        <w:jc w:val="both"/>
        <w:ind w:left="420"/>
        <w:spacing w:after="0" w:line="223" w:lineRule="auto"/>
        <w:rPr>
          <w:sz w:val="20"/>
          <w:szCs w:val="20"/>
          <w:color w:val="auto"/>
        </w:rPr>
      </w:pPr>
      <w:r>
        <w:rPr>
          <w:rFonts w:ascii="Times New Roman" w:cs="Times New Roman" w:eastAsia="Times New Roman" w:hAnsi="Times New Roman"/>
          <w:sz w:val="16"/>
          <w:szCs w:val="16"/>
          <w:color w:val="auto"/>
        </w:rPr>
        <w:t>The Master Trust invested in collective investment trusts issued by BlackRock Institutional Trust Company N.A. (“BlackRock”), Aon Collective Investment Trust (“Aon”) and State Street Global Advisors Trust Company (“State Street”), all of which are investment managers of funds offered by the Plan. As of December 31, 2025 and 2024, the market values of investments in funds managed by BlackRock were $860.9 million and $739.5 million, respectively; the market values of investments in funds managed by Aon were $148.8 million and $140.1 million, respectively; and the market values of investments in funds managed by State Street were $109.6 million and $94.7 million, respectively.</w:t>
      </w:r>
    </w:p>
    <w:p>
      <w:pPr>
        <w:spacing w:after="0" w:line="198" w:lineRule="exact"/>
        <w:rPr>
          <w:sz w:val="20"/>
          <w:szCs w:val="20"/>
          <w:color w:val="auto"/>
        </w:rPr>
      </w:pPr>
    </w:p>
    <w:p>
      <w:pPr>
        <w:jc w:val="both"/>
        <w:ind w:left="420"/>
        <w:spacing w:after="0" w:line="223" w:lineRule="auto"/>
        <w:rPr>
          <w:sz w:val="20"/>
          <w:szCs w:val="20"/>
          <w:color w:val="auto"/>
        </w:rPr>
      </w:pPr>
      <w:r>
        <w:rPr>
          <w:rFonts w:ascii="Times New Roman" w:cs="Times New Roman" w:eastAsia="Times New Roman" w:hAnsi="Times New Roman"/>
          <w:sz w:val="16"/>
          <w:szCs w:val="16"/>
          <w:color w:val="auto"/>
        </w:rPr>
        <w:t>The Company Unitized Stock Fund primarily invests in Company common stock, as well as cash. Because the Company is the Plan Sponsor and, through its Administrative Committee, the Plan Administrator, transactions related to Company common stock qualify as party-in-interest transactions. As of December 31, 2025 and 2024, the market values of investments in Company common stock were $190.4 million and $215.6 million, respectively. During the year ended December 31, 2025, purchases and sales of Company common stock were $33.5 million and $52.6 million, respectively. Dividends earned on the Company’s common stock were $4.1 million for the year ended December 31, 2025.</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AVERY DENNISON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EMPLOYEE SAVINGS PLAN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420"/>
        <w:spacing w:after="0" w:line="227" w:lineRule="auto"/>
        <w:rPr>
          <w:sz w:val="20"/>
          <w:szCs w:val="20"/>
          <w:color w:val="auto"/>
        </w:rPr>
      </w:pPr>
      <w:r>
        <w:rPr>
          <w:rFonts w:ascii="Times New Roman" w:cs="Times New Roman" w:eastAsia="Times New Roman" w:hAnsi="Times New Roman"/>
          <w:sz w:val="16"/>
          <w:szCs w:val="16"/>
          <w:color w:val="auto"/>
        </w:rPr>
        <w:t>The Company Unitized Stock Fund has a daily line of credit feature administered by FMTC. FMTC received an exemption from the Department of Labor (“DOL”) from ERISA prohibited transaction rules allowing credit line interest costs to be paid by the Company Unitized Stock Fund. No borrowed funds were outstanding as of December 31, 2025 and 2024. Interest costs paid by the Company Unitized Stock Fund were immaterial for the year ended December 31, 2025 and were included in “Administrative expenses” in the Statement of Changes in Net Assets Available for Benefits.</w:t>
      </w:r>
    </w:p>
    <w:p>
      <w:pPr>
        <w:spacing w:after="0" w:line="1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Notes receivable from participants are also considered exempt party-in-interest transactions.</w:t>
      </w:r>
    </w:p>
    <w:p>
      <w:pPr>
        <w:spacing w:after="0" w:line="21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7.</w:t>
        <w:tab/>
        <w:t>Tax Status</w:t>
      </w:r>
    </w:p>
    <w:p>
      <w:pPr>
        <w:spacing w:after="0" w:line="223" w:lineRule="exact"/>
        <w:rPr>
          <w:sz w:val="20"/>
          <w:szCs w:val="20"/>
          <w:color w:val="auto"/>
        </w:rPr>
      </w:pPr>
    </w:p>
    <w:p>
      <w:pPr>
        <w:jc w:val="both"/>
        <w:ind w:left="420"/>
        <w:spacing w:after="0" w:line="232" w:lineRule="auto"/>
        <w:rPr>
          <w:sz w:val="20"/>
          <w:szCs w:val="20"/>
          <w:color w:val="auto"/>
        </w:rPr>
      </w:pPr>
      <w:r>
        <w:rPr>
          <w:rFonts w:ascii="Times New Roman" w:cs="Times New Roman" w:eastAsia="Times New Roman" w:hAnsi="Times New Roman"/>
          <w:sz w:val="16"/>
          <w:szCs w:val="16"/>
          <w:color w:val="auto"/>
        </w:rPr>
        <w:t>The Plan received a determination letter in April 2018 from the IRS indicating that the Plan is designed in accordance with applicable sections of the IRC. Although the Plan has been amended subsequent to the period covered by the determination letter, the Plan Administrator believes that the Plan remains designed, and is currently being operated, in compliance with the applicable requirements of the IRC and, therefore, is qualified and tax-exempt.</w:t>
      </w:r>
    </w:p>
    <w:p>
      <w:pPr>
        <w:spacing w:after="0" w:line="195" w:lineRule="exact"/>
        <w:rPr>
          <w:sz w:val="20"/>
          <w:szCs w:val="20"/>
          <w:color w:val="auto"/>
        </w:rPr>
      </w:pPr>
    </w:p>
    <w:p>
      <w:pPr>
        <w:jc w:val="both"/>
        <w:ind w:left="420"/>
        <w:spacing w:after="0" w:line="227" w:lineRule="auto"/>
        <w:rPr>
          <w:sz w:val="20"/>
          <w:szCs w:val="20"/>
          <w:color w:val="auto"/>
        </w:rPr>
      </w:pPr>
      <w:r>
        <w:rPr>
          <w:rFonts w:ascii="Times New Roman" w:cs="Times New Roman" w:eastAsia="Times New Roman" w:hAnsi="Times New Roman"/>
          <w:sz w:val="16"/>
          <w:szCs w:val="16"/>
          <w:color w:val="auto"/>
        </w:rPr>
        <w:t>GAAP requires the Plan Administrator to evaluate tax positions taken by the Plan and recognize a tax liability if the Plan has taken an uncertain position that more likely than not would not be sustained upon examination by the IRS. The Plan Administrator has concluded that, as of December 31, 2025 and 2024, there were no uncertain positions taken or expected to be taken that would require recognition of a liability or disclosure in the financial statements. The Plan is subject to routine audits by taxing jurisdictions; however, there are currently no audits of the Plan in progress.</w:t>
      </w:r>
    </w:p>
    <w:p>
      <w:pPr>
        <w:spacing w:after="0" w:line="193" w:lineRule="exact"/>
        <w:rPr>
          <w:sz w:val="20"/>
          <w:szCs w:val="20"/>
          <w:color w:val="auto"/>
        </w:rPr>
      </w:pPr>
    </w:p>
    <w:p>
      <w:pPr>
        <w:ind w:left="300" w:hanging="292"/>
        <w:spacing w:after="0"/>
        <w:tabs>
          <w:tab w:leader="none" w:pos="300"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Concentration of Credit Risk</w:t>
      </w:r>
    </w:p>
    <w:p>
      <w:pPr>
        <w:spacing w:after="0" w:line="223" w:lineRule="exact"/>
        <w:rPr>
          <w:sz w:val="20"/>
          <w:szCs w:val="20"/>
          <w:color w:val="auto"/>
        </w:rPr>
      </w:pPr>
    </w:p>
    <w:p>
      <w:pPr>
        <w:jc w:val="both"/>
        <w:ind w:left="420"/>
        <w:spacing w:after="0" w:line="221" w:lineRule="auto"/>
        <w:rPr>
          <w:sz w:val="20"/>
          <w:szCs w:val="20"/>
          <w:color w:val="auto"/>
        </w:rPr>
      </w:pPr>
      <w:r>
        <w:rPr>
          <w:rFonts w:ascii="Times New Roman" w:cs="Times New Roman" w:eastAsia="Times New Roman" w:hAnsi="Times New Roman"/>
          <w:sz w:val="16"/>
          <w:szCs w:val="16"/>
          <w:color w:val="auto"/>
        </w:rPr>
        <w:t>Included in the Master Trust’s investments is a fixed income fund in which the Master Trust directly owns the underlying investments. The fixed income fund invests primarily in a mix of medium-term investment contracts issued by insurance companies and banks with high credit ratings, as well as in professionally managed portfolios of high-grade, short- and medium-term fixed income securities. Although the fixed income fund contains a diversified portfolio, its performance is dependent upon the ability of the underlying parties to honor their obligations. The Master Trust has entered into wrap contracts under investment management agreements for a portion of the fixed income fund with insurance companies or financial institutions. Although it may be exposed to losses in the event of nonpayment by insurance companies or financial institutions, the Plan does not currently anticipate any such losses.</w:t>
      </w:r>
    </w:p>
    <w:p>
      <w:pPr>
        <w:spacing w:after="0" w:line="19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b w:val="1"/>
          <w:bCs w:val="1"/>
          <w:color w:val="auto"/>
        </w:rPr>
        <w:t>9.</w:t>
        <w:tab/>
        <w:t>Reconciliation of Financial Statements to Form 5500</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The table below reconciles net assets available for benefits per the financial statements to the Form 5500.</w:t>
      </w:r>
    </w:p>
    <w:p>
      <w:pPr>
        <w:spacing w:after="0" w:line="273"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8" w:lineRule="exact"/>
        <w:rPr>
          <w:sz w:val="20"/>
          <w:szCs w:val="20"/>
          <w:color w:val="auto"/>
        </w:rPr>
      </w:pPr>
    </w:p>
    <w:tbl>
      <w:tblPr>
        <w:tblLayout w:type="fixed"/>
        <w:tblInd w:w="420" w:type="dxa"/>
        <w:tblCellMar>
          <w:top w:w="0" w:type="dxa"/>
          <w:left w:w="0" w:type="dxa"/>
          <w:bottom w:w="0" w:type="dxa"/>
          <w:right w:w="0" w:type="dxa"/>
        </w:tblCellMar>
      </w:tblPr>
      <w:tr>
        <w:trPr>
          <w:trHeight w:val="214"/>
        </w:trPr>
        <w:tc>
          <w:tcPr>
            <w:tcW w:w="7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assets available for benefits per the financial statements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1,496.8</w:t>
            </w:r>
          </w:p>
        </w:tc>
        <w:tc>
          <w:tcPr>
            <w:tcW w:w="5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1,363.6</w:t>
            </w:r>
          </w:p>
        </w:tc>
      </w:tr>
      <w:tr>
        <w:trPr>
          <w:trHeight w:val="213"/>
        </w:trPr>
        <w:tc>
          <w:tcPr>
            <w:tcW w:w="7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Adjustment from contract value to fair value for fully benefit-responsive investment contracts</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(2.8)</w:t>
            </w: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9"/>
        </w:trPr>
        <w:tc>
          <w:tcPr>
            <w:tcW w:w="76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assets available for benefits per the Form 5500</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1,494.0</w:t>
            </w:r>
          </w:p>
        </w:tc>
        <w:tc>
          <w:tcPr>
            <w:tcW w:w="50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1,358.3</w:t>
            </w:r>
          </w:p>
        </w:tc>
      </w:tr>
      <w:tr>
        <w:trPr>
          <w:trHeight w:val="520"/>
        </w:trPr>
        <w:tc>
          <w:tcPr>
            <w:tcW w:w="8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 table below reconciles net increase (decrease) in net assets available for benefits per the financial statements to the Form 5500.</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62"/>
        </w:trPr>
        <w:tc>
          <w:tcPr>
            <w:tcW w:w="7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2"/>
        </w:trPr>
        <w:tc>
          <w:tcPr>
            <w:tcW w:w="7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increase in net assets available for benefits per the financial statements</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w:t>
            </w:r>
          </w:p>
        </w:tc>
      </w:tr>
      <w:tr>
        <w:trPr>
          <w:trHeight w:val="213"/>
        </w:trPr>
        <w:tc>
          <w:tcPr>
            <w:tcW w:w="7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Adjustment from contract value to fair value for fully benefit-responsive investment contracts</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9"/>
        </w:trPr>
        <w:tc>
          <w:tcPr>
            <w:tcW w:w="76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increase in net assets available for benefits per the Form 5500</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3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u w:val="single" w:color="auto"/>
          <w:color w:val="auto"/>
        </w:rPr>
        <w:t>AVERY DENNISON CORPORATION EMPLOYEE SAVINGS PLAN</w:t>
      </w:r>
    </w:p>
    <w:p>
      <w:pPr>
        <w:spacing w:after="0" w:line="3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SCHEDULE H, LINE 4(i) – SCHEDULE OF ASSETS (HELD AT END OF YEAR)</w:t>
      </w:r>
    </w:p>
    <w:p>
      <w:pPr>
        <w:spacing w:after="0" w:line="3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EIN: 95-1492269 Plan Number: 004</w:t>
      </w:r>
    </w:p>
    <w:p>
      <w:pPr>
        <w:spacing w:after="0" w:line="3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As of December 31, 2025</w:t>
      </w:r>
    </w:p>
    <w:p>
      <w:pPr>
        <w:spacing w:after="0" w:line="3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   (b) Identity of Issuer, Borrower, Lessor or Similar Party</w:t>
            </w:r>
          </w:p>
        </w:tc>
        <w:tc>
          <w:tcPr>
            <w:tcW w:w="4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 Description of Investment (including maturity date, rate of interest,</w:t>
            </w:r>
          </w:p>
        </w:tc>
        <w:tc>
          <w:tcPr>
            <w:tcW w:w="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 Cost **</w:t>
            </w:r>
          </w:p>
        </w:tc>
        <w:tc>
          <w:tcPr>
            <w:tcW w:w="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 Value</w:t>
            </w:r>
          </w:p>
        </w:tc>
        <w:tc>
          <w:tcPr>
            <w:tcW w:w="0" w:type="dxa"/>
            <w:vAlign w:val="bottom"/>
          </w:tcPr>
          <w:p>
            <w:pPr>
              <w:spacing w:after="0"/>
              <w:rPr>
                <w:sz w:val="1"/>
                <w:szCs w:val="1"/>
                <w:color w:val="auto"/>
              </w:rPr>
            </w:pPr>
          </w:p>
        </w:tc>
      </w:tr>
      <w:tr>
        <w:trPr>
          <w:trHeight w:val="193"/>
        </w:trPr>
        <w:tc>
          <w:tcPr>
            <w:tcW w:w="26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tcPr>
          <w:p>
            <w:pPr>
              <w:spacing w:after="0"/>
              <w:rPr>
                <w:sz w:val="16"/>
                <w:szCs w:val="16"/>
                <w:color w:val="auto"/>
              </w:rPr>
            </w:pPr>
          </w:p>
        </w:tc>
        <w:tc>
          <w:tcPr>
            <w:tcW w:w="46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collateral, par or maturity value)</w:t>
            </w: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0" w:type="dxa"/>
            <w:vAlign w:val="bottom"/>
            <w:shd w:val="clear" w:color="auto" w:fill="CCEEFF"/>
          </w:tcPr>
          <w:p>
            <w:pPr>
              <w:spacing w:after="0"/>
              <w:rPr>
                <w:sz w:val="16"/>
                <w:szCs w:val="16"/>
                <w:color w:val="auto"/>
              </w:rPr>
            </w:pPr>
          </w:p>
        </w:tc>
        <w:tc>
          <w:tcPr>
            <w:tcW w:w="3740" w:type="dxa"/>
            <w:vAlign w:val="bottom"/>
            <w:shd w:val="clear" w:color="auto" w:fill="CCEEFF"/>
          </w:tcPr>
          <w:p>
            <w:pPr>
              <w:spacing w:after="0"/>
              <w:rPr>
                <w:sz w:val="16"/>
                <w:szCs w:val="16"/>
                <w:color w:val="auto"/>
              </w:rPr>
            </w:pPr>
          </w:p>
        </w:tc>
        <w:tc>
          <w:tcPr>
            <w:tcW w:w="46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7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Notes receivable from participants</w:t>
            </w:r>
          </w:p>
        </w:tc>
        <w:tc>
          <w:tcPr>
            <w:tcW w:w="46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Interest rates ranging between 3.25% and 10% with various maturities</w:t>
            </w:r>
          </w:p>
        </w:tc>
        <w:tc>
          <w:tcPr>
            <w:tcW w:w="860" w:type="dxa"/>
            <w:vAlign w:val="bottom"/>
          </w:tcPr>
          <w:p>
            <w:pPr>
              <w:spacing w:after="0"/>
              <w:rPr>
                <w:sz w:val="21"/>
                <w:szCs w:val="21"/>
                <w:color w:val="auto"/>
              </w:rPr>
            </w:pPr>
          </w:p>
        </w:tc>
        <w:tc>
          <w:tcPr>
            <w:tcW w:w="2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205"/>
        </w:trPr>
        <w:tc>
          <w:tcPr>
            <w:tcW w:w="260" w:type="dxa"/>
            <w:vAlign w:val="bottom"/>
            <w:tcBorders>
              <w:bottom w:val="single" w:sz="8" w:color="auto"/>
            </w:tcBorders>
            <w:vMerge w:val="continue"/>
          </w:tcPr>
          <w:p>
            <w:pPr>
              <w:spacing w:after="0"/>
              <w:rPr>
                <w:sz w:val="17"/>
                <w:szCs w:val="17"/>
                <w:color w:val="auto"/>
              </w:rPr>
            </w:pPr>
          </w:p>
        </w:tc>
        <w:tc>
          <w:tcPr>
            <w:tcW w:w="3740" w:type="dxa"/>
            <w:vAlign w:val="bottom"/>
            <w:tcBorders>
              <w:bottom w:val="single" w:sz="8" w:color="auto"/>
            </w:tcBorders>
            <w:vMerge w:val="continue"/>
          </w:tcPr>
          <w:p>
            <w:pPr>
              <w:spacing w:after="0"/>
              <w:rPr>
                <w:sz w:val="17"/>
                <w:szCs w:val="17"/>
                <w:color w:val="auto"/>
              </w:rPr>
            </w:pPr>
          </w:p>
        </w:tc>
        <w:tc>
          <w:tcPr>
            <w:tcW w:w="46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through 2040</w:t>
            </w:r>
          </w:p>
        </w:tc>
        <w:tc>
          <w:tcPr>
            <w:tcW w:w="8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55" w:lineRule="exact"/>
        <w:rPr>
          <w:sz w:val="20"/>
          <w:szCs w:val="20"/>
          <w:color w:val="auto"/>
        </w:rPr>
      </w:pPr>
    </w:p>
    <w:p>
      <w:pPr>
        <w:ind w:left="820" w:hanging="429"/>
        <w:spacing w:after="0"/>
        <w:tabs>
          <w:tab w:leader="none" w:pos="8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party-in-interest to the Plan for which a statutory exemption exists.</w:t>
      </w:r>
    </w:p>
    <w:p>
      <w:pPr>
        <w:spacing w:after="0" w:line="42" w:lineRule="exact"/>
        <w:rPr>
          <w:sz w:val="20"/>
          <w:szCs w:val="20"/>
          <w:color w:val="auto"/>
        </w:rPr>
      </w:pPr>
    </w:p>
    <w:p>
      <w:pPr>
        <w:ind w:left="820" w:hanging="429"/>
        <w:spacing w:after="0"/>
        <w:tabs>
          <w:tab w:leader="none" w:pos="8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information is not included because it is not required under ERISA for participant-directed investments.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70" w:lineRule="exact"/>
        <w:rPr>
          <w:rFonts w:ascii="Times New Roman" w:cs="Times New Roman" w:eastAsia="Times New Roman" w:hAnsi="Times New Roman"/>
          <w:sz w:val="14"/>
          <w:szCs w:val="14"/>
          <w:color w:val="auto"/>
        </w:rPr>
      </w:pPr>
    </w:p>
    <w:p>
      <w:pPr>
        <w:ind w:left="5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213360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60" w:top="164" w:right="8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spacing w:after="0" w:line="26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Administrator of the Plan has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AVERY DENNISON CORPORATION</w:t>
      </w:r>
    </w:p>
    <w:p>
      <w:pPr>
        <w:spacing w:after="0" w:line="3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EMPLOYEE SAVINGS PLAN</w:t>
      </w:r>
    </w:p>
    <w:p>
      <w:pPr>
        <w:spacing w:after="0" w:line="302" w:lineRule="exact"/>
        <w:rPr>
          <w:sz w:val="20"/>
          <w:szCs w:val="20"/>
          <w:color w:val="auto"/>
        </w:rPr>
      </w:pPr>
    </w:p>
    <w:p>
      <w:pPr>
        <w:ind w:left="20"/>
        <w:spacing w:after="0"/>
        <w:tabs>
          <w:tab w:leader="none" w:pos="6220" w:val="left"/>
        </w:tabs>
        <w:rPr>
          <w:sz w:val="20"/>
          <w:szCs w:val="20"/>
          <w:color w:val="auto"/>
        </w:rPr>
      </w:pPr>
      <w:r>
        <w:rPr>
          <w:rFonts w:ascii="Times New Roman" w:cs="Times New Roman" w:eastAsia="Times New Roman" w:hAnsi="Times New Roman"/>
          <w:sz w:val="16"/>
          <w:szCs w:val="16"/>
          <w:color w:val="auto"/>
        </w:rPr>
        <w:t>Date: June 16, 2026</w:t>
      </w:r>
      <w:r>
        <w:rPr>
          <w:sz w:val="20"/>
          <w:szCs w:val="20"/>
          <w:color w:val="auto"/>
        </w:rPr>
        <w:tab/>
      </w:r>
      <w:r>
        <w:rPr>
          <w:rFonts w:ascii="Times New Roman" w:cs="Times New Roman" w:eastAsia="Times New Roman" w:hAnsi="Times New Roman"/>
          <w:sz w:val="15"/>
          <w:szCs w:val="15"/>
          <w:color w:val="auto"/>
        </w:rPr>
        <w:t>By: /s/ Divina F. Santiago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20320</wp:posOffset>
            </wp:positionV>
            <wp:extent cx="30175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Divina F. Santiago</w:t>
      </w:r>
    </w:p>
    <w:p>
      <w:pPr>
        <w:spacing w:after="0" w:line="3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Vice President, Controller and Chief Accounting Officer</w:t>
      </w:r>
    </w:p>
    <w:p>
      <w:pPr>
        <w:spacing w:after="0" w:line="3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(Principal Accounting Officer)</w:t>
      </w:r>
    </w:p>
    <w:p>
      <w:pPr>
        <w:spacing w:after="0" w:line="3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Avery Dennison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20" w:top="104" w:right="359" w:bottom="1440" w:gutter="0" w:footer="0" w:header="0"/>
        </w:sectPr>
      </w:pPr>
    </w:p>
    <w:bookmarkStart w:id="14" w:name="page15"/>
    <w:bookmarkEnd w:id="14"/>
    <w:p>
      <w:pPr>
        <w:ind w:left="9940"/>
        <w:spacing w:after="0"/>
        <w:rPr>
          <w:sz w:val="20"/>
          <w:szCs w:val="20"/>
          <w:color w:val="auto"/>
        </w:rPr>
      </w:pPr>
      <w:r>
        <w:rPr>
          <w:rFonts w:ascii="Times New Roman" w:cs="Times New Roman" w:eastAsia="Times New Roman" w:hAnsi="Times New Roman"/>
          <w:sz w:val="16"/>
          <w:szCs w:val="16"/>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consent to the incorporation by reference in Registration Statements Nos. 33-1132, 33-3645, 33-58921, 333-166837, 333-197631, and 333-268096 on Form S-8 of Avery Dennison Corporation of our report dated June 16, 2026 appearing in this Annual Report on Form 11-K of Avery Dennison Corporation Employee Savings Plan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6"/>
          <w:szCs w:val="16"/>
          <w:color w:val="auto"/>
        </w:rPr>
        <w:t>/s/ Crowe LLP</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Oakbrook Terrace, Illinois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16, 2026</w:t>
      </w:r>
    </w:p>
    <w:sectPr>
      <w:pgSz w:w="11900" w:h="16838" w:orient="portrait"/>
      <w:cols w:equalWidth="0" w:num="1">
        <w:col w:w="11240"/>
      </w:cols>
      <w:pgMar w:left="320" w:top="10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1."/>
      <w:numFmt w:val="decimal"/>
      <w:start w:val="3"/>
    </w:lvl>
  </w:abstractNum>
  <w:abstractNum w:abstractNumId="5">
    <w:nsid w:val="4DB127F8"/>
    <w:multiLevelType w:val="hybridMultilevel"/>
    <w:lvl w:ilvl="0">
      <w:lvlJc w:val="left"/>
      <w:lvlText w:val="%1."/>
      <w:numFmt w:val="decimal"/>
      <w:start w:val="4"/>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lvl w:ilvl="1">
      <w:lvlJc w:val="left"/>
      <w:lvlText w:val="(%2)"/>
      <w:numFmt w:val="decimal"/>
      <w:start w:val="1"/>
    </w:lvl>
  </w:abstractNum>
  <w:abstractNum w:abstractNumId="10">
    <w:nsid w:val="140E0F76"/>
    <w:multiLevelType w:val="hybridMultilevel"/>
    <w:lvl w:ilvl="0">
      <w:lvlJc w:val="left"/>
      <w:lvlText w:val="%1."/>
      <w:numFmt w:val="decimal"/>
      <w:start w:val="6"/>
    </w:lvl>
    <w:lvl w:ilvl="1">
      <w:lvlJc w:val="left"/>
      <w:lvlText w:val="%2"/>
      <w:numFmt w:val="decimal"/>
      <w:start w:val="1"/>
    </w:lvl>
  </w:abstractNum>
  <w:abstractNum w:abstractNumId="11">
    <w:nsid w:val="3352255A"/>
    <w:multiLevelType w:val="hybridMultilevel"/>
    <w:lvl w:ilvl="0">
      <w:lvlJc w:val="left"/>
      <w:lvlText w:val="%1."/>
      <w:numFmt w:val="decimal"/>
      <w:start w:val="8"/>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2026-06-16T13:11:34Z</dcterms:created>
  <dcterms:modified xsi:type="dcterms:W3CDTF">2026-06-16T13:11:34Z</dcterms:modified>
</cp:coreProperties>
</file>